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55185C">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玉林市自然资源局2023年动态调整后的权责清单</w:t>
      </w:r>
    </w:p>
    <w:p w14:paraId="3F0AFF01">
      <w:pPr>
        <w:jc w:val="center"/>
        <w:rPr>
          <w:rFonts w:ascii="方正小标宋简体" w:hAnsi="方正小标宋简体" w:eastAsia="方正小标宋简体" w:cs="方正小标宋简体"/>
          <w:sz w:val="28"/>
          <w:szCs w:val="28"/>
        </w:rPr>
      </w:pPr>
    </w:p>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
        <w:gridCol w:w="619"/>
        <w:gridCol w:w="645"/>
        <w:gridCol w:w="600"/>
        <w:gridCol w:w="660"/>
        <w:gridCol w:w="1125"/>
        <w:gridCol w:w="6582"/>
        <w:gridCol w:w="3060"/>
        <w:gridCol w:w="8373"/>
        <w:gridCol w:w="330"/>
      </w:tblGrid>
      <w:tr w14:paraId="10B99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76" w:type="dxa"/>
            <w:vMerge w:val="restart"/>
            <w:vAlign w:val="center"/>
          </w:tcPr>
          <w:p w14:paraId="48B23068">
            <w:pPr>
              <w:snapToGrid w:val="0"/>
              <w:spacing w:line="240" w:lineRule="atLeast"/>
              <w:rPr>
                <w:rFonts w:asciiTheme="majorEastAsia" w:hAnsiTheme="majorEastAsia" w:eastAsiaTheme="majorEastAsia" w:cstheme="majorEastAsia"/>
                <w:sz w:val="20"/>
                <w:szCs w:val="20"/>
              </w:rPr>
            </w:pPr>
          </w:p>
          <w:p w14:paraId="5C172C20">
            <w:pPr>
              <w:snapToGrid w:val="0"/>
              <w:spacing w:line="240" w:lineRule="atLeast"/>
              <w:rPr>
                <w:rFonts w:asciiTheme="majorEastAsia" w:hAnsiTheme="majorEastAsia" w:eastAsiaTheme="majorEastAsia" w:cstheme="majorEastAsia"/>
                <w:sz w:val="20"/>
                <w:szCs w:val="20"/>
              </w:rPr>
            </w:pPr>
          </w:p>
          <w:p w14:paraId="69C636E3">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序</w:t>
            </w:r>
          </w:p>
          <w:p w14:paraId="38BF57A7">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号</w:t>
            </w:r>
          </w:p>
        </w:tc>
        <w:tc>
          <w:tcPr>
            <w:tcW w:w="619" w:type="dxa"/>
            <w:vMerge w:val="restart"/>
            <w:vAlign w:val="center"/>
          </w:tcPr>
          <w:p w14:paraId="628D19C5">
            <w:pPr>
              <w:spacing w:line="240" w:lineRule="atLeast"/>
              <w:rPr>
                <w:rFonts w:asciiTheme="majorEastAsia" w:hAnsiTheme="majorEastAsia" w:eastAsiaTheme="majorEastAsia" w:cstheme="majorEastAsia"/>
                <w:sz w:val="20"/>
                <w:szCs w:val="20"/>
              </w:rPr>
            </w:pPr>
          </w:p>
          <w:p w14:paraId="3301AEC3">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权力分类</w:t>
            </w:r>
          </w:p>
        </w:tc>
        <w:tc>
          <w:tcPr>
            <w:tcW w:w="9612" w:type="dxa"/>
            <w:gridSpan w:val="5"/>
          </w:tcPr>
          <w:p w14:paraId="22C9FD7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433" w:type="dxa"/>
            <w:gridSpan w:val="2"/>
          </w:tcPr>
          <w:p w14:paraId="6795D94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0BA741E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4AE6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376" w:type="dxa"/>
            <w:vMerge w:val="continue"/>
          </w:tcPr>
          <w:p w14:paraId="759DB08F">
            <w:pPr>
              <w:spacing w:line="240" w:lineRule="atLeast"/>
              <w:jc w:val="left"/>
              <w:rPr>
                <w:rFonts w:ascii="仿宋_GB2312" w:hAnsi="仿宋_GB2312" w:eastAsia="仿宋_GB2312" w:cs="仿宋_GB2312"/>
                <w:sz w:val="20"/>
                <w:szCs w:val="20"/>
              </w:rPr>
            </w:pPr>
          </w:p>
        </w:tc>
        <w:tc>
          <w:tcPr>
            <w:tcW w:w="619" w:type="dxa"/>
            <w:vMerge w:val="continue"/>
          </w:tcPr>
          <w:p w14:paraId="207F9206">
            <w:pPr>
              <w:spacing w:line="240" w:lineRule="atLeast"/>
              <w:jc w:val="left"/>
              <w:rPr>
                <w:rFonts w:ascii="仿宋_GB2312" w:hAnsi="仿宋_GB2312" w:eastAsia="仿宋_GB2312" w:cs="仿宋_GB2312"/>
                <w:sz w:val="20"/>
                <w:szCs w:val="20"/>
              </w:rPr>
            </w:pPr>
          </w:p>
        </w:tc>
        <w:tc>
          <w:tcPr>
            <w:tcW w:w="645" w:type="dxa"/>
            <w:vAlign w:val="center"/>
          </w:tcPr>
          <w:p w14:paraId="08ADF093">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项目名称</w:t>
            </w:r>
          </w:p>
        </w:tc>
        <w:tc>
          <w:tcPr>
            <w:tcW w:w="600" w:type="dxa"/>
            <w:vAlign w:val="center"/>
          </w:tcPr>
          <w:p w14:paraId="1BBF70FA">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18"/>
                <w:szCs w:val="18"/>
              </w:rPr>
              <w:t>子项名称</w:t>
            </w:r>
          </w:p>
        </w:tc>
        <w:tc>
          <w:tcPr>
            <w:tcW w:w="660" w:type="dxa"/>
            <w:vAlign w:val="center"/>
          </w:tcPr>
          <w:p w14:paraId="2C767CD8">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实施主体</w:t>
            </w:r>
          </w:p>
        </w:tc>
        <w:tc>
          <w:tcPr>
            <w:tcW w:w="1125" w:type="dxa"/>
            <w:vAlign w:val="center"/>
          </w:tcPr>
          <w:p w14:paraId="20544A17">
            <w:pPr>
              <w:widowControl/>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承办的内设机构和单位</w:t>
            </w:r>
          </w:p>
        </w:tc>
        <w:tc>
          <w:tcPr>
            <w:tcW w:w="6582" w:type="dxa"/>
            <w:vAlign w:val="center"/>
          </w:tcPr>
          <w:p w14:paraId="09FE1C8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060" w:type="dxa"/>
            <w:vAlign w:val="center"/>
          </w:tcPr>
          <w:p w14:paraId="4DC32AB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8CF9F5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8373" w:type="dxa"/>
            <w:vAlign w:val="center"/>
          </w:tcPr>
          <w:p w14:paraId="7B09FA2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7DA718AD">
            <w:pPr>
              <w:spacing w:line="240" w:lineRule="atLeast"/>
              <w:jc w:val="left"/>
              <w:rPr>
                <w:rFonts w:ascii="仿宋_GB2312" w:hAnsi="仿宋_GB2312" w:eastAsia="仿宋_GB2312" w:cs="仿宋_GB2312"/>
                <w:sz w:val="20"/>
                <w:szCs w:val="20"/>
              </w:rPr>
            </w:pPr>
          </w:p>
        </w:tc>
      </w:tr>
      <w:tr w14:paraId="506BB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2" w:hRule="atLeast"/>
        </w:trPr>
        <w:tc>
          <w:tcPr>
            <w:tcW w:w="376" w:type="dxa"/>
            <w:vAlign w:val="center"/>
          </w:tcPr>
          <w:p w14:paraId="484EF0F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w:t>
            </w:r>
          </w:p>
        </w:tc>
        <w:tc>
          <w:tcPr>
            <w:tcW w:w="619" w:type="dxa"/>
            <w:vAlign w:val="center"/>
          </w:tcPr>
          <w:p w14:paraId="016FD44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3409AA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B3A6CD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0AD604C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45" w:type="dxa"/>
            <w:vAlign w:val="center"/>
          </w:tcPr>
          <w:p w14:paraId="16510FC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建设项目用地预审与选址意见书核发</w:t>
            </w:r>
          </w:p>
        </w:tc>
        <w:tc>
          <w:tcPr>
            <w:tcW w:w="600" w:type="dxa"/>
            <w:vAlign w:val="center"/>
          </w:tcPr>
          <w:p w14:paraId="2615926D">
            <w:pPr>
              <w:snapToGrid w:val="0"/>
              <w:spacing w:line="240" w:lineRule="atLeast"/>
              <w:jc w:val="center"/>
              <w:rPr>
                <w:rFonts w:ascii="仿宋_GB2312" w:hAnsi="仿宋_GB2312" w:eastAsia="仿宋_GB2312" w:cs="仿宋_GB2312"/>
                <w:sz w:val="20"/>
                <w:szCs w:val="20"/>
              </w:rPr>
            </w:pPr>
          </w:p>
        </w:tc>
        <w:tc>
          <w:tcPr>
            <w:tcW w:w="660" w:type="dxa"/>
            <w:vAlign w:val="center"/>
          </w:tcPr>
          <w:p w14:paraId="4F8A976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25" w:type="dxa"/>
            <w:vAlign w:val="center"/>
          </w:tcPr>
          <w:p w14:paraId="1AAF1F0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582" w:type="dxa"/>
            <w:vAlign w:val="center"/>
          </w:tcPr>
          <w:p w14:paraId="62BD6ED7">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  1.【法律】《中华人民共和国土地管理法》第五十二条：建设项目可行性研究论证时，自然资源主管部门可以根据土地利用总体规划、土地利用年度计划和建设用地标准，对建设用地有关事项进行审查，并提出意见。</w:t>
            </w:r>
          </w:p>
          <w:p w14:paraId="05FCE85A">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2.【行政法规】《中华人民共和国土地管理法实施条例》（1998年国务院令第256号公布，2021年国务院令第743号第三次修订）第二十四条第一款：（一）建设项目批准、核准前或者备案前后，由自然资源主管部门对建设项目用地事项进行审查，提出建设项目用地预审意见。</w:t>
            </w:r>
          </w:p>
          <w:p w14:paraId="08258F56">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3.【部门规章】《建设项目用地预审管理办法》（2001年国土资源部令第7号发布，2016年国土资源部令第68号第二次修正）第四条：需人民政府或有批准权的人民政府发展和改革等部门审批的建设项目，由该人民政府的国土资源主管部门预审。需核准和备案的建设项目，由与核准、备案机关同级的国土资源主管部门预审。</w:t>
            </w:r>
          </w:p>
          <w:p w14:paraId="6007FABD">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4.【法律】《中华人民共和国城乡规划法》第三十六条：按照国家规定需要有关部门批准或者核准的建设项目，以划拨方式提供国有土地使用权的，建设单位在报送有关部门批准或者核准前，应当向城乡规划主管部门申请核发选址意见书。</w:t>
            </w:r>
          </w:p>
          <w:p w14:paraId="6CF47258">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5.【地方性法规】《广西壮族自治区实施〈中华人民共和国城乡规划法〉办法》（2010年3月31日广西壮族自治区第十一届人民代表大会常务委员会第十四次会议通过，2016年11月30日广西壮族自治区第十二届人民代表大会常务委员会第二十六次会议修正）第二十四条：按照国家规定需要有关部门批准或者核准的建设项目，以划拨方式提供国有土地使用权的，建设单位应当在报送有关部门审批、核准前，持以下材料向审批、核准部门的同级城乡规划主管部门申请核发选址意见书。</w:t>
            </w:r>
          </w:p>
        </w:tc>
        <w:tc>
          <w:tcPr>
            <w:tcW w:w="3060" w:type="dxa"/>
            <w:vAlign w:val="center"/>
          </w:tcPr>
          <w:p w14:paraId="4617F5E9">
            <w:pPr>
              <w:snapToGrid w:val="0"/>
              <w:spacing w:line="240" w:lineRule="atLeast"/>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   1.受理责任：公示应当提交的材料；一次性告知补正材料；依法受理或不予受理（不予受理应当告知理由）。</w:t>
            </w:r>
          </w:p>
          <w:p w14:paraId="0772B5F4">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2.审查责任：材料审核；提出审查意见。    </w:t>
            </w:r>
          </w:p>
          <w:p w14:paraId="53730214">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3.决定责任：根据审查意见，作出预审决定，制作预审文件。作出行政许可或者不予行政许可决定，法定告知（不予许可的应当书面告知理由） 。</w:t>
            </w:r>
          </w:p>
          <w:p w14:paraId="18BC4448">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4.送达责任：制发预审文件和准予许可的，制发许可证书或批件，送达并信息公开。</w:t>
            </w:r>
          </w:p>
          <w:p w14:paraId="55AE082D">
            <w:pPr>
              <w:snapToGrid w:val="0"/>
              <w:spacing w:line="240" w:lineRule="atLeast"/>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    5.事后监管环节责任：建立实施监督检查的运行机制和管理制度，开展定期和不定期检查，依法采取相关处置措施。</w:t>
            </w:r>
          </w:p>
          <w:p w14:paraId="3628FD37">
            <w:pPr>
              <w:snapToGrid w:val="0"/>
              <w:spacing w:line="240" w:lineRule="atLeast"/>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    6.其他法律法规规章文件规定应履行的责任。</w:t>
            </w:r>
          </w:p>
        </w:tc>
        <w:tc>
          <w:tcPr>
            <w:tcW w:w="8373" w:type="dxa"/>
            <w:vAlign w:val="center"/>
          </w:tcPr>
          <w:p w14:paraId="7D99E9D3">
            <w:pPr>
              <w:snapToGrid w:val="0"/>
              <w:spacing w:line="240" w:lineRule="atLeast"/>
              <w:rPr>
                <w:rFonts w:ascii="仿宋_GB2312" w:hAnsi="仿宋_GB2312" w:eastAsia="仿宋_GB2312" w:cs="仿宋_GB2312"/>
                <w:sz w:val="20"/>
                <w:szCs w:val="20"/>
              </w:rPr>
            </w:pPr>
          </w:p>
          <w:p w14:paraId="6C3F13AD">
            <w:pPr>
              <w:snapToGrid w:val="0"/>
              <w:spacing w:line="240" w:lineRule="atLeast"/>
              <w:rPr>
                <w:rFonts w:ascii="仿宋_GB2312" w:hAnsi="仿宋_GB2312" w:eastAsia="仿宋_GB2312" w:cs="仿宋_GB2312"/>
                <w:sz w:val="20"/>
                <w:szCs w:val="20"/>
              </w:rPr>
            </w:pPr>
          </w:p>
          <w:p w14:paraId="260639AD">
            <w:pPr>
              <w:snapToGrid w:val="0"/>
              <w:spacing w:line="240" w:lineRule="atLeast"/>
              <w:rPr>
                <w:rFonts w:ascii="仿宋_GB2312" w:hAnsi="仿宋_GB2312" w:eastAsia="仿宋_GB2312" w:cs="仿宋_GB2312"/>
                <w:sz w:val="20"/>
                <w:szCs w:val="20"/>
              </w:rPr>
            </w:pPr>
          </w:p>
          <w:p w14:paraId="40499A73">
            <w:pPr>
              <w:snapToGrid w:val="0"/>
              <w:spacing w:line="240" w:lineRule="atLeast"/>
              <w:rPr>
                <w:rFonts w:ascii="仿宋_GB2312" w:hAnsi="仿宋_GB2312" w:eastAsia="仿宋_GB2312" w:cs="仿宋_GB2312"/>
                <w:sz w:val="20"/>
                <w:szCs w:val="20"/>
              </w:rPr>
            </w:pPr>
          </w:p>
          <w:p w14:paraId="40501BCE">
            <w:pPr>
              <w:snapToGrid w:val="0"/>
              <w:spacing w:line="240" w:lineRule="atLeast"/>
              <w:rPr>
                <w:rFonts w:ascii="仿宋_GB2312" w:hAnsi="仿宋_GB2312" w:eastAsia="仿宋_GB2312" w:cs="仿宋_GB2312"/>
                <w:sz w:val="20"/>
                <w:szCs w:val="20"/>
              </w:rPr>
            </w:pPr>
          </w:p>
          <w:p w14:paraId="11EB3C81">
            <w:pPr>
              <w:snapToGrid w:val="0"/>
              <w:spacing w:line="240" w:lineRule="atLeast"/>
              <w:rPr>
                <w:rFonts w:ascii="仿宋_GB2312" w:hAnsi="仿宋_GB2312" w:eastAsia="仿宋_GB2312" w:cs="仿宋_GB2312"/>
                <w:sz w:val="20"/>
                <w:szCs w:val="20"/>
              </w:rPr>
            </w:pPr>
          </w:p>
          <w:p w14:paraId="6D882FAB">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6D8F403D">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734B6A73">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3.【法律】《中华人民共和国行政许可法》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363025E9">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4．【法律】《中华人民共和国行政许可法》第四十四条：行政机关作出准予行政许可的决定，应当自作出决定之日起十日内向申请人颁发、送达行政许可证件，或者加贴标签、加盖检验、检测、检疫印章。</w:t>
            </w:r>
          </w:p>
          <w:p w14:paraId="0CA91AE0">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5．【规范性文件】《关于进一步加强和改进建设项目用地预审工作的通知》（国土资发〔2012〕74号）第四点第（十）条：加强用地预审跟踪监管。用地预审意见是项目审批（核准）的前置条件，也是建设用地审批的重要依据。预审意见提出的相关要求，在建设用地审批环节必须加以落实。各级国土资源主管部门应在建设用地审批的审查环节，进一步加大对预审意见落实情况的审核力度，对未能落实预审意见提出的要求的，不得通过审核，必要时应当组织专家论证。</w:t>
            </w:r>
          </w:p>
          <w:p w14:paraId="1417AB20">
            <w:pPr>
              <w:snapToGrid w:val="0"/>
              <w:spacing w:line="240" w:lineRule="atLeast"/>
              <w:rPr>
                <w:rFonts w:ascii="仿宋_GB2312" w:hAnsi="仿宋_GB2312" w:eastAsia="仿宋_GB2312" w:cs="仿宋_GB2312"/>
                <w:sz w:val="20"/>
                <w:szCs w:val="20"/>
              </w:rPr>
            </w:pPr>
            <w:r>
              <w:rPr>
                <w:rFonts w:hint="eastAsia" w:ascii="仿宋_GB2312" w:hAnsi="仿宋_GB2312" w:eastAsia="仿宋_GB2312" w:cs="仿宋_GB2312"/>
                <w:sz w:val="20"/>
                <w:szCs w:val="20"/>
              </w:rPr>
              <w:t>为进一步加强用地预审和建设用地审批的衔接，切实发挥用地预审的前置把关作用，部将不定期抽查各类用地预审制度的执行情况，国家土地督察机构将其纳入督察范围，对未按规定进行用地预审和用地预审意见落实不到位的，将依据有关规定严肃处理。</w:t>
            </w:r>
          </w:p>
          <w:p w14:paraId="507D8441">
            <w:pPr>
              <w:snapToGrid w:val="0"/>
              <w:spacing w:line="240" w:lineRule="atLeast"/>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    6.【法律】《中华人民共和国城乡规划法》第五十七条城乡规划主管部门违反本法规定作出行政许可的，上级人民政府城乡规划主管部门有权责令其撤销或者直接撤销该行政许可。因撤销行政许可给当事人合法权益造成损失的，应当依法给予赔偿。</w:t>
            </w:r>
          </w:p>
          <w:p w14:paraId="2A09DBCB">
            <w:pPr>
              <w:snapToGrid w:val="0"/>
              <w:spacing w:line="240" w:lineRule="atLeast"/>
              <w:ind w:firstLine="400" w:firstLineChars="200"/>
              <w:rPr>
                <w:rFonts w:ascii="仿宋_GB2312" w:hAnsi="仿宋_GB2312" w:eastAsia="仿宋_GB2312" w:cs="仿宋_GB2312"/>
                <w:sz w:val="20"/>
                <w:szCs w:val="20"/>
              </w:rPr>
            </w:pPr>
          </w:p>
          <w:p w14:paraId="5B0BC0BB">
            <w:pPr>
              <w:snapToGrid w:val="0"/>
              <w:spacing w:line="240" w:lineRule="atLeast"/>
              <w:ind w:firstLine="400" w:firstLineChars="200"/>
              <w:rPr>
                <w:rFonts w:ascii="仿宋_GB2312" w:hAnsi="仿宋_GB2312" w:eastAsia="仿宋_GB2312" w:cs="仿宋_GB2312"/>
                <w:sz w:val="20"/>
                <w:szCs w:val="20"/>
              </w:rPr>
            </w:pPr>
          </w:p>
          <w:p w14:paraId="0AB0AF93">
            <w:pPr>
              <w:snapToGrid w:val="0"/>
              <w:spacing w:line="240" w:lineRule="atLeast"/>
              <w:rPr>
                <w:rFonts w:ascii="仿宋_GB2312" w:hAnsi="仿宋_GB2312" w:eastAsia="仿宋_GB2312" w:cs="仿宋_GB2312"/>
                <w:sz w:val="20"/>
                <w:szCs w:val="20"/>
              </w:rPr>
            </w:pPr>
          </w:p>
          <w:p w14:paraId="6651F328">
            <w:pPr>
              <w:snapToGrid w:val="0"/>
              <w:spacing w:line="240" w:lineRule="atLeast"/>
              <w:ind w:firstLine="400" w:firstLineChars="200"/>
              <w:rPr>
                <w:rFonts w:ascii="仿宋_GB2312" w:hAnsi="仿宋_GB2312" w:eastAsia="仿宋_GB2312" w:cs="仿宋_GB2312"/>
                <w:sz w:val="20"/>
                <w:szCs w:val="20"/>
              </w:rPr>
            </w:pPr>
          </w:p>
          <w:p w14:paraId="649A7E34">
            <w:pPr>
              <w:snapToGrid w:val="0"/>
              <w:spacing w:line="240" w:lineRule="atLeast"/>
              <w:ind w:firstLine="400" w:firstLineChars="200"/>
              <w:rPr>
                <w:rFonts w:ascii="仿宋_GB2312" w:hAnsi="仿宋_GB2312" w:eastAsia="仿宋_GB2312" w:cs="仿宋_GB2312"/>
                <w:sz w:val="20"/>
                <w:szCs w:val="20"/>
              </w:rPr>
            </w:pPr>
          </w:p>
          <w:p w14:paraId="750A8FEF">
            <w:pPr>
              <w:snapToGrid w:val="0"/>
              <w:spacing w:line="240" w:lineRule="atLeast"/>
              <w:ind w:firstLine="400" w:firstLineChars="200"/>
              <w:rPr>
                <w:rFonts w:ascii="仿宋_GB2312" w:hAnsi="仿宋_GB2312" w:eastAsia="仿宋_GB2312" w:cs="仿宋_GB2312"/>
                <w:sz w:val="20"/>
                <w:szCs w:val="20"/>
              </w:rPr>
            </w:pPr>
          </w:p>
          <w:p w14:paraId="356B3213">
            <w:pPr>
              <w:snapToGrid w:val="0"/>
              <w:spacing w:line="240" w:lineRule="atLeast"/>
              <w:rPr>
                <w:rFonts w:ascii="仿宋_GB2312" w:hAnsi="仿宋_GB2312" w:eastAsia="仿宋_GB2312" w:cs="仿宋_GB2312"/>
                <w:sz w:val="20"/>
                <w:szCs w:val="20"/>
              </w:rPr>
            </w:pPr>
          </w:p>
        </w:tc>
        <w:tc>
          <w:tcPr>
            <w:tcW w:w="330" w:type="dxa"/>
            <w:vAlign w:val="center"/>
          </w:tcPr>
          <w:p w14:paraId="3B4250D8">
            <w:pPr>
              <w:snapToGrid w:val="0"/>
              <w:spacing w:line="240" w:lineRule="atLeast"/>
              <w:jc w:val="center"/>
              <w:rPr>
                <w:rFonts w:ascii="仿宋_GB2312" w:hAnsi="仿宋_GB2312" w:eastAsia="仿宋_GB2312" w:cs="仿宋_GB2312"/>
                <w:sz w:val="20"/>
                <w:szCs w:val="20"/>
              </w:rPr>
            </w:pPr>
          </w:p>
        </w:tc>
      </w:tr>
    </w:tbl>
    <w:p w14:paraId="1BADE9D6"/>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
        <w:gridCol w:w="619"/>
        <w:gridCol w:w="645"/>
        <w:gridCol w:w="600"/>
        <w:gridCol w:w="660"/>
        <w:gridCol w:w="1125"/>
        <w:gridCol w:w="8667"/>
        <w:gridCol w:w="2895"/>
        <w:gridCol w:w="6453"/>
        <w:gridCol w:w="330"/>
      </w:tblGrid>
      <w:tr w14:paraId="22B9B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76" w:type="dxa"/>
            <w:vMerge w:val="restart"/>
            <w:vAlign w:val="center"/>
          </w:tcPr>
          <w:p w14:paraId="3D63AD32">
            <w:pPr>
              <w:snapToGrid w:val="0"/>
              <w:spacing w:line="240" w:lineRule="atLeast"/>
              <w:rPr>
                <w:rFonts w:asciiTheme="majorEastAsia" w:hAnsiTheme="majorEastAsia" w:eastAsiaTheme="majorEastAsia" w:cstheme="majorEastAsia"/>
                <w:sz w:val="20"/>
                <w:szCs w:val="20"/>
              </w:rPr>
            </w:pPr>
          </w:p>
          <w:p w14:paraId="0D346CEA">
            <w:pPr>
              <w:snapToGrid w:val="0"/>
              <w:spacing w:line="240" w:lineRule="atLeast"/>
              <w:rPr>
                <w:rFonts w:asciiTheme="majorEastAsia" w:hAnsiTheme="majorEastAsia" w:eastAsiaTheme="majorEastAsia" w:cstheme="majorEastAsia"/>
                <w:sz w:val="20"/>
                <w:szCs w:val="20"/>
              </w:rPr>
            </w:pPr>
          </w:p>
          <w:p w14:paraId="417E9617">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序</w:t>
            </w:r>
          </w:p>
          <w:p w14:paraId="01828228">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号</w:t>
            </w:r>
          </w:p>
        </w:tc>
        <w:tc>
          <w:tcPr>
            <w:tcW w:w="619" w:type="dxa"/>
            <w:vMerge w:val="restart"/>
            <w:vAlign w:val="center"/>
          </w:tcPr>
          <w:p w14:paraId="1E40D30B">
            <w:pPr>
              <w:spacing w:line="240" w:lineRule="atLeast"/>
              <w:rPr>
                <w:rFonts w:asciiTheme="majorEastAsia" w:hAnsiTheme="majorEastAsia" w:eastAsiaTheme="majorEastAsia" w:cstheme="majorEastAsia"/>
                <w:sz w:val="20"/>
                <w:szCs w:val="20"/>
              </w:rPr>
            </w:pPr>
          </w:p>
          <w:p w14:paraId="58B7358B">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权力分类</w:t>
            </w:r>
          </w:p>
        </w:tc>
        <w:tc>
          <w:tcPr>
            <w:tcW w:w="11697" w:type="dxa"/>
            <w:gridSpan w:val="5"/>
          </w:tcPr>
          <w:p w14:paraId="7EA3454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9348" w:type="dxa"/>
            <w:gridSpan w:val="2"/>
          </w:tcPr>
          <w:p w14:paraId="5320F70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12A8B2D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BC74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376" w:type="dxa"/>
            <w:vMerge w:val="continue"/>
          </w:tcPr>
          <w:p w14:paraId="28A5285B">
            <w:pPr>
              <w:spacing w:line="240" w:lineRule="atLeast"/>
              <w:jc w:val="left"/>
              <w:rPr>
                <w:rFonts w:ascii="仿宋_GB2312" w:hAnsi="仿宋_GB2312" w:eastAsia="仿宋_GB2312" w:cs="仿宋_GB2312"/>
                <w:sz w:val="20"/>
                <w:szCs w:val="20"/>
              </w:rPr>
            </w:pPr>
          </w:p>
        </w:tc>
        <w:tc>
          <w:tcPr>
            <w:tcW w:w="619" w:type="dxa"/>
            <w:vMerge w:val="continue"/>
          </w:tcPr>
          <w:p w14:paraId="2CC59010">
            <w:pPr>
              <w:spacing w:line="240" w:lineRule="atLeast"/>
              <w:jc w:val="left"/>
              <w:rPr>
                <w:rFonts w:ascii="仿宋_GB2312" w:hAnsi="仿宋_GB2312" w:eastAsia="仿宋_GB2312" w:cs="仿宋_GB2312"/>
                <w:sz w:val="20"/>
                <w:szCs w:val="20"/>
              </w:rPr>
            </w:pPr>
          </w:p>
        </w:tc>
        <w:tc>
          <w:tcPr>
            <w:tcW w:w="645" w:type="dxa"/>
            <w:vAlign w:val="center"/>
          </w:tcPr>
          <w:p w14:paraId="5B43908A">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项目名称</w:t>
            </w:r>
          </w:p>
        </w:tc>
        <w:tc>
          <w:tcPr>
            <w:tcW w:w="600" w:type="dxa"/>
            <w:vAlign w:val="center"/>
          </w:tcPr>
          <w:p w14:paraId="11D13D1E">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18"/>
                <w:szCs w:val="18"/>
              </w:rPr>
              <w:t>子项名称</w:t>
            </w:r>
          </w:p>
        </w:tc>
        <w:tc>
          <w:tcPr>
            <w:tcW w:w="660" w:type="dxa"/>
            <w:vAlign w:val="center"/>
          </w:tcPr>
          <w:p w14:paraId="2E350FFB">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实施主体</w:t>
            </w:r>
          </w:p>
        </w:tc>
        <w:tc>
          <w:tcPr>
            <w:tcW w:w="1125" w:type="dxa"/>
            <w:vAlign w:val="center"/>
          </w:tcPr>
          <w:p w14:paraId="70AEF24C">
            <w:pPr>
              <w:widowControl/>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承办的内设机构和单位</w:t>
            </w:r>
          </w:p>
        </w:tc>
        <w:tc>
          <w:tcPr>
            <w:tcW w:w="8667" w:type="dxa"/>
            <w:vAlign w:val="center"/>
          </w:tcPr>
          <w:p w14:paraId="3E3003D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2895" w:type="dxa"/>
            <w:vAlign w:val="center"/>
          </w:tcPr>
          <w:p w14:paraId="2F0B372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928EB4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6453" w:type="dxa"/>
            <w:vAlign w:val="center"/>
          </w:tcPr>
          <w:p w14:paraId="0A4230AA">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7F0E9C1F">
            <w:pPr>
              <w:spacing w:line="240" w:lineRule="atLeast"/>
              <w:jc w:val="left"/>
              <w:rPr>
                <w:rFonts w:ascii="仿宋_GB2312" w:hAnsi="仿宋_GB2312" w:eastAsia="仿宋_GB2312" w:cs="仿宋_GB2312"/>
                <w:sz w:val="20"/>
                <w:szCs w:val="20"/>
              </w:rPr>
            </w:pPr>
          </w:p>
        </w:tc>
      </w:tr>
      <w:tr w14:paraId="57ED9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376" w:type="dxa"/>
            <w:vAlign w:val="center"/>
          </w:tcPr>
          <w:p w14:paraId="22FC558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w:t>
            </w:r>
          </w:p>
        </w:tc>
        <w:tc>
          <w:tcPr>
            <w:tcW w:w="619" w:type="dxa"/>
            <w:vAlign w:val="center"/>
          </w:tcPr>
          <w:p w14:paraId="09FD5DD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5D9570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A91297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675ADE2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45" w:type="dxa"/>
            <w:vAlign w:val="center"/>
          </w:tcPr>
          <w:p w14:paraId="2FBBF14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开采矿产资源审批</w:t>
            </w:r>
          </w:p>
        </w:tc>
        <w:tc>
          <w:tcPr>
            <w:tcW w:w="600" w:type="dxa"/>
            <w:vAlign w:val="center"/>
          </w:tcPr>
          <w:p w14:paraId="4CE0257F">
            <w:pPr>
              <w:snapToGrid w:val="0"/>
              <w:spacing w:line="240" w:lineRule="atLeast"/>
              <w:jc w:val="center"/>
              <w:rPr>
                <w:rFonts w:ascii="仿宋_GB2312" w:hAnsi="仿宋_GB2312" w:eastAsia="仿宋_GB2312" w:cs="仿宋_GB2312"/>
                <w:sz w:val="20"/>
                <w:szCs w:val="20"/>
              </w:rPr>
            </w:pPr>
          </w:p>
        </w:tc>
        <w:tc>
          <w:tcPr>
            <w:tcW w:w="660" w:type="dxa"/>
            <w:vAlign w:val="center"/>
          </w:tcPr>
          <w:p w14:paraId="63743B8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25" w:type="dxa"/>
            <w:vAlign w:val="center"/>
          </w:tcPr>
          <w:p w14:paraId="6419527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8667" w:type="dxa"/>
            <w:vAlign w:val="center"/>
          </w:tcPr>
          <w:p w14:paraId="5B15338F">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1.【法律】《中华人民共和国矿产资源法》第三条第三款 ： 勘查、开采矿产资源，必须依法分别申请、经批准取得探矿权、采矿权，并办理登记；但是，已经依法申请取得采矿权的矿山企业在划定的矿区范围内为本企业的生产而进行的勘查除外。</w:t>
            </w:r>
          </w:p>
          <w:p w14:paraId="26B0244A">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第六条： 除按下列规定可以转让外，探矿权、采矿权不得转让：……（二）已取得采矿权的矿山企业，因企业合并、分立，与他人合资、合作经营，或者因企业资产出售以及有其他变更企业资产产权的情形而需要变更采矿权主体的，经依法批准可以将采矿权转让他人采矿。前款规定的具体办法和施行步骤由国务院规定。</w:t>
            </w:r>
          </w:p>
          <w:p w14:paraId="138FA7C0">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第十八条：矿山企业变更矿区范围，必须报请原审批机关批准，并报请原颁发采矿许可证的机关重新核发采矿许可证。</w:t>
            </w:r>
          </w:p>
          <w:p w14:paraId="3ACC7823">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第二十一条：关闭矿山，必须提出矿山闭坑报告及有关采掘工程、安全隐患、土地复垦利用、环境保护的资料，并按照国家规定报请审查批准。</w:t>
            </w:r>
          </w:p>
          <w:p w14:paraId="161712B1">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矿产资源开采登记管理办法》（1998年国务院令第241号公布，2014年国务院令第653号修订）第三条第三款：开采下列矿产资源，由省、自治区、直辖市人民政府地质矿产主管部门审批登记，颁发采矿许可证：（一）本条第一款、第二款规定以外的矿产储量规模中型以上的矿产资源；（二）国务院地质矿产主管部门授权省、自治区、直辖市人民政府地质矿产主管部门审批登记的矿产资源。</w:t>
            </w:r>
          </w:p>
          <w:p w14:paraId="721865BC">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条第四款：开采本条第一款、第二款、第三款规定以外的矿产资源，由县级以上地方人民政府负责地质矿产管理工作的部门，按照省、自治区、直辖市人民代表大会常务委员会制定的管理办法审批登记，颁发采矿许可证。</w:t>
            </w:r>
          </w:p>
          <w:p w14:paraId="45DB7B2B">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第三条第五款：矿区范围跨县级以上行政区域的，由所涉及行政区域的共同上一级登记管理机关审批登记，颁发采矿许可证。</w:t>
            </w:r>
          </w:p>
          <w:p w14:paraId="511BD097">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第四条：采矿权申请人在提出采矿权申请前，应当根据经批准的地质勘查储量报告，向登记管理机关申请划定矿区范围。需要申请立项，设立矿山企业的，应当根据划定的矿区范围，按照国家规定办理有关手续。</w:t>
            </w:r>
          </w:p>
          <w:p w14:paraId="7BE768DD">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七条第一款：采矿许可证有效期，按照矿山建设规模确定：大型以上的，采矿许可证有效期最长为30年；中型的，采矿许可证有效期最长为20年；小型的，采矿许可证有效期最长为10年。采矿许可证有效期满，需要继续采矿的，采矿权人应当在采矿许可证有效期届满的30日前，到登记管理机关办理延续登记手续。</w:t>
            </w:r>
          </w:p>
          <w:p w14:paraId="3CE6EF72">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五条：有下列情形之一的，采矿权人应当在采矿许可证有效期内，向登记管理机关申请变更登记：（一）变更矿区范围的；（二）变更主要开采矿种的；（三）变更开采方式的；（四）变更矿山企业名称的；（五）经依法批准转让采矿权的。</w:t>
            </w:r>
          </w:p>
          <w:p w14:paraId="37130A6E">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第十六条：采矿权人在采矿许可证有效期内或有效期届满，停办、关闭矿山的，应当自决定停办或关闭矿山之日起30日内，向原发证机关申请办理采矿许可证注销登记手续。</w:t>
            </w:r>
          </w:p>
          <w:p w14:paraId="09240B86">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3.【行政法规】《探矿权采矿权转让管理办法》（1998年国务院令第242号公布，2014年国务院令第653号修订）第四条： 国务院地质矿产主管部门和省、自治区、直辖市人民政府地质矿产主管部门是探矿权、采矿权转让的审批管理机关。国务院地质矿产主管部门负责由其审批发证的探矿权、采矿权转让的审批。省、自治区、直辖市人民政府地质矿产主管部门负责本条第二款规定以外的探矿权、采矿权转让的审批。</w:t>
            </w:r>
          </w:p>
          <w:p w14:paraId="11051E09">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地方性法规】《广西壮族自治区矿产资源管理条例》（2000年12月2日广西壮族自治区第九届人民代表大会常务委员会第二十一次会议通过，根据2016年11月30日广西壮族自治区第十二届人民代表大会常务委员会第二十六次会议《关于废止和修改部分地方性法规的决定》修正）第十八条： 开采矿产资源，应当向县级以上地质矿产主管部门办理采矿登记手续，取得采矿许可证……</w:t>
            </w:r>
          </w:p>
          <w:p w14:paraId="1FC6A36D">
            <w:pPr>
              <w:widowControl/>
              <w:adjustRightInd w:val="0"/>
              <w:snapToGrid w:val="0"/>
              <w:spacing w:line="24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第二十一条第一款：采矿权申请人在提出采矿权申请前，应当持经批准的勘查报告或者地质资料，按照本条例第二十条规定的权限向地质矿产主管部门申请划定矿区范围。</w:t>
            </w:r>
          </w:p>
          <w:p w14:paraId="1257D28A">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六条第一款：采矿许可证有效期，按照矿山建设规模确定：大型以上的，采矿许可证有效期最长为30年；中型的，采矿许可证有效期最长为20年；小型的，采矿许可证有效期最长为10年。采矿许可证有效期满，需要继续采矿的，采矿权人应当在采矿许可证有效期届满的30日前，到原发证机关办理延续登记手续。发证机关应在接到报告之日起15日内审批完毕。</w:t>
            </w:r>
          </w:p>
          <w:p w14:paraId="11F04414">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第二十七条：在采矿许可证有效期内，有下列情形之一的，采矿权人应当在变更前向地质矿产主管部门申请办</w:t>
            </w:r>
            <w:r>
              <w:rPr>
                <w:rFonts w:hint="eastAsia" w:eastAsia="仿宋_GB2312"/>
                <w:snapToGrid w:val="0"/>
                <w:color w:val="000000"/>
                <w:spacing w:val="-2"/>
                <w:sz w:val="20"/>
                <w:szCs w:val="20"/>
              </w:rPr>
              <w:t>理变更登记：（一）变更矿区范围的；（二）变更主要开采矿种的；（三）变更开采方式的；（四）变更矿山企业名称的；（五）经依法批准转让采矿权的；（六）变更生产规模的。</w:t>
            </w:r>
          </w:p>
          <w:p w14:paraId="02522D9C">
            <w:pPr>
              <w:snapToGrid w:val="0"/>
              <w:spacing w:line="240" w:lineRule="exact"/>
              <w:rPr>
                <w:rFonts w:ascii="仿宋_GB2312" w:hAnsi="仿宋_GB2312" w:eastAsia="仿宋_GB2312" w:cs="仿宋_GB2312"/>
                <w:sz w:val="20"/>
                <w:szCs w:val="20"/>
              </w:rPr>
            </w:pPr>
            <w:r>
              <w:rPr>
                <w:rFonts w:hint="eastAsia" w:eastAsia="仿宋_GB2312"/>
                <w:snapToGrid w:val="0"/>
                <w:color w:val="000000"/>
                <w:sz w:val="20"/>
                <w:szCs w:val="20"/>
              </w:rPr>
              <w:t>第二十八条：采矿权人在采矿许可证有效期内或者有</w:t>
            </w:r>
            <w:r>
              <w:rPr>
                <w:rFonts w:hint="eastAsia" w:eastAsia="仿宋_GB2312"/>
                <w:snapToGrid w:val="0"/>
                <w:color w:val="000000"/>
                <w:spacing w:val="-2"/>
                <w:sz w:val="20"/>
                <w:szCs w:val="20"/>
              </w:rPr>
              <w:t>效期届满，停办、关闭矿山的，应当自决定停办或者关闭矿山之日起30日内，向原发证机关申请办理采矿许可证注销登记手续。发证机关应在接到报告之日起15日内审批完毕。</w:t>
            </w:r>
          </w:p>
        </w:tc>
        <w:tc>
          <w:tcPr>
            <w:tcW w:w="2895" w:type="dxa"/>
            <w:vAlign w:val="center"/>
          </w:tcPr>
          <w:p w14:paraId="379B104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1.受理责任：公示依法应当提交的材料，一次性告知补正材料，依法受理或不予受理（不予受理应当告知理由）。</w:t>
            </w:r>
          </w:p>
          <w:p w14:paraId="2E6A652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2.审查责任：对申请材料进行审查、提出审查意见。</w:t>
            </w:r>
          </w:p>
          <w:p w14:paraId="69F7A38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3.决定责任：作出行政许可或者不予行政许可决定，法定告知（不予批准的要说明理由）。</w:t>
            </w:r>
          </w:p>
          <w:p w14:paraId="4715599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4．送达责任：依法制作采矿许可证、采矿登记通知等材料并送达。</w:t>
            </w:r>
          </w:p>
          <w:p w14:paraId="19484A4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前事后监管责任：（1）采矿权延续登记前置相关材料组织审查等工作；（2）涉及的矿业权价出让收益评估管理有关工作；（3）取得采矿许可证后开展定期和不定期检查，根据检查情况，依法采取相关处置措施。</w:t>
            </w:r>
          </w:p>
          <w:p w14:paraId="02979DC7">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6453" w:type="dxa"/>
            <w:vAlign w:val="center"/>
          </w:tcPr>
          <w:p w14:paraId="135C7AC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67D6447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60F22D9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法律】《中华人民共和国行政许可法》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2FFD59A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行政法规】《矿产资源开采登记管理办法》（1998年国务院令第241号公布，2014年国务院令第653号修订）第六条第一款：登记管理机关应当自收到申请之日起40日内，作出准予登记或不予登记的决定，并通知采矿权申请人。</w:t>
            </w:r>
          </w:p>
          <w:p w14:paraId="387ED10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第二十五条：审批管理机关工作人员徇私舞弊、滥用职权、玩忽职守、构成犯罪的，依法追究刑事责任；尚不构成犯罪的，依法给予行政处分。</w:t>
            </w:r>
          </w:p>
          <w:p w14:paraId="693C096F">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5．【地方性法规】《广西壮族自治区矿产资源管理条例》（2000年12月2日广西壮族自治区第九届人民代表大会常务委员会第二十一次会议通过，根据2016年11月30日广西壮族自治区第十二届人民代表大会常务委员会第二十六次会议《关于废止和修改部分地方性法规的决定》修正）第八条：县级以上地质矿产主管部门负责本行政区域内矿产资源勘查、开采的监督管理工作，有关主管部门协助同级地质矿产主管部门做好矿产资源勘查、开采的监督管理工作。</w:t>
            </w:r>
          </w:p>
        </w:tc>
        <w:tc>
          <w:tcPr>
            <w:tcW w:w="330" w:type="dxa"/>
            <w:vAlign w:val="center"/>
          </w:tcPr>
          <w:p w14:paraId="7020AFDC">
            <w:pPr>
              <w:snapToGrid w:val="0"/>
              <w:spacing w:line="240" w:lineRule="atLeast"/>
              <w:jc w:val="center"/>
              <w:rPr>
                <w:rFonts w:ascii="仿宋_GB2312" w:hAnsi="仿宋_GB2312" w:eastAsia="仿宋_GB2312" w:cs="仿宋_GB2312"/>
                <w:sz w:val="20"/>
                <w:szCs w:val="20"/>
              </w:rPr>
            </w:pPr>
          </w:p>
        </w:tc>
      </w:tr>
    </w:tbl>
    <w:p w14:paraId="712E12D2"/>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
        <w:gridCol w:w="619"/>
        <w:gridCol w:w="645"/>
        <w:gridCol w:w="600"/>
        <w:gridCol w:w="660"/>
        <w:gridCol w:w="1125"/>
        <w:gridCol w:w="6072"/>
        <w:gridCol w:w="4245"/>
        <w:gridCol w:w="7698"/>
        <w:gridCol w:w="330"/>
      </w:tblGrid>
      <w:tr w14:paraId="31780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76" w:type="dxa"/>
            <w:vMerge w:val="restart"/>
            <w:vAlign w:val="center"/>
          </w:tcPr>
          <w:p w14:paraId="4A40A800">
            <w:pPr>
              <w:snapToGrid w:val="0"/>
              <w:spacing w:line="240" w:lineRule="atLeast"/>
              <w:rPr>
                <w:rFonts w:asciiTheme="majorEastAsia" w:hAnsiTheme="majorEastAsia" w:eastAsiaTheme="majorEastAsia" w:cstheme="majorEastAsia"/>
                <w:sz w:val="20"/>
                <w:szCs w:val="20"/>
              </w:rPr>
            </w:pPr>
          </w:p>
          <w:p w14:paraId="272915B3">
            <w:pPr>
              <w:snapToGrid w:val="0"/>
              <w:spacing w:line="240" w:lineRule="atLeast"/>
              <w:rPr>
                <w:rFonts w:asciiTheme="majorEastAsia" w:hAnsiTheme="majorEastAsia" w:eastAsiaTheme="majorEastAsia" w:cstheme="majorEastAsia"/>
                <w:sz w:val="20"/>
                <w:szCs w:val="20"/>
              </w:rPr>
            </w:pPr>
          </w:p>
          <w:p w14:paraId="3C176471">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序</w:t>
            </w:r>
          </w:p>
          <w:p w14:paraId="594364D2">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号</w:t>
            </w:r>
          </w:p>
        </w:tc>
        <w:tc>
          <w:tcPr>
            <w:tcW w:w="619" w:type="dxa"/>
            <w:vMerge w:val="restart"/>
            <w:vAlign w:val="center"/>
          </w:tcPr>
          <w:p w14:paraId="3BC1105E">
            <w:pPr>
              <w:spacing w:line="240" w:lineRule="atLeast"/>
              <w:rPr>
                <w:rFonts w:asciiTheme="majorEastAsia" w:hAnsiTheme="majorEastAsia" w:eastAsiaTheme="majorEastAsia" w:cstheme="majorEastAsia"/>
                <w:sz w:val="20"/>
                <w:szCs w:val="20"/>
              </w:rPr>
            </w:pPr>
          </w:p>
          <w:p w14:paraId="1E23CD2D">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权力分类</w:t>
            </w:r>
          </w:p>
        </w:tc>
        <w:tc>
          <w:tcPr>
            <w:tcW w:w="9102" w:type="dxa"/>
            <w:gridSpan w:val="5"/>
          </w:tcPr>
          <w:p w14:paraId="65A9B0A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43" w:type="dxa"/>
            <w:gridSpan w:val="2"/>
          </w:tcPr>
          <w:p w14:paraId="698F3AC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0561200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D0EB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376" w:type="dxa"/>
            <w:vMerge w:val="continue"/>
          </w:tcPr>
          <w:p w14:paraId="2ED24BD3">
            <w:pPr>
              <w:spacing w:line="240" w:lineRule="atLeast"/>
              <w:jc w:val="left"/>
              <w:rPr>
                <w:rFonts w:ascii="仿宋_GB2312" w:hAnsi="仿宋_GB2312" w:eastAsia="仿宋_GB2312" w:cs="仿宋_GB2312"/>
                <w:sz w:val="20"/>
                <w:szCs w:val="20"/>
              </w:rPr>
            </w:pPr>
          </w:p>
        </w:tc>
        <w:tc>
          <w:tcPr>
            <w:tcW w:w="619" w:type="dxa"/>
            <w:vMerge w:val="continue"/>
          </w:tcPr>
          <w:p w14:paraId="32095D39">
            <w:pPr>
              <w:spacing w:line="240" w:lineRule="atLeast"/>
              <w:jc w:val="left"/>
              <w:rPr>
                <w:rFonts w:ascii="仿宋_GB2312" w:hAnsi="仿宋_GB2312" w:eastAsia="仿宋_GB2312" w:cs="仿宋_GB2312"/>
                <w:sz w:val="20"/>
                <w:szCs w:val="20"/>
              </w:rPr>
            </w:pPr>
          </w:p>
        </w:tc>
        <w:tc>
          <w:tcPr>
            <w:tcW w:w="645" w:type="dxa"/>
            <w:vAlign w:val="center"/>
          </w:tcPr>
          <w:p w14:paraId="22DC85F8">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项目名称</w:t>
            </w:r>
          </w:p>
        </w:tc>
        <w:tc>
          <w:tcPr>
            <w:tcW w:w="600" w:type="dxa"/>
            <w:vAlign w:val="center"/>
          </w:tcPr>
          <w:p w14:paraId="25B63312">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18"/>
                <w:szCs w:val="18"/>
              </w:rPr>
              <w:t>子项名称</w:t>
            </w:r>
          </w:p>
        </w:tc>
        <w:tc>
          <w:tcPr>
            <w:tcW w:w="660" w:type="dxa"/>
            <w:vAlign w:val="center"/>
          </w:tcPr>
          <w:p w14:paraId="256D63EC">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实施主体</w:t>
            </w:r>
          </w:p>
        </w:tc>
        <w:tc>
          <w:tcPr>
            <w:tcW w:w="1125" w:type="dxa"/>
            <w:vAlign w:val="center"/>
          </w:tcPr>
          <w:p w14:paraId="27C604EA">
            <w:pPr>
              <w:widowControl/>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承办的内设机构和单位</w:t>
            </w:r>
          </w:p>
        </w:tc>
        <w:tc>
          <w:tcPr>
            <w:tcW w:w="6072" w:type="dxa"/>
            <w:vAlign w:val="center"/>
          </w:tcPr>
          <w:p w14:paraId="299FAC7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245" w:type="dxa"/>
            <w:vAlign w:val="center"/>
          </w:tcPr>
          <w:p w14:paraId="74774A8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973410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698" w:type="dxa"/>
            <w:vAlign w:val="center"/>
          </w:tcPr>
          <w:p w14:paraId="34F45AB7">
            <w:pPr>
              <w:snapToGrid w:val="0"/>
              <w:spacing w:line="240" w:lineRule="atLeast"/>
              <w:ind w:firstLine="200" w:firstLineChars="100"/>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3759A491">
            <w:pPr>
              <w:spacing w:line="240" w:lineRule="atLeast"/>
              <w:jc w:val="left"/>
              <w:rPr>
                <w:rFonts w:ascii="仿宋_GB2312" w:hAnsi="仿宋_GB2312" w:eastAsia="仿宋_GB2312" w:cs="仿宋_GB2312"/>
                <w:sz w:val="20"/>
                <w:szCs w:val="20"/>
              </w:rPr>
            </w:pPr>
          </w:p>
        </w:tc>
      </w:tr>
      <w:tr w14:paraId="36303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2" w:hRule="atLeast"/>
        </w:trPr>
        <w:tc>
          <w:tcPr>
            <w:tcW w:w="376" w:type="dxa"/>
            <w:vAlign w:val="center"/>
          </w:tcPr>
          <w:p w14:paraId="25E7CA2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w:t>
            </w:r>
          </w:p>
        </w:tc>
        <w:tc>
          <w:tcPr>
            <w:tcW w:w="619" w:type="dxa"/>
            <w:vAlign w:val="center"/>
          </w:tcPr>
          <w:p w14:paraId="2D46674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6D11C1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D8BE4E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3D1D954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45" w:type="dxa"/>
            <w:vAlign w:val="center"/>
          </w:tcPr>
          <w:p w14:paraId="2A96FD2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乡（镇）村企业使用集体建设用地审批</w:t>
            </w:r>
          </w:p>
        </w:tc>
        <w:tc>
          <w:tcPr>
            <w:tcW w:w="600" w:type="dxa"/>
            <w:vAlign w:val="center"/>
          </w:tcPr>
          <w:p w14:paraId="5F9F0877">
            <w:pPr>
              <w:snapToGrid w:val="0"/>
              <w:spacing w:line="240" w:lineRule="atLeast"/>
              <w:jc w:val="center"/>
              <w:rPr>
                <w:rFonts w:ascii="仿宋_GB2312" w:hAnsi="仿宋_GB2312" w:eastAsia="仿宋_GB2312" w:cs="仿宋_GB2312"/>
                <w:sz w:val="20"/>
                <w:szCs w:val="20"/>
              </w:rPr>
            </w:pPr>
          </w:p>
        </w:tc>
        <w:tc>
          <w:tcPr>
            <w:tcW w:w="660" w:type="dxa"/>
            <w:vAlign w:val="center"/>
          </w:tcPr>
          <w:p w14:paraId="66D8A9A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25" w:type="dxa"/>
            <w:vAlign w:val="center"/>
          </w:tcPr>
          <w:p w14:paraId="3FA2D1F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自然资源开发利用科</w:t>
            </w:r>
          </w:p>
        </w:tc>
        <w:tc>
          <w:tcPr>
            <w:tcW w:w="6072" w:type="dxa"/>
            <w:vAlign w:val="center"/>
          </w:tcPr>
          <w:p w14:paraId="77B496C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1.【法律】《中华人民共和国土地管理法》第六十条第一款 ：农村集体经济组织使用乡（镇）土地利用总体规划确定的建设用地兴办企业或者与其他单位、个人以土地使用权入股、联营等形式共同举办企业的，应当持有关批准文件，向县级以上地方人民政府自然资源主管部门提出申请，按照省、自治区、直辖市规定的批准权限，由县级以上地方人民政府批准；其中，涉及占用农用地的，依照本法第四十四条的规定办理审批手续。</w:t>
            </w:r>
          </w:p>
          <w:p w14:paraId="01B0832A">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地方性法规】《广西壮族自治区实施〈中华人民共和国土地管理法〉办法》（2001年7月29日广西壮族自治区第九届人民代表大会常务委员会第二十五次会议通过，自2001年9月1日起施行，2019年7月25日修正）第四十三条第一款 ：农村集体经济组织使用乡（镇）土地利用总体规划确定的建设用地兴办企业或者以土地使用权入股、联营等形式与其他单位、个人共同举办企业以及乡（镇）村公共设施、公益事业建设需要使用土地的，由设区的市、县（市）人民政府批准。</w:t>
            </w:r>
          </w:p>
        </w:tc>
        <w:tc>
          <w:tcPr>
            <w:tcW w:w="4245" w:type="dxa"/>
            <w:vAlign w:val="center"/>
          </w:tcPr>
          <w:p w14:paraId="37FFAEC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2F746F5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w:t>
            </w:r>
          </w:p>
          <w:p w14:paraId="7FB4150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3.送审责任：在法定期限内提出审核意见，上报市人民政府批准。</w:t>
            </w:r>
          </w:p>
          <w:p w14:paraId="7E36E98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4．送达责任：获市人民政府准予许可的，送达审批决定。</w:t>
            </w:r>
          </w:p>
          <w:p w14:paraId="369A169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5．事后监管环节责任：对审批后的相关事宜实施监督管理。</w:t>
            </w:r>
          </w:p>
          <w:p w14:paraId="7860DB00">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698" w:type="dxa"/>
            <w:vAlign w:val="center"/>
          </w:tcPr>
          <w:p w14:paraId="04E8886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05A5A6F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3166A41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2E9FE9F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5C351FB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5A5E820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14:paraId="2FCCDA2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59ACE82A">
            <w:pPr>
              <w:snapToGrid w:val="0"/>
              <w:spacing w:line="240" w:lineRule="atLeast"/>
              <w:jc w:val="center"/>
              <w:rPr>
                <w:rFonts w:ascii="仿宋_GB2312" w:hAnsi="仿宋_GB2312" w:eastAsia="仿宋_GB2312" w:cs="仿宋_GB2312"/>
                <w:sz w:val="20"/>
                <w:szCs w:val="20"/>
              </w:rPr>
            </w:pPr>
          </w:p>
        </w:tc>
      </w:tr>
    </w:tbl>
    <w:p w14:paraId="0919BA43"/>
    <w:p w14:paraId="7B42D194"/>
    <w:p w14:paraId="103672AC"/>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
        <w:gridCol w:w="619"/>
        <w:gridCol w:w="645"/>
        <w:gridCol w:w="600"/>
        <w:gridCol w:w="660"/>
        <w:gridCol w:w="1125"/>
        <w:gridCol w:w="6087"/>
        <w:gridCol w:w="4260"/>
        <w:gridCol w:w="7668"/>
        <w:gridCol w:w="330"/>
      </w:tblGrid>
      <w:tr w14:paraId="21AC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76" w:type="dxa"/>
            <w:vMerge w:val="restart"/>
            <w:vAlign w:val="center"/>
          </w:tcPr>
          <w:p w14:paraId="5C64E48B">
            <w:pPr>
              <w:snapToGrid w:val="0"/>
              <w:spacing w:line="240" w:lineRule="atLeast"/>
              <w:rPr>
                <w:rFonts w:asciiTheme="majorEastAsia" w:hAnsiTheme="majorEastAsia" w:eastAsiaTheme="majorEastAsia" w:cstheme="majorEastAsia"/>
                <w:sz w:val="20"/>
                <w:szCs w:val="20"/>
              </w:rPr>
            </w:pPr>
          </w:p>
          <w:p w14:paraId="74911748">
            <w:pPr>
              <w:snapToGrid w:val="0"/>
              <w:spacing w:line="240" w:lineRule="atLeast"/>
              <w:rPr>
                <w:rFonts w:asciiTheme="majorEastAsia" w:hAnsiTheme="majorEastAsia" w:eastAsiaTheme="majorEastAsia" w:cstheme="majorEastAsia"/>
                <w:sz w:val="20"/>
                <w:szCs w:val="20"/>
              </w:rPr>
            </w:pPr>
          </w:p>
          <w:p w14:paraId="6906B0A9">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序</w:t>
            </w:r>
          </w:p>
          <w:p w14:paraId="45C0D0D8">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号</w:t>
            </w:r>
          </w:p>
        </w:tc>
        <w:tc>
          <w:tcPr>
            <w:tcW w:w="619" w:type="dxa"/>
            <w:vMerge w:val="restart"/>
            <w:vAlign w:val="center"/>
          </w:tcPr>
          <w:p w14:paraId="11754C84">
            <w:pPr>
              <w:spacing w:line="240" w:lineRule="atLeast"/>
              <w:rPr>
                <w:rFonts w:asciiTheme="majorEastAsia" w:hAnsiTheme="majorEastAsia" w:eastAsiaTheme="majorEastAsia" w:cstheme="majorEastAsia"/>
                <w:sz w:val="20"/>
                <w:szCs w:val="20"/>
              </w:rPr>
            </w:pPr>
          </w:p>
          <w:p w14:paraId="5E390162">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权力分类</w:t>
            </w:r>
          </w:p>
        </w:tc>
        <w:tc>
          <w:tcPr>
            <w:tcW w:w="9117" w:type="dxa"/>
            <w:gridSpan w:val="5"/>
          </w:tcPr>
          <w:p w14:paraId="5B77F2B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28" w:type="dxa"/>
            <w:gridSpan w:val="2"/>
          </w:tcPr>
          <w:p w14:paraId="052322A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251B6C6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E4A5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376" w:type="dxa"/>
            <w:vMerge w:val="continue"/>
          </w:tcPr>
          <w:p w14:paraId="13E423B3">
            <w:pPr>
              <w:spacing w:line="240" w:lineRule="atLeast"/>
              <w:jc w:val="left"/>
              <w:rPr>
                <w:rFonts w:ascii="仿宋_GB2312" w:hAnsi="仿宋_GB2312" w:eastAsia="仿宋_GB2312" w:cs="仿宋_GB2312"/>
                <w:sz w:val="20"/>
                <w:szCs w:val="20"/>
              </w:rPr>
            </w:pPr>
          </w:p>
        </w:tc>
        <w:tc>
          <w:tcPr>
            <w:tcW w:w="619" w:type="dxa"/>
            <w:vMerge w:val="continue"/>
          </w:tcPr>
          <w:p w14:paraId="3FBAFAA8">
            <w:pPr>
              <w:spacing w:line="240" w:lineRule="atLeast"/>
              <w:jc w:val="left"/>
              <w:rPr>
                <w:rFonts w:ascii="仿宋_GB2312" w:hAnsi="仿宋_GB2312" w:eastAsia="仿宋_GB2312" w:cs="仿宋_GB2312"/>
                <w:sz w:val="20"/>
                <w:szCs w:val="20"/>
              </w:rPr>
            </w:pPr>
          </w:p>
        </w:tc>
        <w:tc>
          <w:tcPr>
            <w:tcW w:w="645" w:type="dxa"/>
            <w:vAlign w:val="center"/>
          </w:tcPr>
          <w:p w14:paraId="3B19C54A">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项目名称</w:t>
            </w:r>
          </w:p>
        </w:tc>
        <w:tc>
          <w:tcPr>
            <w:tcW w:w="600" w:type="dxa"/>
            <w:vAlign w:val="center"/>
          </w:tcPr>
          <w:p w14:paraId="33CBD03E">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18"/>
                <w:szCs w:val="18"/>
              </w:rPr>
              <w:t>子项名称</w:t>
            </w:r>
          </w:p>
        </w:tc>
        <w:tc>
          <w:tcPr>
            <w:tcW w:w="660" w:type="dxa"/>
            <w:vAlign w:val="center"/>
          </w:tcPr>
          <w:p w14:paraId="2736942D">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实施主体</w:t>
            </w:r>
          </w:p>
        </w:tc>
        <w:tc>
          <w:tcPr>
            <w:tcW w:w="1125" w:type="dxa"/>
            <w:vAlign w:val="center"/>
          </w:tcPr>
          <w:p w14:paraId="02413457">
            <w:pPr>
              <w:widowControl/>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承办的内设机构和单位</w:t>
            </w:r>
          </w:p>
        </w:tc>
        <w:tc>
          <w:tcPr>
            <w:tcW w:w="6087" w:type="dxa"/>
            <w:vAlign w:val="center"/>
          </w:tcPr>
          <w:p w14:paraId="0658049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260" w:type="dxa"/>
            <w:vAlign w:val="center"/>
          </w:tcPr>
          <w:p w14:paraId="41797E4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E0208D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668" w:type="dxa"/>
            <w:vAlign w:val="center"/>
          </w:tcPr>
          <w:p w14:paraId="7CB1E86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149CCEED">
            <w:pPr>
              <w:spacing w:line="240" w:lineRule="atLeast"/>
              <w:jc w:val="left"/>
              <w:rPr>
                <w:rFonts w:ascii="仿宋_GB2312" w:hAnsi="仿宋_GB2312" w:eastAsia="仿宋_GB2312" w:cs="仿宋_GB2312"/>
                <w:sz w:val="20"/>
                <w:szCs w:val="20"/>
              </w:rPr>
            </w:pPr>
          </w:p>
        </w:tc>
      </w:tr>
      <w:tr w14:paraId="0E9B0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376" w:type="dxa"/>
            <w:vAlign w:val="center"/>
          </w:tcPr>
          <w:p w14:paraId="3FBC882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w:t>
            </w:r>
          </w:p>
        </w:tc>
        <w:tc>
          <w:tcPr>
            <w:tcW w:w="619" w:type="dxa"/>
            <w:vAlign w:val="center"/>
          </w:tcPr>
          <w:p w14:paraId="05BCF3B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1C4CBA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9CAF39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520D458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45" w:type="dxa"/>
            <w:vAlign w:val="center"/>
          </w:tcPr>
          <w:p w14:paraId="0AF3D36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乡（镇）村公共设施、公益事业使用集体建设用地审批</w:t>
            </w:r>
          </w:p>
        </w:tc>
        <w:tc>
          <w:tcPr>
            <w:tcW w:w="600" w:type="dxa"/>
            <w:vAlign w:val="center"/>
          </w:tcPr>
          <w:p w14:paraId="21FBF4D2">
            <w:pPr>
              <w:snapToGrid w:val="0"/>
              <w:spacing w:line="240" w:lineRule="atLeast"/>
              <w:jc w:val="center"/>
              <w:rPr>
                <w:rFonts w:ascii="仿宋_GB2312" w:hAnsi="仿宋_GB2312" w:eastAsia="仿宋_GB2312" w:cs="仿宋_GB2312"/>
                <w:sz w:val="20"/>
                <w:szCs w:val="20"/>
              </w:rPr>
            </w:pPr>
          </w:p>
        </w:tc>
        <w:tc>
          <w:tcPr>
            <w:tcW w:w="660" w:type="dxa"/>
            <w:vAlign w:val="center"/>
          </w:tcPr>
          <w:p w14:paraId="1E361CD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25" w:type="dxa"/>
            <w:vAlign w:val="center"/>
          </w:tcPr>
          <w:p w14:paraId="368CA6D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自然资源开发利用科</w:t>
            </w:r>
          </w:p>
        </w:tc>
        <w:tc>
          <w:tcPr>
            <w:tcW w:w="6087" w:type="dxa"/>
            <w:vAlign w:val="center"/>
          </w:tcPr>
          <w:p w14:paraId="393AE31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1.【法律】《中华人民共和国土地管理法》第六十一条：乡（镇）村公共设施、公益事业建设，需要使用土地的，经乡（镇）人民政府审核，向县级以上地方人民政府自然资源主管部门提出申请，按照省、自治区、直辖市规定的批准权限，由县级以上地方人民政府批准；其中，涉及占用农用地的，依照本法第四十四条的规定办理审批手续。</w:t>
            </w:r>
          </w:p>
          <w:p w14:paraId="3DE3031D">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2.【地方性法规】《广西壮族自治区实施〈中华人民共和国土地管理法〉办法》（</w:t>
            </w:r>
            <w:r>
              <w:rPr>
                <w:rFonts w:hint="eastAsia" w:eastAsia="仿宋_GB2312"/>
                <w:snapToGrid w:val="0"/>
                <w:color w:val="000000"/>
                <w:sz w:val="20"/>
                <w:szCs w:val="20"/>
              </w:rPr>
              <w:t>2001</w:t>
            </w:r>
            <w:r>
              <w:rPr>
                <w:rFonts w:hint="eastAsia" w:eastAsia="仿宋_GB2312" w:cs="宋体"/>
                <w:snapToGrid w:val="0"/>
                <w:color w:val="000000"/>
                <w:sz w:val="20"/>
                <w:szCs w:val="20"/>
              </w:rPr>
              <w:t>年</w:t>
            </w:r>
            <w:r>
              <w:rPr>
                <w:rFonts w:hint="eastAsia" w:eastAsia="仿宋_GB2312"/>
                <w:snapToGrid w:val="0"/>
                <w:color w:val="000000"/>
                <w:sz w:val="20"/>
                <w:szCs w:val="20"/>
              </w:rPr>
              <w:t>7</w:t>
            </w:r>
            <w:r>
              <w:rPr>
                <w:rFonts w:hint="eastAsia" w:eastAsia="仿宋_GB2312" w:cs="宋体"/>
                <w:snapToGrid w:val="0"/>
                <w:color w:val="000000"/>
                <w:sz w:val="20"/>
                <w:szCs w:val="20"/>
              </w:rPr>
              <w:t>月</w:t>
            </w:r>
            <w:r>
              <w:rPr>
                <w:rFonts w:hint="eastAsia" w:eastAsia="仿宋_GB2312"/>
                <w:snapToGrid w:val="0"/>
                <w:color w:val="000000"/>
                <w:sz w:val="20"/>
                <w:szCs w:val="20"/>
              </w:rPr>
              <w:t>29</w:t>
            </w:r>
            <w:r>
              <w:rPr>
                <w:rFonts w:hint="eastAsia" w:eastAsia="仿宋_GB2312" w:cs="宋体"/>
                <w:snapToGrid w:val="0"/>
                <w:color w:val="000000"/>
                <w:sz w:val="20"/>
                <w:szCs w:val="20"/>
              </w:rPr>
              <w:t>日广西壮族自治区第九届人民代表大会常务委员会第二十五次会议通过，自</w:t>
            </w:r>
            <w:r>
              <w:rPr>
                <w:rFonts w:hint="eastAsia" w:eastAsia="仿宋_GB2312"/>
                <w:snapToGrid w:val="0"/>
                <w:color w:val="000000"/>
                <w:sz w:val="20"/>
                <w:szCs w:val="20"/>
              </w:rPr>
              <w:t>2001</w:t>
            </w:r>
            <w:r>
              <w:rPr>
                <w:rFonts w:hint="eastAsia" w:eastAsia="仿宋_GB2312" w:cs="宋体"/>
                <w:snapToGrid w:val="0"/>
                <w:color w:val="000000"/>
                <w:sz w:val="20"/>
                <w:szCs w:val="20"/>
              </w:rPr>
              <w:t>年</w:t>
            </w:r>
            <w:r>
              <w:rPr>
                <w:rFonts w:hint="eastAsia" w:eastAsia="仿宋_GB2312"/>
                <w:snapToGrid w:val="0"/>
                <w:color w:val="000000"/>
                <w:sz w:val="20"/>
                <w:szCs w:val="20"/>
              </w:rPr>
              <w:t>9</w:t>
            </w:r>
            <w:r>
              <w:rPr>
                <w:rFonts w:hint="eastAsia" w:eastAsia="仿宋_GB2312" w:cs="宋体"/>
                <w:snapToGrid w:val="0"/>
                <w:color w:val="000000"/>
                <w:sz w:val="20"/>
                <w:szCs w:val="20"/>
              </w:rPr>
              <w:t>月</w:t>
            </w:r>
            <w:r>
              <w:rPr>
                <w:rFonts w:hint="eastAsia" w:eastAsia="仿宋_GB2312"/>
                <w:snapToGrid w:val="0"/>
                <w:color w:val="000000"/>
                <w:sz w:val="20"/>
                <w:szCs w:val="20"/>
              </w:rPr>
              <w:t>1</w:t>
            </w:r>
            <w:r>
              <w:rPr>
                <w:rFonts w:hint="eastAsia" w:eastAsia="仿宋_GB2312" w:cs="宋体"/>
                <w:snapToGrid w:val="0"/>
                <w:color w:val="000000"/>
                <w:sz w:val="20"/>
                <w:szCs w:val="20"/>
              </w:rPr>
              <w:t>日起施行，</w:t>
            </w:r>
            <w:r>
              <w:rPr>
                <w:rFonts w:hint="eastAsia" w:eastAsia="仿宋_GB2312"/>
                <w:snapToGrid w:val="0"/>
                <w:color w:val="000000"/>
                <w:sz w:val="20"/>
                <w:szCs w:val="20"/>
              </w:rPr>
              <w:t>2019</w:t>
            </w:r>
            <w:r>
              <w:rPr>
                <w:rFonts w:hint="eastAsia" w:eastAsia="仿宋_GB2312" w:cs="宋体"/>
                <w:snapToGrid w:val="0"/>
                <w:color w:val="000000"/>
                <w:sz w:val="20"/>
                <w:szCs w:val="20"/>
              </w:rPr>
              <w:t>年</w:t>
            </w:r>
            <w:r>
              <w:rPr>
                <w:rFonts w:hint="eastAsia" w:eastAsia="仿宋_GB2312"/>
                <w:snapToGrid w:val="0"/>
                <w:color w:val="000000"/>
                <w:sz w:val="20"/>
                <w:szCs w:val="20"/>
              </w:rPr>
              <w:t>7</w:t>
            </w:r>
            <w:r>
              <w:rPr>
                <w:rFonts w:hint="eastAsia" w:eastAsia="仿宋_GB2312" w:cs="宋体"/>
                <w:snapToGrid w:val="0"/>
                <w:color w:val="000000"/>
                <w:sz w:val="20"/>
                <w:szCs w:val="20"/>
              </w:rPr>
              <w:t>月</w:t>
            </w:r>
            <w:r>
              <w:rPr>
                <w:rFonts w:hint="eastAsia" w:eastAsia="仿宋_GB2312"/>
                <w:snapToGrid w:val="0"/>
                <w:color w:val="000000"/>
                <w:sz w:val="20"/>
                <w:szCs w:val="20"/>
              </w:rPr>
              <w:t>25</w:t>
            </w:r>
            <w:r>
              <w:rPr>
                <w:rFonts w:hint="eastAsia" w:eastAsia="仿宋_GB2312" w:cs="宋体"/>
                <w:snapToGrid w:val="0"/>
                <w:color w:val="000000"/>
                <w:sz w:val="20"/>
                <w:szCs w:val="20"/>
              </w:rPr>
              <w:t>日修正）第四十三条第一款 ：农村集体经济组织使用乡（镇）土地利用总体规划确定的建设用地兴办企业或者以土地使用权入股、联营等形式与其他单位、个人共同举办企业以及乡（镇）村公共设施、公益事业建设需要使用土地的，由设区的市、县（市）人民政府批准。</w:t>
            </w:r>
          </w:p>
        </w:tc>
        <w:tc>
          <w:tcPr>
            <w:tcW w:w="4260" w:type="dxa"/>
            <w:vAlign w:val="center"/>
          </w:tcPr>
          <w:p w14:paraId="61925BC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69CB077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w:t>
            </w:r>
          </w:p>
          <w:p w14:paraId="6BBFAEB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3.送审责任：在法定期限内提出审核意见，上报同级人民政府批准。</w:t>
            </w:r>
          </w:p>
          <w:p w14:paraId="22FA511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4．送达责任：获同级人民政府准予许可的，送达审批决定。</w:t>
            </w:r>
          </w:p>
          <w:p w14:paraId="43A7FDE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5．事后监管环节责任：对审批后的相关事宜实施监督管理。</w:t>
            </w:r>
          </w:p>
          <w:p w14:paraId="637B4806">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668" w:type="dxa"/>
            <w:vAlign w:val="center"/>
          </w:tcPr>
          <w:p w14:paraId="7E34F29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50A229B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3F51379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454C8F6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7710DC6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107AD0D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14:paraId="5F8D6AD2">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2EA3C320">
            <w:pPr>
              <w:snapToGrid w:val="0"/>
              <w:spacing w:line="240" w:lineRule="atLeast"/>
              <w:jc w:val="center"/>
              <w:rPr>
                <w:rFonts w:ascii="仿宋_GB2312" w:hAnsi="仿宋_GB2312" w:eastAsia="仿宋_GB2312" w:cs="仿宋_GB2312"/>
                <w:sz w:val="20"/>
                <w:szCs w:val="20"/>
              </w:rPr>
            </w:pPr>
          </w:p>
        </w:tc>
      </w:tr>
    </w:tbl>
    <w:p w14:paraId="102E00B5"/>
    <w:p w14:paraId="2DD8C348"/>
    <w:p w14:paraId="5CF985A3"/>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558"/>
        <w:gridCol w:w="645"/>
        <w:gridCol w:w="600"/>
        <w:gridCol w:w="660"/>
        <w:gridCol w:w="1125"/>
        <w:gridCol w:w="6087"/>
        <w:gridCol w:w="4260"/>
        <w:gridCol w:w="7668"/>
        <w:gridCol w:w="330"/>
      </w:tblGrid>
      <w:tr w14:paraId="0C5D8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437" w:type="dxa"/>
            <w:vMerge w:val="restart"/>
            <w:vAlign w:val="center"/>
          </w:tcPr>
          <w:p w14:paraId="1B733BA1">
            <w:pPr>
              <w:snapToGrid w:val="0"/>
              <w:spacing w:line="240" w:lineRule="atLeast"/>
              <w:rPr>
                <w:rFonts w:asciiTheme="majorEastAsia" w:hAnsiTheme="majorEastAsia" w:eastAsiaTheme="majorEastAsia" w:cstheme="majorEastAsia"/>
                <w:sz w:val="20"/>
                <w:szCs w:val="20"/>
              </w:rPr>
            </w:pPr>
          </w:p>
          <w:p w14:paraId="572AF886">
            <w:pPr>
              <w:snapToGrid w:val="0"/>
              <w:spacing w:line="240" w:lineRule="atLeast"/>
              <w:rPr>
                <w:rFonts w:asciiTheme="majorEastAsia" w:hAnsiTheme="majorEastAsia" w:eastAsiaTheme="majorEastAsia" w:cstheme="majorEastAsia"/>
                <w:sz w:val="20"/>
                <w:szCs w:val="20"/>
              </w:rPr>
            </w:pPr>
          </w:p>
          <w:p w14:paraId="4B11B0CB">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序</w:t>
            </w:r>
          </w:p>
          <w:p w14:paraId="57B1C98E">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号</w:t>
            </w:r>
          </w:p>
        </w:tc>
        <w:tc>
          <w:tcPr>
            <w:tcW w:w="558" w:type="dxa"/>
            <w:vMerge w:val="restart"/>
            <w:vAlign w:val="center"/>
          </w:tcPr>
          <w:p w14:paraId="7163F2C8">
            <w:pPr>
              <w:spacing w:line="240" w:lineRule="atLeast"/>
              <w:rPr>
                <w:rFonts w:asciiTheme="majorEastAsia" w:hAnsiTheme="majorEastAsia" w:eastAsiaTheme="majorEastAsia" w:cstheme="majorEastAsia"/>
                <w:sz w:val="20"/>
                <w:szCs w:val="20"/>
              </w:rPr>
            </w:pPr>
          </w:p>
          <w:p w14:paraId="4B44752F">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权力分类</w:t>
            </w:r>
          </w:p>
        </w:tc>
        <w:tc>
          <w:tcPr>
            <w:tcW w:w="9117" w:type="dxa"/>
            <w:gridSpan w:val="5"/>
          </w:tcPr>
          <w:p w14:paraId="4C21498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28" w:type="dxa"/>
            <w:gridSpan w:val="2"/>
          </w:tcPr>
          <w:p w14:paraId="44C40AE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50C1D39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0226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437" w:type="dxa"/>
            <w:vMerge w:val="continue"/>
          </w:tcPr>
          <w:p w14:paraId="5FEA0826">
            <w:pPr>
              <w:spacing w:line="240" w:lineRule="atLeast"/>
              <w:jc w:val="left"/>
              <w:rPr>
                <w:rFonts w:ascii="仿宋_GB2312" w:hAnsi="仿宋_GB2312" w:eastAsia="仿宋_GB2312" w:cs="仿宋_GB2312"/>
                <w:sz w:val="20"/>
                <w:szCs w:val="20"/>
              </w:rPr>
            </w:pPr>
          </w:p>
        </w:tc>
        <w:tc>
          <w:tcPr>
            <w:tcW w:w="558" w:type="dxa"/>
            <w:vMerge w:val="continue"/>
          </w:tcPr>
          <w:p w14:paraId="247A32F5">
            <w:pPr>
              <w:spacing w:line="240" w:lineRule="atLeast"/>
              <w:jc w:val="left"/>
              <w:rPr>
                <w:rFonts w:ascii="仿宋_GB2312" w:hAnsi="仿宋_GB2312" w:eastAsia="仿宋_GB2312" w:cs="仿宋_GB2312"/>
                <w:sz w:val="20"/>
                <w:szCs w:val="20"/>
              </w:rPr>
            </w:pPr>
          </w:p>
        </w:tc>
        <w:tc>
          <w:tcPr>
            <w:tcW w:w="645" w:type="dxa"/>
            <w:vAlign w:val="center"/>
          </w:tcPr>
          <w:p w14:paraId="27DF472D">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项目名称</w:t>
            </w:r>
          </w:p>
        </w:tc>
        <w:tc>
          <w:tcPr>
            <w:tcW w:w="600" w:type="dxa"/>
            <w:vAlign w:val="center"/>
          </w:tcPr>
          <w:p w14:paraId="30B7EA92">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18"/>
                <w:szCs w:val="18"/>
              </w:rPr>
              <w:t>子项名称</w:t>
            </w:r>
          </w:p>
        </w:tc>
        <w:tc>
          <w:tcPr>
            <w:tcW w:w="660" w:type="dxa"/>
            <w:vAlign w:val="center"/>
          </w:tcPr>
          <w:p w14:paraId="13BD69CC">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实施主体</w:t>
            </w:r>
          </w:p>
        </w:tc>
        <w:tc>
          <w:tcPr>
            <w:tcW w:w="1125" w:type="dxa"/>
            <w:vAlign w:val="center"/>
          </w:tcPr>
          <w:p w14:paraId="1CA10935">
            <w:pPr>
              <w:widowControl/>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承办的内设机构和单位</w:t>
            </w:r>
          </w:p>
        </w:tc>
        <w:tc>
          <w:tcPr>
            <w:tcW w:w="6087" w:type="dxa"/>
            <w:vAlign w:val="center"/>
          </w:tcPr>
          <w:p w14:paraId="6DE3BE0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260" w:type="dxa"/>
            <w:vAlign w:val="center"/>
          </w:tcPr>
          <w:p w14:paraId="56F6150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F0C75B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668" w:type="dxa"/>
            <w:vAlign w:val="center"/>
          </w:tcPr>
          <w:p w14:paraId="7BCF4BD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5FCF5406">
            <w:pPr>
              <w:spacing w:line="240" w:lineRule="atLeast"/>
              <w:jc w:val="left"/>
              <w:rPr>
                <w:rFonts w:ascii="仿宋_GB2312" w:hAnsi="仿宋_GB2312" w:eastAsia="仿宋_GB2312" w:cs="仿宋_GB2312"/>
                <w:sz w:val="20"/>
                <w:szCs w:val="20"/>
              </w:rPr>
            </w:pPr>
          </w:p>
        </w:tc>
      </w:tr>
      <w:tr w14:paraId="73E3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437" w:type="dxa"/>
            <w:vAlign w:val="center"/>
          </w:tcPr>
          <w:p w14:paraId="3EDE9DA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w:t>
            </w:r>
          </w:p>
        </w:tc>
        <w:tc>
          <w:tcPr>
            <w:tcW w:w="558" w:type="dxa"/>
            <w:vAlign w:val="center"/>
          </w:tcPr>
          <w:p w14:paraId="3BA7754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669465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37C69A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750642A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45" w:type="dxa"/>
            <w:vAlign w:val="center"/>
          </w:tcPr>
          <w:p w14:paraId="4712C88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临时用地审批</w:t>
            </w:r>
          </w:p>
        </w:tc>
        <w:tc>
          <w:tcPr>
            <w:tcW w:w="600" w:type="dxa"/>
            <w:vAlign w:val="center"/>
          </w:tcPr>
          <w:p w14:paraId="1817306C">
            <w:pPr>
              <w:snapToGrid w:val="0"/>
              <w:spacing w:line="240" w:lineRule="atLeast"/>
              <w:jc w:val="center"/>
              <w:rPr>
                <w:rFonts w:ascii="仿宋_GB2312" w:hAnsi="仿宋_GB2312" w:eastAsia="仿宋_GB2312" w:cs="仿宋_GB2312"/>
                <w:sz w:val="20"/>
                <w:szCs w:val="20"/>
              </w:rPr>
            </w:pPr>
          </w:p>
        </w:tc>
        <w:tc>
          <w:tcPr>
            <w:tcW w:w="660" w:type="dxa"/>
            <w:vAlign w:val="center"/>
          </w:tcPr>
          <w:p w14:paraId="75E926A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25" w:type="dxa"/>
            <w:vAlign w:val="center"/>
          </w:tcPr>
          <w:p w14:paraId="372CBCF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087" w:type="dxa"/>
            <w:vAlign w:val="center"/>
          </w:tcPr>
          <w:p w14:paraId="52B8130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五十七条：建设项目施工和地质勘查需要临时使用国有土地或者农民集体所有的土地的，由县级以上人民政府自然资源主管部门批准。其中，在城市规划区内的临时用地，在报批前，应当先经有关城市规划行政主管部门同意。土地使用者应当根据土地权属，与有关自然资源主管部门或者农村集体经济组织、村民委员会签订临时使用土地合同，并按照合同的约定支付临时使用土地补偿费。</w:t>
            </w:r>
          </w:p>
          <w:p w14:paraId="1771609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临时使用土地的使用者应当按照临时使用土地合同约定的用途使用土地，并不得修建永久性建筑物。</w:t>
            </w:r>
          </w:p>
          <w:p w14:paraId="70C4344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临时使用土地期限一般不超过二年。</w:t>
            </w:r>
          </w:p>
          <w:p w14:paraId="44214BD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地方性法规】《广西壮族自治区实施〈中华人民共和国土地管理法〉办法》（2001年7月29日广西壮族自治区第九届人民代表大会常务委员会第二十五次会议通过，自2001年9月1日起施行，2019年7月25日修正）第四十八条： 因地质勘查、建设项目施工及其他临时设施需要临时使用国有土地或者集体土地的，应当按照下列权限办理审批手续：</w:t>
            </w:r>
          </w:p>
          <w:p w14:paraId="34DF540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（一）临时使用基本农田以外的耕地的，由设区的市人民政府自然资源行政主管部门批准；</w:t>
            </w:r>
          </w:p>
          <w:p w14:paraId="77BB42D2">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（二）临时使用不涉及占用耕地的，由县级人民政府自然资源行政主管部门批准。</w:t>
            </w:r>
          </w:p>
        </w:tc>
        <w:tc>
          <w:tcPr>
            <w:tcW w:w="4260" w:type="dxa"/>
            <w:vAlign w:val="center"/>
          </w:tcPr>
          <w:p w14:paraId="54649AD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5CFA165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w:t>
            </w:r>
          </w:p>
          <w:p w14:paraId="3A9B7ED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3.决定责任：作出行政许可或者不予行政许可决定,法定告知（不予许可的应当书面告知理由）。</w:t>
            </w:r>
          </w:p>
          <w:p w14:paraId="3BAB91C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4．送达责任：准予许可的制发送达审批决定。</w:t>
            </w:r>
          </w:p>
          <w:p w14:paraId="748D1A9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5．事后监管环节责任：对审批后的相关事宜实施监督管理。</w:t>
            </w:r>
          </w:p>
          <w:p w14:paraId="18080AC2">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668" w:type="dxa"/>
            <w:vAlign w:val="center"/>
          </w:tcPr>
          <w:p w14:paraId="4992B54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41E8B95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584C5A7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1FA7CAE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1B04B58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0CE7E34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4—1.【法律】《中华人民共和国行政许可法》第四十四条：行政机关作出准予行政许可的决定，应当自作出决定之日起十日内向申请人颁发、送达行政许可证件，或者加贴标签、加盖检验、检测、检疫印章。</w:t>
            </w:r>
          </w:p>
          <w:p w14:paraId="7A46B417">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63D61B50">
            <w:pPr>
              <w:snapToGrid w:val="0"/>
              <w:spacing w:line="240" w:lineRule="atLeast"/>
              <w:jc w:val="center"/>
              <w:rPr>
                <w:rFonts w:ascii="仿宋_GB2312" w:hAnsi="仿宋_GB2312" w:eastAsia="仿宋_GB2312" w:cs="仿宋_GB2312"/>
                <w:sz w:val="20"/>
                <w:szCs w:val="20"/>
              </w:rPr>
            </w:pPr>
          </w:p>
        </w:tc>
      </w:tr>
    </w:tbl>
    <w:p w14:paraId="6BF329C9"/>
    <w:p w14:paraId="12D6B5F2"/>
    <w:p w14:paraId="03EF6296"/>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6102"/>
        <w:gridCol w:w="4260"/>
        <w:gridCol w:w="7653"/>
        <w:gridCol w:w="330"/>
      </w:tblGrid>
      <w:tr w14:paraId="3AE24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D0008BD">
            <w:pPr>
              <w:snapToGrid w:val="0"/>
              <w:spacing w:line="240" w:lineRule="atLeast"/>
              <w:jc w:val="left"/>
              <w:rPr>
                <w:rFonts w:asciiTheme="majorEastAsia" w:hAnsiTheme="majorEastAsia" w:eastAsiaTheme="majorEastAsia" w:cstheme="majorEastAsia"/>
                <w:spacing w:val="-23"/>
                <w:sz w:val="20"/>
                <w:szCs w:val="20"/>
              </w:rPr>
            </w:pPr>
          </w:p>
          <w:p w14:paraId="125FE57C">
            <w:pPr>
              <w:snapToGrid w:val="0"/>
              <w:spacing w:line="240" w:lineRule="atLeast"/>
              <w:jc w:val="left"/>
              <w:rPr>
                <w:rFonts w:asciiTheme="majorEastAsia" w:hAnsiTheme="majorEastAsia" w:eastAsiaTheme="majorEastAsia" w:cstheme="majorEastAsia"/>
                <w:spacing w:val="-23"/>
                <w:sz w:val="20"/>
                <w:szCs w:val="20"/>
              </w:rPr>
            </w:pPr>
          </w:p>
          <w:p w14:paraId="57FF23E6">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7A67095D">
            <w:pPr>
              <w:spacing w:line="240" w:lineRule="atLeast"/>
              <w:rPr>
                <w:rFonts w:asciiTheme="majorEastAsia" w:hAnsiTheme="majorEastAsia" w:eastAsiaTheme="majorEastAsia" w:cstheme="majorEastAsia"/>
                <w:spacing w:val="-20"/>
                <w:sz w:val="20"/>
                <w:szCs w:val="20"/>
              </w:rPr>
            </w:pPr>
          </w:p>
          <w:p w14:paraId="63A388F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961" w:type="dxa"/>
            <w:gridSpan w:val="5"/>
          </w:tcPr>
          <w:p w14:paraId="21D51EB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13" w:type="dxa"/>
            <w:gridSpan w:val="2"/>
          </w:tcPr>
          <w:p w14:paraId="4840C24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691A5DE8">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A488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159D7AD">
            <w:pPr>
              <w:spacing w:line="240" w:lineRule="atLeast"/>
              <w:jc w:val="left"/>
              <w:rPr>
                <w:rFonts w:ascii="仿宋_GB2312" w:hAnsi="仿宋_GB2312" w:eastAsia="仿宋_GB2312" w:cs="仿宋_GB2312"/>
                <w:sz w:val="20"/>
                <w:szCs w:val="20"/>
              </w:rPr>
            </w:pPr>
          </w:p>
        </w:tc>
        <w:tc>
          <w:tcPr>
            <w:tcW w:w="555" w:type="dxa"/>
            <w:vMerge w:val="continue"/>
          </w:tcPr>
          <w:p w14:paraId="7B09A1D5">
            <w:pPr>
              <w:spacing w:line="240" w:lineRule="atLeast"/>
              <w:jc w:val="left"/>
              <w:rPr>
                <w:rFonts w:ascii="仿宋_GB2312" w:hAnsi="仿宋_GB2312" w:eastAsia="仿宋_GB2312" w:cs="仿宋_GB2312"/>
                <w:sz w:val="20"/>
                <w:szCs w:val="20"/>
              </w:rPr>
            </w:pPr>
          </w:p>
        </w:tc>
        <w:tc>
          <w:tcPr>
            <w:tcW w:w="600" w:type="dxa"/>
            <w:vAlign w:val="center"/>
          </w:tcPr>
          <w:p w14:paraId="2250DAC1">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37987EDE">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5B9C789E">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16DE532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102" w:type="dxa"/>
            <w:vAlign w:val="center"/>
          </w:tcPr>
          <w:p w14:paraId="1091B4B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260" w:type="dxa"/>
            <w:vAlign w:val="center"/>
          </w:tcPr>
          <w:p w14:paraId="69631CD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97DB25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653" w:type="dxa"/>
            <w:vAlign w:val="center"/>
          </w:tcPr>
          <w:p w14:paraId="61137CB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65AD7E15">
            <w:pPr>
              <w:spacing w:line="240" w:lineRule="atLeast"/>
              <w:jc w:val="left"/>
              <w:rPr>
                <w:rFonts w:ascii="仿宋_GB2312" w:hAnsi="仿宋_GB2312" w:eastAsia="仿宋_GB2312" w:cs="仿宋_GB2312"/>
                <w:sz w:val="20"/>
                <w:szCs w:val="20"/>
              </w:rPr>
            </w:pPr>
          </w:p>
        </w:tc>
      </w:tr>
      <w:tr w14:paraId="3B23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6633EE7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w:t>
            </w:r>
          </w:p>
        </w:tc>
        <w:tc>
          <w:tcPr>
            <w:tcW w:w="555" w:type="dxa"/>
            <w:vAlign w:val="center"/>
          </w:tcPr>
          <w:p w14:paraId="0FE705B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AB856E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130B68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740238A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3BE857D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开发未确定使用权的国有荒山、荒地、荒滩从事生产审查</w:t>
            </w:r>
          </w:p>
        </w:tc>
        <w:tc>
          <w:tcPr>
            <w:tcW w:w="645" w:type="dxa"/>
            <w:vAlign w:val="center"/>
          </w:tcPr>
          <w:p w14:paraId="5108D8F2">
            <w:pPr>
              <w:snapToGrid w:val="0"/>
              <w:spacing w:line="240" w:lineRule="atLeast"/>
              <w:jc w:val="center"/>
              <w:rPr>
                <w:rFonts w:ascii="仿宋_GB2312" w:hAnsi="仿宋_GB2312" w:eastAsia="仿宋_GB2312" w:cs="仿宋_GB2312"/>
                <w:sz w:val="20"/>
                <w:szCs w:val="20"/>
              </w:rPr>
            </w:pPr>
          </w:p>
        </w:tc>
        <w:tc>
          <w:tcPr>
            <w:tcW w:w="585" w:type="dxa"/>
            <w:vAlign w:val="center"/>
          </w:tcPr>
          <w:p w14:paraId="0F66AE7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3BCCDD5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102" w:type="dxa"/>
            <w:vAlign w:val="center"/>
          </w:tcPr>
          <w:p w14:paraId="64AD7F0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四十一条：开发未确定使用权的国有荒山、荒地、荒滩从事种植业、林业、畜牧业、渔业生产的，经县级以上人民政府依法批准，可以确定给开发单位或者个人长期使用。</w:t>
            </w:r>
          </w:p>
          <w:p w14:paraId="61FF247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土地管理法实施条例》（1998年国务院令第256号，2021年7月第三次修订）第九条：禁止任何单位和个人在国土空间规划确定的禁止开垦的范围内从事土地开发活动。按照国土空间规划，开发未确定土地使用权的国有荒山、荒地、荒滩从事种植业、林业、畜牧业、渔业生产的，应当向土地所在地的县级以上地方人民政府自然资源主管部门提出申请，按照省、自治区、直辖市规定的权限，由县级以上地方人民政府批准。</w:t>
            </w:r>
          </w:p>
          <w:p w14:paraId="09168BA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 【地方性法规】《广西壮族自治区实施〈中华人民共和国土地管理法〉办法》（2001年7月29日广西壮族自治区第九届人民代表大会常务委员会第二十五次会议通过，2019年7月修正）第三十条：单位和个人在土地利用总体规划确定的土地开垦区内，开发未确定使用权的国有荒山、荒地、荒滩等未利用地从事种植业、林业、畜牧业、渔业生产的，应当向设区的市、县（市）人民政府自然资源行政主管部门提出申请，并按下列权限报经批准后方可进行开发：</w:t>
            </w:r>
          </w:p>
          <w:p w14:paraId="508AD0D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（一）一次性开发不超过50公顷的，由县（市）人民政府批准；</w:t>
            </w:r>
          </w:p>
          <w:p w14:paraId="2011ECF7">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（二）一次性开发超过50公顷的，由设区的市人民政府批准。</w:t>
            </w:r>
          </w:p>
        </w:tc>
        <w:tc>
          <w:tcPr>
            <w:tcW w:w="4260" w:type="dxa"/>
            <w:vAlign w:val="center"/>
          </w:tcPr>
          <w:p w14:paraId="1C129A1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442C989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w:t>
            </w:r>
          </w:p>
          <w:p w14:paraId="2768F76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3.送审责任：在法定期限内提出审核意见，上报同级人民政府批准。</w:t>
            </w:r>
          </w:p>
          <w:p w14:paraId="1A0A8E0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4．送达责任：获同级人民政府准予许可的，送达审批决定。</w:t>
            </w:r>
          </w:p>
          <w:p w14:paraId="37651C9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5．事后监管环节责任：对审批后的相关事宜实施监督管理。</w:t>
            </w:r>
          </w:p>
          <w:p w14:paraId="769B0616">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653" w:type="dxa"/>
            <w:vAlign w:val="center"/>
          </w:tcPr>
          <w:p w14:paraId="5FB8B4F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629E664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5424A28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605DC7D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314BD2E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6F1097B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14:paraId="02365454">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107445DB">
            <w:pPr>
              <w:snapToGrid w:val="0"/>
              <w:spacing w:line="240" w:lineRule="atLeast"/>
              <w:jc w:val="center"/>
              <w:rPr>
                <w:rFonts w:ascii="仿宋_GB2312" w:hAnsi="仿宋_GB2312" w:eastAsia="仿宋_GB2312" w:cs="仿宋_GB2312"/>
                <w:sz w:val="20"/>
                <w:szCs w:val="20"/>
              </w:rPr>
            </w:pPr>
          </w:p>
        </w:tc>
      </w:tr>
    </w:tbl>
    <w:p w14:paraId="6C11E1E5"/>
    <w:p w14:paraId="5746E469"/>
    <w:p w14:paraId="2533C522"/>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6057"/>
        <w:gridCol w:w="4350"/>
        <w:gridCol w:w="7608"/>
        <w:gridCol w:w="330"/>
      </w:tblGrid>
      <w:tr w14:paraId="2E5AC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AADEA86">
            <w:pPr>
              <w:snapToGrid w:val="0"/>
              <w:spacing w:line="240" w:lineRule="atLeast"/>
              <w:jc w:val="left"/>
              <w:rPr>
                <w:rFonts w:asciiTheme="majorEastAsia" w:hAnsiTheme="majorEastAsia" w:eastAsiaTheme="majorEastAsia" w:cstheme="majorEastAsia"/>
                <w:spacing w:val="-23"/>
                <w:sz w:val="20"/>
                <w:szCs w:val="20"/>
              </w:rPr>
            </w:pPr>
          </w:p>
          <w:p w14:paraId="6E35C287">
            <w:pPr>
              <w:snapToGrid w:val="0"/>
              <w:spacing w:line="240" w:lineRule="atLeast"/>
              <w:jc w:val="left"/>
              <w:rPr>
                <w:rFonts w:asciiTheme="majorEastAsia" w:hAnsiTheme="majorEastAsia" w:eastAsiaTheme="majorEastAsia" w:cstheme="majorEastAsia"/>
                <w:spacing w:val="-23"/>
                <w:sz w:val="20"/>
                <w:szCs w:val="20"/>
              </w:rPr>
            </w:pPr>
          </w:p>
          <w:p w14:paraId="218C9813">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32BE135F">
            <w:pPr>
              <w:spacing w:line="240" w:lineRule="atLeast"/>
              <w:rPr>
                <w:rFonts w:asciiTheme="majorEastAsia" w:hAnsiTheme="majorEastAsia" w:eastAsiaTheme="majorEastAsia" w:cstheme="majorEastAsia"/>
                <w:spacing w:val="-20"/>
                <w:sz w:val="20"/>
                <w:szCs w:val="20"/>
              </w:rPr>
            </w:pPr>
          </w:p>
          <w:p w14:paraId="22A11C6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916" w:type="dxa"/>
            <w:gridSpan w:val="5"/>
          </w:tcPr>
          <w:p w14:paraId="1023659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58" w:type="dxa"/>
            <w:gridSpan w:val="2"/>
          </w:tcPr>
          <w:p w14:paraId="0E586C9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2A899B3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C45C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6B34335">
            <w:pPr>
              <w:spacing w:line="240" w:lineRule="atLeast"/>
              <w:jc w:val="left"/>
              <w:rPr>
                <w:rFonts w:ascii="仿宋_GB2312" w:hAnsi="仿宋_GB2312" w:eastAsia="仿宋_GB2312" w:cs="仿宋_GB2312"/>
                <w:sz w:val="20"/>
                <w:szCs w:val="20"/>
              </w:rPr>
            </w:pPr>
          </w:p>
        </w:tc>
        <w:tc>
          <w:tcPr>
            <w:tcW w:w="555" w:type="dxa"/>
            <w:vMerge w:val="continue"/>
          </w:tcPr>
          <w:p w14:paraId="54DDC241">
            <w:pPr>
              <w:spacing w:line="240" w:lineRule="atLeast"/>
              <w:jc w:val="left"/>
              <w:rPr>
                <w:rFonts w:ascii="仿宋_GB2312" w:hAnsi="仿宋_GB2312" w:eastAsia="仿宋_GB2312" w:cs="仿宋_GB2312"/>
                <w:sz w:val="20"/>
                <w:szCs w:val="20"/>
              </w:rPr>
            </w:pPr>
          </w:p>
        </w:tc>
        <w:tc>
          <w:tcPr>
            <w:tcW w:w="600" w:type="dxa"/>
            <w:vAlign w:val="center"/>
          </w:tcPr>
          <w:p w14:paraId="45C0D6CD">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60C6252D">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770AA33D">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28FEE15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057" w:type="dxa"/>
            <w:vAlign w:val="center"/>
          </w:tcPr>
          <w:p w14:paraId="421E05C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350" w:type="dxa"/>
            <w:vAlign w:val="center"/>
          </w:tcPr>
          <w:p w14:paraId="0E01F81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97DF4D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608" w:type="dxa"/>
            <w:vAlign w:val="center"/>
          </w:tcPr>
          <w:p w14:paraId="449F2A0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1C17C77D">
            <w:pPr>
              <w:spacing w:line="240" w:lineRule="atLeast"/>
              <w:jc w:val="left"/>
              <w:rPr>
                <w:rFonts w:ascii="仿宋_GB2312" w:hAnsi="仿宋_GB2312" w:eastAsia="仿宋_GB2312" w:cs="仿宋_GB2312"/>
                <w:sz w:val="20"/>
                <w:szCs w:val="20"/>
              </w:rPr>
            </w:pPr>
          </w:p>
        </w:tc>
      </w:tr>
      <w:tr w14:paraId="2E946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5" w:hRule="atLeast"/>
        </w:trPr>
        <w:tc>
          <w:tcPr>
            <w:tcW w:w="611" w:type="dxa"/>
            <w:vAlign w:val="center"/>
          </w:tcPr>
          <w:p w14:paraId="1BD4D23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w:t>
            </w:r>
          </w:p>
        </w:tc>
        <w:tc>
          <w:tcPr>
            <w:tcW w:w="555" w:type="dxa"/>
            <w:vAlign w:val="center"/>
          </w:tcPr>
          <w:p w14:paraId="3E69371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60FED3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3FC230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0946E6C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55CFF94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国有建设用地使用权出让后土地使用权分割转让批准</w:t>
            </w:r>
          </w:p>
        </w:tc>
        <w:tc>
          <w:tcPr>
            <w:tcW w:w="645" w:type="dxa"/>
            <w:vAlign w:val="center"/>
          </w:tcPr>
          <w:p w14:paraId="48AFE08C">
            <w:pPr>
              <w:snapToGrid w:val="0"/>
              <w:spacing w:line="240" w:lineRule="atLeast"/>
              <w:jc w:val="center"/>
              <w:rPr>
                <w:rFonts w:ascii="仿宋_GB2312" w:hAnsi="仿宋_GB2312" w:eastAsia="仿宋_GB2312" w:cs="仿宋_GB2312"/>
                <w:sz w:val="20"/>
                <w:szCs w:val="20"/>
              </w:rPr>
            </w:pPr>
          </w:p>
        </w:tc>
        <w:tc>
          <w:tcPr>
            <w:tcW w:w="585" w:type="dxa"/>
            <w:vAlign w:val="center"/>
          </w:tcPr>
          <w:p w14:paraId="188756C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5B9E154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057" w:type="dxa"/>
            <w:vAlign w:val="center"/>
          </w:tcPr>
          <w:p w14:paraId="0F2EC95F">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行政法规】《中华人民共和国城镇国有土地使用权出让和转让暂行条例》（1990年国务院令第55号发布，2020年国务院令第732号修订）第二十五条：土地使用权和地上建筑物、其他附着物所有权转让，应当按照规定办理过户登记。土地使用权和地上建筑物、其他附着物所有权分割转让的，应当经市、县人民政府土地管理部门和房产管理部门批准，并依照规定办理过户登记。</w:t>
            </w:r>
          </w:p>
        </w:tc>
        <w:tc>
          <w:tcPr>
            <w:tcW w:w="4350" w:type="dxa"/>
            <w:vAlign w:val="center"/>
          </w:tcPr>
          <w:p w14:paraId="6C126EC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64FA827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w:t>
            </w:r>
          </w:p>
          <w:p w14:paraId="42AD7A9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3.决定责任：作出行政许可或者不予行政许可决定,法定告知（不予许可的应当书面告知理由）。</w:t>
            </w:r>
          </w:p>
          <w:p w14:paraId="6DE0874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4．送达责任：准予许可的制发送达审批决定。</w:t>
            </w:r>
          </w:p>
          <w:p w14:paraId="1084549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5．事后监管环节责任：对审批后的相关事宜实施监督管理。</w:t>
            </w:r>
          </w:p>
          <w:p w14:paraId="0F6B4F43">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608" w:type="dxa"/>
            <w:vAlign w:val="center"/>
          </w:tcPr>
          <w:p w14:paraId="70D36E4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30A549D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40DA1BD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091E117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17CE148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35CFC95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14:paraId="79C3D906">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7FBB8B2B">
            <w:pPr>
              <w:snapToGrid w:val="0"/>
              <w:spacing w:line="240" w:lineRule="atLeast"/>
              <w:jc w:val="center"/>
              <w:rPr>
                <w:rFonts w:ascii="仿宋_GB2312" w:hAnsi="仿宋_GB2312" w:eastAsia="仿宋_GB2312" w:cs="仿宋_GB2312"/>
                <w:sz w:val="20"/>
                <w:szCs w:val="20"/>
              </w:rPr>
            </w:pPr>
          </w:p>
        </w:tc>
      </w:tr>
    </w:tbl>
    <w:p w14:paraId="0A1D7B13"/>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6057"/>
        <w:gridCol w:w="4365"/>
        <w:gridCol w:w="7593"/>
        <w:gridCol w:w="330"/>
      </w:tblGrid>
      <w:tr w14:paraId="55F2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E8B3C2E">
            <w:pPr>
              <w:snapToGrid w:val="0"/>
              <w:spacing w:line="240" w:lineRule="atLeast"/>
              <w:jc w:val="left"/>
              <w:rPr>
                <w:rFonts w:asciiTheme="majorEastAsia" w:hAnsiTheme="majorEastAsia" w:eastAsiaTheme="majorEastAsia" w:cstheme="majorEastAsia"/>
                <w:spacing w:val="-23"/>
                <w:sz w:val="20"/>
                <w:szCs w:val="20"/>
              </w:rPr>
            </w:pPr>
          </w:p>
          <w:p w14:paraId="4A38744D">
            <w:pPr>
              <w:snapToGrid w:val="0"/>
              <w:spacing w:line="240" w:lineRule="atLeast"/>
              <w:jc w:val="left"/>
              <w:rPr>
                <w:rFonts w:asciiTheme="majorEastAsia" w:hAnsiTheme="majorEastAsia" w:eastAsiaTheme="majorEastAsia" w:cstheme="majorEastAsia"/>
                <w:spacing w:val="-23"/>
                <w:sz w:val="20"/>
                <w:szCs w:val="20"/>
              </w:rPr>
            </w:pPr>
          </w:p>
          <w:p w14:paraId="48ABF890">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372EC679">
            <w:pPr>
              <w:spacing w:line="240" w:lineRule="atLeast"/>
              <w:rPr>
                <w:rFonts w:asciiTheme="majorEastAsia" w:hAnsiTheme="majorEastAsia" w:eastAsiaTheme="majorEastAsia" w:cstheme="majorEastAsia"/>
                <w:spacing w:val="-20"/>
                <w:sz w:val="20"/>
                <w:szCs w:val="20"/>
              </w:rPr>
            </w:pPr>
          </w:p>
          <w:p w14:paraId="65F527A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916" w:type="dxa"/>
            <w:gridSpan w:val="5"/>
          </w:tcPr>
          <w:p w14:paraId="64BCFEF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58" w:type="dxa"/>
            <w:gridSpan w:val="2"/>
          </w:tcPr>
          <w:p w14:paraId="348ADE4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0556068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16B0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12CB811">
            <w:pPr>
              <w:spacing w:line="240" w:lineRule="atLeast"/>
              <w:jc w:val="left"/>
              <w:rPr>
                <w:rFonts w:ascii="仿宋_GB2312" w:hAnsi="仿宋_GB2312" w:eastAsia="仿宋_GB2312" w:cs="仿宋_GB2312"/>
                <w:sz w:val="20"/>
                <w:szCs w:val="20"/>
              </w:rPr>
            </w:pPr>
          </w:p>
        </w:tc>
        <w:tc>
          <w:tcPr>
            <w:tcW w:w="555" w:type="dxa"/>
            <w:vMerge w:val="continue"/>
          </w:tcPr>
          <w:p w14:paraId="637FE2B5">
            <w:pPr>
              <w:spacing w:line="240" w:lineRule="atLeast"/>
              <w:jc w:val="left"/>
              <w:rPr>
                <w:rFonts w:ascii="仿宋_GB2312" w:hAnsi="仿宋_GB2312" w:eastAsia="仿宋_GB2312" w:cs="仿宋_GB2312"/>
                <w:sz w:val="20"/>
                <w:szCs w:val="20"/>
              </w:rPr>
            </w:pPr>
          </w:p>
        </w:tc>
        <w:tc>
          <w:tcPr>
            <w:tcW w:w="600" w:type="dxa"/>
            <w:vAlign w:val="center"/>
          </w:tcPr>
          <w:p w14:paraId="34497015">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79302B89">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2C598B5D">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2E6F777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057" w:type="dxa"/>
            <w:vAlign w:val="center"/>
          </w:tcPr>
          <w:p w14:paraId="207AA6B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365" w:type="dxa"/>
            <w:vAlign w:val="center"/>
          </w:tcPr>
          <w:p w14:paraId="4A87B2E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17F9BD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593" w:type="dxa"/>
            <w:vAlign w:val="center"/>
          </w:tcPr>
          <w:p w14:paraId="5DAA050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61564E00">
            <w:pPr>
              <w:spacing w:line="240" w:lineRule="atLeast"/>
              <w:jc w:val="left"/>
              <w:rPr>
                <w:rFonts w:ascii="仿宋_GB2312" w:hAnsi="仿宋_GB2312" w:eastAsia="仿宋_GB2312" w:cs="仿宋_GB2312"/>
                <w:sz w:val="20"/>
                <w:szCs w:val="20"/>
              </w:rPr>
            </w:pPr>
          </w:p>
        </w:tc>
      </w:tr>
      <w:tr w14:paraId="52F5A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0888864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w:t>
            </w:r>
          </w:p>
        </w:tc>
        <w:tc>
          <w:tcPr>
            <w:tcW w:w="555" w:type="dxa"/>
            <w:vAlign w:val="center"/>
          </w:tcPr>
          <w:p w14:paraId="452CA89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844C4C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3E0569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5212351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2714FD0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非农业建设项目（用地）延期动工审批</w:t>
            </w:r>
          </w:p>
        </w:tc>
        <w:tc>
          <w:tcPr>
            <w:tcW w:w="645" w:type="dxa"/>
            <w:vAlign w:val="center"/>
          </w:tcPr>
          <w:p w14:paraId="39E98D57">
            <w:pPr>
              <w:snapToGrid w:val="0"/>
              <w:spacing w:line="240" w:lineRule="atLeast"/>
              <w:jc w:val="center"/>
              <w:rPr>
                <w:rFonts w:ascii="仿宋_GB2312" w:hAnsi="仿宋_GB2312" w:eastAsia="仿宋_GB2312" w:cs="仿宋_GB2312"/>
                <w:sz w:val="20"/>
                <w:szCs w:val="20"/>
              </w:rPr>
            </w:pPr>
          </w:p>
        </w:tc>
        <w:tc>
          <w:tcPr>
            <w:tcW w:w="585" w:type="dxa"/>
            <w:vAlign w:val="center"/>
          </w:tcPr>
          <w:p w14:paraId="3AA764E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38EEC98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057" w:type="dxa"/>
            <w:vAlign w:val="center"/>
          </w:tcPr>
          <w:p w14:paraId="32601DD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【地方性法规】《广西壮族自治区实施</w:t>
            </w:r>
            <w:r>
              <w:rPr>
                <w:rFonts w:hint="eastAsia" w:eastAsia="仿宋_GB2312"/>
                <w:snapToGrid w:val="0"/>
                <w:color w:val="000000"/>
                <w:sz w:val="20"/>
                <w:szCs w:val="20"/>
              </w:rPr>
              <w:t>〈</w:t>
            </w:r>
            <w:r>
              <w:rPr>
                <w:rFonts w:hint="eastAsia" w:eastAsia="仿宋_GB2312" w:cs="宋体"/>
                <w:snapToGrid w:val="0"/>
                <w:color w:val="000000"/>
                <w:sz w:val="20"/>
                <w:szCs w:val="20"/>
              </w:rPr>
              <w:t>中华人民共和国土地管理法</w:t>
            </w:r>
            <w:r>
              <w:rPr>
                <w:rFonts w:hint="eastAsia" w:eastAsia="仿宋_GB2312"/>
                <w:snapToGrid w:val="0"/>
                <w:color w:val="000000"/>
                <w:sz w:val="20"/>
                <w:szCs w:val="20"/>
              </w:rPr>
              <w:t>〉</w:t>
            </w:r>
            <w:r>
              <w:rPr>
                <w:rFonts w:hint="eastAsia" w:eastAsia="仿宋_GB2312" w:cs="宋体"/>
                <w:snapToGrid w:val="0"/>
                <w:color w:val="000000"/>
                <w:sz w:val="20"/>
                <w:szCs w:val="20"/>
              </w:rPr>
              <w:t>办法》（</w:t>
            </w:r>
            <w:r>
              <w:rPr>
                <w:rFonts w:hint="eastAsia" w:eastAsia="仿宋_GB2312"/>
                <w:snapToGrid w:val="0"/>
                <w:color w:val="000000"/>
                <w:sz w:val="20"/>
                <w:szCs w:val="20"/>
              </w:rPr>
              <w:t>2001</w:t>
            </w:r>
            <w:r>
              <w:rPr>
                <w:rFonts w:hint="eastAsia" w:eastAsia="仿宋_GB2312" w:cs="宋体"/>
                <w:snapToGrid w:val="0"/>
                <w:color w:val="000000"/>
                <w:sz w:val="20"/>
                <w:szCs w:val="20"/>
              </w:rPr>
              <w:t>年</w:t>
            </w:r>
            <w:r>
              <w:rPr>
                <w:rFonts w:hint="eastAsia" w:eastAsia="仿宋_GB2312"/>
                <w:snapToGrid w:val="0"/>
                <w:color w:val="000000"/>
                <w:sz w:val="20"/>
                <w:szCs w:val="20"/>
              </w:rPr>
              <w:t>7</w:t>
            </w:r>
            <w:r>
              <w:rPr>
                <w:rFonts w:hint="eastAsia" w:eastAsia="仿宋_GB2312" w:cs="宋体"/>
                <w:snapToGrid w:val="0"/>
                <w:color w:val="000000"/>
                <w:sz w:val="20"/>
                <w:szCs w:val="20"/>
              </w:rPr>
              <w:t>月</w:t>
            </w:r>
            <w:r>
              <w:rPr>
                <w:rFonts w:hint="eastAsia" w:eastAsia="仿宋_GB2312"/>
                <w:snapToGrid w:val="0"/>
                <w:color w:val="000000"/>
                <w:sz w:val="20"/>
                <w:szCs w:val="20"/>
              </w:rPr>
              <w:t>29</w:t>
            </w:r>
            <w:r>
              <w:rPr>
                <w:rFonts w:hint="eastAsia" w:eastAsia="仿宋_GB2312" w:cs="宋体"/>
                <w:snapToGrid w:val="0"/>
                <w:color w:val="000000"/>
                <w:sz w:val="20"/>
                <w:szCs w:val="20"/>
              </w:rPr>
              <w:t>日广西壮族自治区第九届人民代表大会常务委员会第二十五次会议通过，自</w:t>
            </w:r>
            <w:r>
              <w:rPr>
                <w:rFonts w:hint="eastAsia" w:eastAsia="仿宋_GB2312"/>
                <w:snapToGrid w:val="0"/>
                <w:color w:val="000000"/>
                <w:sz w:val="20"/>
                <w:szCs w:val="20"/>
              </w:rPr>
              <w:t>2001</w:t>
            </w:r>
            <w:r>
              <w:rPr>
                <w:rFonts w:hint="eastAsia" w:eastAsia="仿宋_GB2312" w:cs="宋体"/>
                <w:snapToGrid w:val="0"/>
                <w:color w:val="000000"/>
                <w:sz w:val="20"/>
                <w:szCs w:val="20"/>
              </w:rPr>
              <w:t>年</w:t>
            </w:r>
            <w:r>
              <w:rPr>
                <w:rFonts w:hint="eastAsia" w:eastAsia="仿宋_GB2312"/>
                <w:snapToGrid w:val="0"/>
                <w:color w:val="000000"/>
                <w:sz w:val="20"/>
                <w:szCs w:val="20"/>
              </w:rPr>
              <w:t>9</w:t>
            </w:r>
            <w:r>
              <w:rPr>
                <w:rFonts w:hint="eastAsia" w:eastAsia="仿宋_GB2312" w:cs="宋体"/>
                <w:snapToGrid w:val="0"/>
                <w:color w:val="000000"/>
                <w:sz w:val="20"/>
                <w:szCs w:val="20"/>
              </w:rPr>
              <w:t>月</w:t>
            </w:r>
            <w:r>
              <w:rPr>
                <w:rFonts w:hint="eastAsia" w:eastAsia="仿宋_GB2312"/>
                <w:snapToGrid w:val="0"/>
                <w:color w:val="000000"/>
                <w:sz w:val="20"/>
                <w:szCs w:val="20"/>
              </w:rPr>
              <w:t>1</w:t>
            </w:r>
            <w:r>
              <w:rPr>
                <w:rFonts w:hint="eastAsia" w:eastAsia="仿宋_GB2312" w:cs="宋体"/>
                <w:snapToGrid w:val="0"/>
                <w:color w:val="000000"/>
                <w:sz w:val="20"/>
                <w:szCs w:val="20"/>
              </w:rPr>
              <w:t>日起施行，</w:t>
            </w:r>
            <w:r>
              <w:rPr>
                <w:rFonts w:hint="eastAsia" w:eastAsia="仿宋_GB2312"/>
                <w:snapToGrid w:val="0"/>
                <w:color w:val="000000"/>
                <w:sz w:val="20"/>
                <w:szCs w:val="20"/>
              </w:rPr>
              <w:t>2019</w:t>
            </w:r>
            <w:r>
              <w:rPr>
                <w:rFonts w:hint="eastAsia" w:eastAsia="仿宋_GB2312" w:cs="宋体"/>
                <w:snapToGrid w:val="0"/>
                <w:color w:val="000000"/>
                <w:sz w:val="20"/>
                <w:szCs w:val="20"/>
              </w:rPr>
              <w:t>年</w:t>
            </w:r>
            <w:r>
              <w:rPr>
                <w:rFonts w:hint="eastAsia" w:eastAsia="仿宋_GB2312"/>
                <w:snapToGrid w:val="0"/>
                <w:color w:val="000000"/>
                <w:sz w:val="20"/>
                <w:szCs w:val="20"/>
              </w:rPr>
              <w:t>7</w:t>
            </w:r>
            <w:r>
              <w:rPr>
                <w:rFonts w:hint="eastAsia" w:eastAsia="仿宋_GB2312" w:cs="宋体"/>
                <w:snapToGrid w:val="0"/>
                <w:color w:val="000000"/>
                <w:sz w:val="20"/>
                <w:szCs w:val="20"/>
              </w:rPr>
              <w:t>月</w:t>
            </w:r>
            <w:r>
              <w:rPr>
                <w:rFonts w:hint="eastAsia" w:eastAsia="仿宋_GB2312"/>
                <w:snapToGrid w:val="0"/>
                <w:color w:val="000000"/>
                <w:sz w:val="20"/>
                <w:szCs w:val="20"/>
              </w:rPr>
              <w:t>25</w:t>
            </w:r>
            <w:r>
              <w:rPr>
                <w:rFonts w:hint="eastAsia" w:eastAsia="仿宋_GB2312" w:cs="宋体"/>
                <w:snapToGrid w:val="0"/>
                <w:color w:val="000000"/>
                <w:sz w:val="20"/>
                <w:szCs w:val="20"/>
              </w:rPr>
              <w:t>日修正）第四十九条：非农业建设项目的用地单位和个人必须在用地合同约定或者用地批准文件规定的期限内动工。有下列情形之一，致使用地单位和个人在规定期限内无法动工的，可以向原批准用地的机关申请延期，延期最长不得超过二年：</w:t>
            </w:r>
          </w:p>
          <w:p w14:paraId="15FE6EA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（一）不可抗力；</w:t>
            </w:r>
          </w:p>
          <w:p w14:paraId="1B74C9F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（二）国家政策重大调整；</w:t>
            </w:r>
          </w:p>
          <w:p w14:paraId="679E89D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（三）政府和政府部门行为；</w:t>
            </w:r>
          </w:p>
          <w:p w14:paraId="70C696FF">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（四）其他正当理由。</w:t>
            </w:r>
          </w:p>
        </w:tc>
        <w:tc>
          <w:tcPr>
            <w:tcW w:w="4365" w:type="dxa"/>
            <w:vAlign w:val="center"/>
          </w:tcPr>
          <w:p w14:paraId="34F677E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52E2F98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2.审查责任：按照政策规定对书面材料进行审查，提出是否同意审批的初步意见，告知申请人、利害相关人享有听证权利；涉及公共利益的重大许可，向社会公告，并举行听证。</w:t>
            </w:r>
          </w:p>
          <w:p w14:paraId="131D847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3.决定责任：作出行政许可或者不予行政许可决定,法定告知（不予许可的应当书面告知理由）。</w:t>
            </w:r>
          </w:p>
          <w:p w14:paraId="3C0C1BD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4．送达责任：准予许可的制发送达审批决定。</w:t>
            </w:r>
          </w:p>
          <w:p w14:paraId="445629E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5．事后监管环节责任：对审批后的相关事宜实施监督管理。</w:t>
            </w:r>
          </w:p>
          <w:p w14:paraId="2735BD73">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593" w:type="dxa"/>
            <w:vAlign w:val="center"/>
          </w:tcPr>
          <w:p w14:paraId="640AF69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209CCAF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70E639F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001A35B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3.【法律】《中华人民共和国行政许可法》第四十六条：法律、法规、规章规定实施行政许可应当听证的事项，或者行政机关认为需要听证的其他涉及公共利益的重大行政许可事项，行政机关应当向社会公告，并举行听证。</w:t>
            </w:r>
          </w:p>
          <w:p w14:paraId="144FA1B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3BED961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599305E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4—1.【法律】《中华人民共和国行政许可法》第四十条：行政机关作出的准予行政许可决定，应当予以公开，公众有权查阅。</w:t>
            </w:r>
          </w:p>
          <w:p w14:paraId="270BA12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4—2【法律】《中华人民共和国行政许可法》第四十四条：行政机关作出准予行政许可的决定，应当自作出决定之日起十日内向申请人颁发、送达行政许可证件，或者加贴标签、加盖检验、检测、检疫印章。</w:t>
            </w:r>
          </w:p>
          <w:p w14:paraId="4F0C90D1">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0C7FD4C0">
            <w:pPr>
              <w:snapToGrid w:val="0"/>
              <w:spacing w:line="240" w:lineRule="atLeast"/>
              <w:jc w:val="center"/>
              <w:rPr>
                <w:rFonts w:ascii="仿宋_GB2312" w:hAnsi="仿宋_GB2312" w:eastAsia="仿宋_GB2312" w:cs="仿宋_GB2312"/>
                <w:sz w:val="20"/>
                <w:szCs w:val="20"/>
              </w:rPr>
            </w:pPr>
          </w:p>
        </w:tc>
      </w:tr>
    </w:tbl>
    <w:p w14:paraId="278A25A2"/>
    <w:p w14:paraId="63C6A729"/>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6072"/>
        <w:gridCol w:w="4365"/>
        <w:gridCol w:w="7578"/>
        <w:gridCol w:w="330"/>
      </w:tblGrid>
      <w:tr w14:paraId="03DC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79098F4">
            <w:pPr>
              <w:snapToGrid w:val="0"/>
              <w:spacing w:line="240" w:lineRule="atLeast"/>
              <w:jc w:val="left"/>
              <w:rPr>
                <w:rFonts w:asciiTheme="majorEastAsia" w:hAnsiTheme="majorEastAsia" w:eastAsiaTheme="majorEastAsia" w:cstheme="majorEastAsia"/>
                <w:spacing w:val="-23"/>
                <w:sz w:val="20"/>
                <w:szCs w:val="20"/>
              </w:rPr>
            </w:pPr>
          </w:p>
          <w:p w14:paraId="3F4227F2">
            <w:pPr>
              <w:snapToGrid w:val="0"/>
              <w:spacing w:line="240" w:lineRule="atLeast"/>
              <w:jc w:val="left"/>
              <w:rPr>
                <w:rFonts w:asciiTheme="majorEastAsia" w:hAnsiTheme="majorEastAsia" w:eastAsiaTheme="majorEastAsia" w:cstheme="majorEastAsia"/>
                <w:spacing w:val="-23"/>
                <w:sz w:val="20"/>
                <w:szCs w:val="20"/>
              </w:rPr>
            </w:pPr>
          </w:p>
          <w:p w14:paraId="19DF2910">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13521C25">
            <w:pPr>
              <w:spacing w:line="240" w:lineRule="atLeast"/>
              <w:rPr>
                <w:rFonts w:asciiTheme="majorEastAsia" w:hAnsiTheme="majorEastAsia" w:eastAsiaTheme="majorEastAsia" w:cstheme="majorEastAsia"/>
                <w:spacing w:val="-20"/>
                <w:sz w:val="20"/>
                <w:szCs w:val="20"/>
              </w:rPr>
            </w:pPr>
          </w:p>
          <w:p w14:paraId="7D1736E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931" w:type="dxa"/>
            <w:gridSpan w:val="5"/>
          </w:tcPr>
          <w:p w14:paraId="79CC5C6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43" w:type="dxa"/>
            <w:gridSpan w:val="2"/>
          </w:tcPr>
          <w:p w14:paraId="7FFBFDC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0371F5E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EF6A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9A50D39">
            <w:pPr>
              <w:spacing w:line="240" w:lineRule="atLeast"/>
              <w:jc w:val="left"/>
              <w:rPr>
                <w:rFonts w:ascii="仿宋_GB2312" w:hAnsi="仿宋_GB2312" w:eastAsia="仿宋_GB2312" w:cs="仿宋_GB2312"/>
                <w:sz w:val="20"/>
                <w:szCs w:val="20"/>
              </w:rPr>
            </w:pPr>
          </w:p>
        </w:tc>
        <w:tc>
          <w:tcPr>
            <w:tcW w:w="555" w:type="dxa"/>
            <w:vMerge w:val="continue"/>
          </w:tcPr>
          <w:p w14:paraId="3983996A">
            <w:pPr>
              <w:spacing w:line="240" w:lineRule="atLeast"/>
              <w:jc w:val="left"/>
              <w:rPr>
                <w:rFonts w:ascii="仿宋_GB2312" w:hAnsi="仿宋_GB2312" w:eastAsia="仿宋_GB2312" w:cs="仿宋_GB2312"/>
                <w:sz w:val="20"/>
                <w:szCs w:val="20"/>
              </w:rPr>
            </w:pPr>
          </w:p>
        </w:tc>
        <w:tc>
          <w:tcPr>
            <w:tcW w:w="600" w:type="dxa"/>
            <w:vAlign w:val="center"/>
          </w:tcPr>
          <w:p w14:paraId="42AE0CE7">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000E7D6A">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4EA90DFF">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2F1B0686">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072" w:type="dxa"/>
            <w:vAlign w:val="center"/>
          </w:tcPr>
          <w:p w14:paraId="5F0887B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365" w:type="dxa"/>
            <w:vAlign w:val="center"/>
          </w:tcPr>
          <w:p w14:paraId="3BE17AE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C35AC7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578" w:type="dxa"/>
            <w:vAlign w:val="center"/>
          </w:tcPr>
          <w:p w14:paraId="2CE9A16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73CCFEC3">
            <w:pPr>
              <w:spacing w:line="240" w:lineRule="atLeast"/>
              <w:jc w:val="left"/>
              <w:rPr>
                <w:rFonts w:ascii="仿宋_GB2312" w:hAnsi="仿宋_GB2312" w:eastAsia="仿宋_GB2312" w:cs="仿宋_GB2312"/>
                <w:sz w:val="20"/>
                <w:szCs w:val="20"/>
              </w:rPr>
            </w:pPr>
          </w:p>
        </w:tc>
      </w:tr>
      <w:tr w14:paraId="0DFE8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32FECB2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w:t>
            </w:r>
          </w:p>
        </w:tc>
        <w:tc>
          <w:tcPr>
            <w:tcW w:w="555" w:type="dxa"/>
            <w:vAlign w:val="center"/>
          </w:tcPr>
          <w:p w14:paraId="2FA9ED9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824D21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C7D28B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5EB0991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2550326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企业采矿、取土占用土地不超过三年的审批</w:t>
            </w:r>
          </w:p>
        </w:tc>
        <w:tc>
          <w:tcPr>
            <w:tcW w:w="645" w:type="dxa"/>
            <w:vAlign w:val="center"/>
          </w:tcPr>
          <w:p w14:paraId="53BAB1F4">
            <w:pPr>
              <w:snapToGrid w:val="0"/>
              <w:spacing w:line="240" w:lineRule="atLeast"/>
              <w:jc w:val="center"/>
              <w:rPr>
                <w:rFonts w:ascii="仿宋_GB2312" w:hAnsi="仿宋_GB2312" w:eastAsia="仿宋_GB2312" w:cs="仿宋_GB2312"/>
                <w:sz w:val="20"/>
                <w:szCs w:val="20"/>
              </w:rPr>
            </w:pPr>
          </w:p>
        </w:tc>
        <w:tc>
          <w:tcPr>
            <w:tcW w:w="585" w:type="dxa"/>
            <w:vAlign w:val="center"/>
          </w:tcPr>
          <w:p w14:paraId="2C8E59D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55E288B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072" w:type="dxa"/>
            <w:vAlign w:val="center"/>
          </w:tcPr>
          <w:p w14:paraId="4A4A0610">
            <w:pPr>
              <w:snapToGrid w:val="0"/>
              <w:spacing w:line="240" w:lineRule="atLeast"/>
              <w:ind w:firstLine="600" w:firstLineChars="300"/>
              <w:rPr>
                <w:rFonts w:ascii="仿宋_GB2312" w:hAnsi="仿宋_GB2312" w:eastAsia="仿宋_GB2312" w:cs="仿宋_GB2312"/>
                <w:sz w:val="20"/>
                <w:szCs w:val="20"/>
              </w:rPr>
            </w:pPr>
            <w:r>
              <w:rPr>
                <w:rFonts w:hint="eastAsia" w:eastAsia="仿宋_GB2312" w:cs="宋体"/>
                <w:snapToGrid w:val="0"/>
                <w:color w:val="000000"/>
                <w:sz w:val="20"/>
                <w:szCs w:val="20"/>
              </w:rPr>
              <w:t>【地方性法规】《广西壮族自治区实施</w:t>
            </w:r>
            <w:r>
              <w:rPr>
                <w:rFonts w:hint="eastAsia" w:eastAsia="仿宋_GB2312"/>
                <w:snapToGrid w:val="0"/>
                <w:color w:val="000000"/>
                <w:sz w:val="20"/>
                <w:szCs w:val="20"/>
              </w:rPr>
              <w:t>〈</w:t>
            </w:r>
            <w:r>
              <w:rPr>
                <w:rFonts w:hint="eastAsia" w:eastAsia="仿宋_GB2312" w:cs="宋体"/>
                <w:snapToGrid w:val="0"/>
                <w:color w:val="000000"/>
                <w:sz w:val="20"/>
                <w:szCs w:val="20"/>
              </w:rPr>
              <w:t>中华人民共和国土地管理法</w:t>
            </w:r>
            <w:r>
              <w:rPr>
                <w:rFonts w:hint="eastAsia" w:eastAsia="仿宋_GB2312"/>
                <w:snapToGrid w:val="0"/>
                <w:color w:val="000000"/>
                <w:sz w:val="20"/>
                <w:szCs w:val="20"/>
              </w:rPr>
              <w:t>〉</w:t>
            </w:r>
            <w:r>
              <w:rPr>
                <w:rFonts w:hint="eastAsia" w:eastAsia="仿宋_GB2312" w:cs="宋体"/>
                <w:snapToGrid w:val="0"/>
                <w:color w:val="000000"/>
                <w:sz w:val="20"/>
                <w:szCs w:val="20"/>
              </w:rPr>
              <w:t>办法》（</w:t>
            </w:r>
            <w:r>
              <w:rPr>
                <w:rFonts w:hint="eastAsia" w:eastAsia="仿宋_GB2312"/>
                <w:snapToGrid w:val="0"/>
                <w:color w:val="000000"/>
                <w:sz w:val="20"/>
                <w:szCs w:val="20"/>
              </w:rPr>
              <w:t>2001</w:t>
            </w:r>
            <w:r>
              <w:rPr>
                <w:rFonts w:hint="eastAsia" w:eastAsia="仿宋_GB2312" w:cs="宋体"/>
                <w:snapToGrid w:val="0"/>
                <w:color w:val="000000"/>
                <w:sz w:val="20"/>
                <w:szCs w:val="20"/>
              </w:rPr>
              <w:t>年</w:t>
            </w:r>
            <w:r>
              <w:rPr>
                <w:rFonts w:hint="eastAsia" w:eastAsia="仿宋_GB2312"/>
                <w:snapToGrid w:val="0"/>
                <w:color w:val="000000"/>
                <w:sz w:val="20"/>
                <w:szCs w:val="20"/>
              </w:rPr>
              <w:t>7</w:t>
            </w:r>
            <w:r>
              <w:rPr>
                <w:rFonts w:hint="eastAsia" w:eastAsia="仿宋_GB2312" w:cs="宋体"/>
                <w:snapToGrid w:val="0"/>
                <w:color w:val="000000"/>
                <w:sz w:val="20"/>
                <w:szCs w:val="20"/>
              </w:rPr>
              <w:t>月</w:t>
            </w:r>
            <w:r>
              <w:rPr>
                <w:rFonts w:hint="eastAsia" w:eastAsia="仿宋_GB2312"/>
                <w:snapToGrid w:val="0"/>
                <w:color w:val="000000"/>
                <w:sz w:val="20"/>
                <w:szCs w:val="20"/>
              </w:rPr>
              <w:t>29</w:t>
            </w:r>
            <w:r>
              <w:rPr>
                <w:rFonts w:hint="eastAsia" w:eastAsia="仿宋_GB2312" w:cs="宋体"/>
                <w:snapToGrid w:val="0"/>
                <w:color w:val="000000"/>
                <w:sz w:val="20"/>
                <w:szCs w:val="20"/>
              </w:rPr>
              <w:t>日广西壮族自治区第九届人民代表大会常务委员会第二十五次会议通过，自</w:t>
            </w:r>
            <w:r>
              <w:rPr>
                <w:rFonts w:hint="eastAsia" w:eastAsia="仿宋_GB2312"/>
                <w:snapToGrid w:val="0"/>
                <w:color w:val="000000"/>
                <w:sz w:val="20"/>
                <w:szCs w:val="20"/>
              </w:rPr>
              <w:t>2001</w:t>
            </w:r>
            <w:r>
              <w:rPr>
                <w:rFonts w:hint="eastAsia" w:eastAsia="仿宋_GB2312" w:cs="宋体"/>
                <w:snapToGrid w:val="0"/>
                <w:color w:val="000000"/>
                <w:sz w:val="20"/>
                <w:szCs w:val="20"/>
              </w:rPr>
              <w:t>年</w:t>
            </w:r>
            <w:r>
              <w:rPr>
                <w:rFonts w:hint="eastAsia" w:eastAsia="仿宋_GB2312"/>
                <w:snapToGrid w:val="0"/>
                <w:color w:val="000000"/>
                <w:sz w:val="20"/>
                <w:szCs w:val="20"/>
              </w:rPr>
              <w:t>9</w:t>
            </w:r>
            <w:r>
              <w:rPr>
                <w:rFonts w:hint="eastAsia" w:eastAsia="仿宋_GB2312" w:cs="宋体"/>
                <w:snapToGrid w:val="0"/>
                <w:color w:val="000000"/>
                <w:sz w:val="20"/>
                <w:szCs w:val="20"/>
              </w:rPr>
              <w:t>月</w:t>
            </w:r>
            <w:r>
              <w:rPr>
                <w:rFonts w:hint="eastAsia" w:eastAsia="仿宋_GB2312"/>
                <w:snapToGrid w:val="0"/>
                <w:color w:val="000000"/>
                <w:sz w:val="20"/>
                <w:szCs w:val="20"/>
              </w:rPr>
              <w:t>1</w:t>
            </w:r>
            <w:r>
              <w:rPr>
                <w:rFonts w:hint="eastAsia" w:eastAsia="仿宋_GB2312" w:cs="宋体"/>
                <w:snapToGrid w:val="0"/>
                <w:color w:val="000000"/>
                <w:sz w:val="20"/>
                <w:szCs w:val="20"/>
              </w:rPr>
              <w:t>日起施行，</w:t>
            </w:r>
            <w:r>
              <w:rPr>
                <w:rFonts w:hint="eastAsia" w:eastAsia="仿宋_GB2312"/>
                <w:snapToGrid w:val="0"/>
                <w:color w:val="000000"/>
                <w:sz w:val="20"/>
                <w:szCs w:val="20"/>
              </w:rPr>
              <w:t>2019</w:t>
            </w:r>
            <w:r>
              <w:rPr>
                <w:rFonts w:hint="eastAsia" w:eastAsia="仿宋_GB2312" w:cs="宋体"/>
                <w:snapToGrid w:val="0"/>
                <w:color w:val="000000"/>
                <w:sz w:val="20"/>
                <w:szCs w:val="20"/>
              </w:rPr>
              <w:t>年</w:t>
            </w:r>
            <w:r>
              <w:rPr>
                <w:rFonts w:hint="eastAsia" w:eastAsia="仿宋_GB2312"/>
                <w:snapToGrid w:val="0"/>
                <w:color w:val="000000"/>
                <w:sz w:val="20"/>
                <w:szCs w:val="20"/>
              </w:rPr>
              <w:t>7</w:t>
            </w:r>
            <w:r>
              <w:rPr>
                <w:rFonts w:hint="eastAsia" w:eastAsia="仿宋_GB2312" w:cs="宋体"/>
                <w:snapToGrid w:val="0"/>
                <w:color w:val="000000"/>
                <w:sz w:val="20"/>
                <w:szCs w:val="20"/>
              </w:rPr>
              <w:t>月</w:t>
            </w:r>
            <w:r>
              <w:rPr>
                <w:rFonts w:hint="eastAsia" w:eastAsia="仿宋_GB2312"/>
                <w:snapToGrid w:val="0"/>
                <w:color w:val="000000"/>
                <w:sz w:val="20"/>
                <w:szCs w:val="20"/>
              </w:rPr>
              <w:t>25</w:t>
            </w:r>
            <w:r>
              <w:rPr>
                <w:rFonts w:hint="eastAsia" w:eastAsia="仿宋_GB2312" w:cs="宋体"/>
                <w:snapToGrid w:val="0"/>
                <w:color w:val="000000"/>
                <w:sz w:val="20"/>
                <w:szCs w:val="20"/>
              </w:rPr>
              <w:t>日修正）第四十八条第二款：企业采矿、取土占用土地不超过三年的，经设区的市人民政府批准，可以参照临时使用土地的规定办理用地手续。</w:t>
            </w:r>
          </w:p>
        </w:tc>
        <w:tc>
          <w:tcPr>
            <w:tcW w:w="4365" w:type="dxa"/>
            <w:vAlign w:val="center"/>
          </w:tcPr>
          <w:p w14:paraId="29C0007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34D7A80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2.审查责任：按照政策规定对书面材料进行审查，提出是否同意审批的初步意见，告知申请人、利害相关人享有听证权利；涉及公共利益的重大许可，向社会公告，并举行听证。</w:t>
            </w:r>
          </w:p>
          <w:p w14:paraId="5B204ED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3.决定责任：作出行政许可或者不予行政许可决定,法定告知（不予许可的应当书面告知理由）。</w:t>
            </w:r>
          </w:p>
          <w:p w14:paraId="787EF0B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4．送达责任：准予许可的制发送达审批决定。</w:t>
            </w:r>
          </w:p>
          <w:p w14:paraId="707C7CC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5．事后监管环节责任：对审批后的相关事宜实施监督管理。</w:t>
            </w:r>
          </w:p>
          <w:p w14:paraId="5051DF3B">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578" w:type="dxa"/>
            <w:vAlign w:val="center"/>
          </w:tcPr>
          <w:p w14:paraId="0FEC0E8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4659F06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5E66E86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5D5EBA8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3.【法律】《中华人民共和国行政许可法》第四十六条：法律、法规、规章规定实施行政许可应当听证的事项，或者行政机关认为需要听证的其他涉及公共利益的重大行政许可事项，行政机关应当向社会公告，并举行听证。</w:t>
            </w:r>
          </w:p>
          <w:p w14:paraId="1E102FF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6DC1010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7F967CE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4—1.【法律】《中华人民共和国行政许可法》第四十条：行政机关作出的准予行政许可决定，应当予以公开，公众有权查阅。</w:t>
            </w:r>
          </w:p>
          <w:p w14:paraId="447751B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4—2【法律】《中华人民共和国行政许可法》第四十四条：行政机关作出准予行政许可的决定，应当自作出决定之日起十日内向申请人颁发、送达行政许可证件，或者加贴标签、加盖检验、检测、检疫印章。</w:t>
            </w:r>
          </w:p>
          <w:p w14:paraId="60EF76BB">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3901B4DA">
            <w:pPr>
              <w:snapToGrid w:val="0"/>
              <w:spacing w:line="240" w:lineRule="atLeast"/>
              <w:jc w:val="center"/>
              <w:rPr>
                <w:rFonts w:ascii="仿宋_GB2312" w:hAnsi="仿宋_GB2312" w:eastAsia="仿宋_GB2312" w:cs="仿宋_GB2312"/>
                <w:sz w:val="20"/>
                <w:szCs w:val="20"/>
              </w:rPr>
            </w:pPr>
          </w:p>
        </w:tc>
      </w:tr>
    </w:tbl>
    <w:p w14:paraId="69CA130C"/>
    <w:p w14:paraId="4FDED166"/>
    <w:p w14:paraId="742CDF13"/>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6057"/>
        <w:gridCol w:w="4380"/>
        <w:gridCol w:w="7578"/>
        <w:gridCol w:w="330"/>
      </w:tblGrid>
      <w:tr w14:paraId="4CE7B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F981FF4">
            <w:pPr>
              <w:snapToGrid w:val="0"/>
              <w:spacing w:line="240" w:lineRule="atLeast"/>
              <w:jc w:val="left"/>
              <w:rPr>
                <w:rFonts w:asciiTheme="majorEastAsia" w:hAnsiTheme="majorEastAsia" w:eastAsiaTheme="majorEastAsia" w:cstheme="majorEastAsia"/>
                <w:spacing w:val="-23"/>
                <w:sz w:val="20"/>
                <w:szCs w:val="20"/>
              </w:rPr>
            </w:pPr>
          </w:p>
          <w:p w14:paraId="74E9D62B">
            <w:pPr>
              <w:snapToGrid w:val="0"/>
              <w:spacing w:line="240" w:lineRule="atLeast"/>
              <w:jc w:val="left"/>
              <w:rPr>
                <w:rFonts w:asciiTheme="majorEastAsia" w:hAnsiTheme="majorEastAsia" w:eastAsiaTheme="majorEastAsia" w:cstheme="majorEastAsia"/>
                <w:spacing w:val="-23"/>
                <w:sz w:val="20"/>
                <w:szCs w:val="20"/>
              </w:rPr>
            </w:pPr>
          </w:p>
          <w:p w14:paraId="26F236BD">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11E63506">
            <w:pPr>
              <w:spacing w:line="240" w:lineRule="atLeast"/>
              <w:rPr>
                <w:rFonts w:asciiTheme="majorEastAsia" w:hAnsiTheme="majorEastAsia" w:eastAsiaTheme="majorEastAsia" w:cstheme="majorEastAsia"/>
                <w:spacing w:val="-20"/>
                <w:sz w:val="20"/>
                <w:szCs w:val="20"/>
              </w:rPr>
            </w:pPr>
          </w:p>
          <w:p w14:paraId="3126226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916" w:type="dxa"/>
            <w:gridSpan w:val="5"/>
          </w:tcPr>
          <w:p w14:paraId="5DFB41A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58" w:type="dxa"/>
            <w:gridSpan w:val="2"/>
          </w:tcPr>
          <w:p w14:paraId="6B17D4D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70BB230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1391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3C4522E">
            <w:pPr>
              <w:spacing w:line="240" w:lineRule="atLeast"/>
              <w:jc w:val="left"/>
              <w:rPr>
                <w:rFonts w:ascii="仿宋_GB2312" w:hAnsi="仿宋_GB2312" w:eastAsia="仿宋_GB2312" w:cs="仿宋_GB2312"/>
                <w:sz w:val="20"/>
                <w:szCs w:val="20"/>
              </w:rPr>
            </w:pPr>
          </w:p>
        </w:tc>
        <w:tc>
          <w:tcPr>
            <w:tcW w:w="555" w:type="dxa"/>
            <w:vMerge w:val="continue"/>
          </w:tcPr>
          <w:p w14:paraId="3C060D49">
            <w:pPr>
              <w:spacing w:line="240" w:lineRule="atLeast"/>
              <w:jc w:val="left"/>
              <w:rPr>
                <w:rFonts w:ascii="仿宋_GB2312" w:hAnsi="仿宋_GB2312" w:eastAsia="仿宋_GB2312" w:cs="仿宋_GB2312"/>
                <w:sz w:val="20"/>
                <w:szCs w:val="20"/>
              </w:rPr>
            </w:pPr>
          </w:p>
        </w:tc>
        <w:tc>
          <w:tcPr>
            <w:tcW w:w="600" w:type="dxa"/>
            <w:vAlign w:val="center"/>
          </w:tcPr>
          <w:p w14:paraId="5211E91C">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45517173">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1F2AA861">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06507F1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057" w:type="dxa"/>
            <w:vAlign w:val="center"/>
          </w:tcPr>
          <w:p w14:paraId="5F2D82D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380" w:type="dxa"/>
            <w:vAlign w:val="center"/>
          </w:tcPr>
          <w:p w14:paraId="64DB2FC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79C81D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578" w:type="dxa"/>
            <w:vAlign w:val="center"/>
          </w:tcPr>
          <w:p w14:paraId="74DA34AA">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4CAAFA4B">
            <w:pPr>
              <w:spacing w:line="240" w:lineRule="atLeast"/>
              <w:jc w:val="left"/>
              <w:rPr>
                <w:rFonts w:ascii="仿宋_GB2312" w:hAnsi="仿宋_GB2312" w:eastAsia="仿宋_GB2312" w:cs="仿宋_GB2312"/>
                <w:sz w:val="20"/>
                <w:szCs w:val="20"/>
              </w:rPr>
            </w:pPr>
          </w:p>
        </w:tc>
      </w:tr>
      <w:tr w14:paraId="62DEE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291D291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w:t>
            </w:r>
          </w:p>
        </w:tc>
        <w:tc>
          <w:tcPr>
            <w:tcW w:w="555" w:type="dxa"/>
            <w:vAlign w:val="center"/>
          </w:tcPr>
          <w:p w14:paraId="0079814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080051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B0EADA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1569AF1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6EB2F23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钟乳石洞穴旅游开发审批</w:t>
            </w:r>
          </w:p>
        </w:tc>
        <w:tc>
          <w:tcPr>
            <w:tcW w:w="645" w:type="dxa"/>
            <w:vAlign w:val="center"/>
          </w:tcPr>
          <w:p w14:paraId="3AAAD3E8">
            <w:pPr>
              <w:snapToGrid w:val="0"/>
              <w:spacing w:line="240" w:lineRule="atLeast"/>
              <w:jc w:val="center"/>
              <w:rPr>
                <w:rFonts w:ascii="仿宋_GB2312" w:hAnsi="仿宋_GB2312" w:eastAsia="仿宋_GB2312" w:cs="仿宋_GB2312"/>
                <w:sz w:val="20"/>
                <w:szCs w:val="20"/>
              </w:rPr>
            </w:pPr>
          </w:p>
        </w:tc>
        <w:tc>
          <w:tcPr>
            <w:tcW w:w="585" w:type="dxa"/>
            <w:vAlign w:val="center"/>
          </w:tcPr>
          <w:p w14:paraId="3213DF9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3D78014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057" w:type="dxa"/>
            <w:vAlign w:val="center"/>
          </w:tcPr>
          <w:p w14:paraId="2B07C7A0">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十三条第一款：开发钟乳石洞穴进行旅游活动，由开发地设区的市自然资源主管部门征求设区的市文化和旅游主管部门的意见后批准。</w:t>
            </w:r>
          </w:p>
        </w:tc>
        <w:tc>
          <w:tcPr>
            <w:tcW w:w="4380" w:type="dxa"/>
            <w:vAlign w:val="center"/>
          </w:tcPr>
          <w:p w14:paraId="25197F8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4FB406F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2.审查责任：按照政策规定对书面材料进行审查，提出是否同意审批的初步意见，告知申请人、利害相关人享有听证权利；涉及公共利益的重大许可，向社会公告，并举行听证。</w:t>
            </w:r>
          </w:p>
          <w:p w14:paraId="0EE4FD0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3.决定责任：作出行政许可或者不予行政许可决定,法定告知（不予许可的应当书面告知理由）。</w:t>
            </w:r>
          </w:p>
          <w:p w14:paraId="7464AA2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4．送达责任：准予许可的制发送达审批决定。</w:t>
            </w:r>
          </w:p>
          <w:p w14:paraId="39A32C8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5．事后监管环节责任：对审批后的相关事宜实施监督管理。</w:t>
            </w:r>
          </w:p>
          <w:p w14:paraId="3B1808B2">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578" w:type="dxa"/>
            <w:vAlign w:val="center"/>
          </w:tcPr>
          <w:p w14:paraId="5E98FB7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0B60B55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155D96B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1D30606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3.【法律】《中华人民共和国行政许可法》第四十六条：法律、法规、规章规定实施行政许可应当听证的事项，或者行政机关认为需要听证的其他涉及公共利益的重大行政许可事项，行政机关应当向社会公告，并举行听证。</w:t>
            </w:r>
          </w:p>
          <w:p w14:paraId="178E009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4EFFE1E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17A4EA3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4—1.【法律】《中华人民共和国行政许可法》第四十条：行政机关作出的准予行政许可决定，应当予以公开，公众有权查阅。</w:t>
            </w:r>
          </w:p>
          <w:p w14:paraId="35DB5FB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4—2.【法律】《中华人民共和国行政许可法》第四十四条：行政机关作出准予行政许可的决定，应当自作出决定之日起十日内向申请人颁发、送达行政许可证件，或者加贴标签、加盖检验、检测、检疫印章。</w:t>
            </w:r>
          </w:p>
          <w:p w14:paraId="11CA57C4">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440EE676">
            <w:pPr>
              <w:snapToGrid w:val="0"/>
              <w:spacing w:line="240" w:lineRule="atLeast"/>
              <w:jc w:val="center"/>
              <w:rPr>
                <w:rFonts w:ascii="仿宋_GB2312" w:hAnsi="仿宋_GB2312" w:eastAsia="仿宋_GB2312" w:cs="仿宋_GB2312"/>
                <w:sz w:val="20"/>
                <w:szCs w:val="20"/>
              </w:rPr>
            </w:pPr>
          </w:p>
        </w:tc>
      </w:tr>
    </w:tbl>
    <w:p w14:paraId="1EC95110"/>
    <w:p w14:paraId="4D474B27"/>
    <w:p w14:paraId="7DE8D91F"/>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6057"/>
        <w:gridCol w:w="4395"/>
        <w:gridCol w:w="7563"/>
        <w:gridCol w:w="330"/>
      </w:tblGrid>
      <w:tr w14:paraId="3C5E7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077D624">
            <w:pPr>
              <w:snapToGrid w:val="0"/>
              <w:spacing w:line="240" w:lineRule="atLeast"/>
              <w:jc w:val="left"/>
              <w:rPr>
                <w:rFonts w:asciiTheme="majorEastAsia" w:hAnsiTheme="majorEastAsia" w:eastAsiaTheme="majorEastAsia" w:cstheme="majorEastAsia"/>
                <w:spacing w:val="-23"/>
                <w:sz w:val="20"/>
                <w:szCs w:val="20"/>
              </w:rPr>
            </w:pPr>
          </w:p>
          <w:p w14:paraId="06823D26">
            <w:pPr>
              <w:snapToGrid w:val="0"/>
              <w:spacing w:line="240" w:lineRule="atLeast"/>
              <w:jc w:val="left"/>
              <w:rPr>
                <w:rFonts w:asciiTheme="majorEastAsia" w:hAnsiTheme="majorEastAsia" w:eastAsiaTheme="majorEastAsia" w:cstheme="majorEastAsia"/>
                <w:spacing w:val="-23"/>
                <w:sz w:val="20"/>
                <w:szCs w:val="20"/>
              </w:rPr>
            </w:pPr>
          </w:p>
          <w:p w14:paraId="69061F2F">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5E2F6B62">
            <w:pPr>
              <w:spacing w:line="240" w:lineRule="atLeast"/>
              <w:rPr>
                <w:rFonts w:asciiTheme="majorEastAsia" w:hAnsiTheme="majorEastAsia" w:eastAsiaTheme="majorEastAsia" w:cstheme="majorEastAsia"/>
                <w:spacing w:val="-20"/>
                <w:sz w:val="20"/>
                <w:szCs w:val="20"/>
              </w:rPr>
            </w:pPr>
          </w:p>
          <w:p w14:paraId="214448F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916" w:type="dxa"/>
            <w:gridSpan w:val="5"/>
          </w:tcPr>
          <w:p w14:paraId="6FB65BD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58" w:type="dxa"/>
            <w:gridSpan w:val="2"/>
          </w:tcPr>
          <w:p w14:paraId="25BE967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0B266B4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A888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BFF6D82">
            <w:pPr>
              <w:spacing w:line="240" w:lineRule="atLeast"/>
              <w:jc w:val="left"/>
              <w:rPr>
                <w:rFonts w:ascii="仿宋_GB2312" w:hAnsi="仿宋_GB2312" w:eastAsia="仿宋_GB2312" w:cs="仿宋_GB2312"/>
                <w:sz w:val="20"/>
                <w:szCs w:val="20"/>
              </w:rPr>
            </w:pPr>
          </w:p>
        </w:tc>
        <w:tc>
          <w:tcPr>
            <w:tcW w:w="555" w:type="dxa"/>
            <w:vMerge w:val="continue"/>
          </w:tcPr>
          <w:p w14:paraId="6E87D7F4">
            <w:pPr>
              <w:spacing w:line="240" w:lineRule="atLeast"/>
              <w:jc w:val="left"/>
              <w:rPr>
                <w:rFonts w:ascii="仿宋_GB2312" w:hAnsi="仿宋_GB2312" w:eastAsia="仿宋_GB2312" w:cs="仿宋_GB2312"/>
                <w:sz w:val="20"/>
                <w:szCs w:val="20"/>
              </w:rPr>
            </w:pPr>
          </w:p>
        </w:tc>
        <w:tc>
          <w:tcPr>
            <w:tcW w:w="600" w:type="dxa"/>
            <w:vAlign w:val="center"/>
          </w:tcPr>
          <w:p w14:paraId="15A25153">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180E1A91">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3E116DE7">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5842E59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057" w:type="dxa"/>
            <w:vAlign w:val="center"/>
          </w:tcPr>
          <w:p w14:paraId="3C358BE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395" w:type="dxa"/>
            <w:vAlign w:val="center"/>
          </w:tcPr>
          <w:p w14:paraId="08998B8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07F0C6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563" w:type="dxa"/>
            <w:vAlign w:val="center"/>
          </w:tcPr>
          <w:p w14:paraId="3CDB298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2FD7CD0D">
            <w:pPr>
              <w:spacing w:line="240" w:lineRule="atLeast"/>
              <w:jc w:val="left"/>
              <w:rPr>
                <w:rFonts w:ascii="仿宋_GB2312" w:hAnsi="仿宋_GB2312" w:eastAsia="仿宋_GB2312" w:cs="仿宋_GB2312"/>
                <w:sz w:val="20"/>
                <w:szCs w:val="20"/>
              </w:rPr>
            </w:pPr>
          </w:p>
        </w:tc>
      </w:tr>
      <w:tr w14:paraId="1CD36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4C3D92F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w:t>
            </w:r>
          </w:p>
        </w:tc>
        <w:tc>
          <w:tcPr>
            <w:tcW w:w="555" w:type="dxa"/>
            <w:vAlign w:val="center"/>
          </w:tcPr>
          <w:p w14:paraId="7B6B321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195389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B7CE0C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0A1F0DA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1C90439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科学研究采集钟乳石样品审批</w:t>
            </w:r>
          </w:p>
        </w:tc>
        <w:tc>
          <w:tcPr>
            <w:tcW w:w="645" w:type="dxa"/>
            <w:vAlign w:val="center"/>
          </w:tcPr>
          <w:p w14:paraId="5060EA20">
            <w:pPr>
              <w:snapToGrid w:val="0"/>
              <w:spacing w:line="240" w:lineRule="atLeast"/>
              <w:jc w:val="center"/>
              <w:rPr>
                <w:rFonts w:ascii="仿宋_GB2312" w:hAnsi="仿宋_GB2312" w:eastAsia="仿宋_GB2312" w:cs="仿宋_GB2312"/>
                <w:sz w:val="20"/>
                <w:szCs w:val="20"/>
              </w:rPr>
            </w:pPr>
          </w:p>
        </w:tc>
        <w:tc>
          <w:tcPr>
            <w:tcW w:w="585" w:type="dxa"/>
            <w:vAlign w:val="center"/>
          </w:tcPr>
          <w:p w14:paraId="7BD435C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7C15A0A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057" w:type="dxa"/>
            <w:vAlign w:val="center"/>
          </w:tcPr>
          <w:p w14:paraId="6E81D979">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八条：因科学研究确需采集钟乳石样品的，应当持科学技术行政部门下达的科研项目相关文件材料，报采集地设区的市自然资源主管部门批准。</w:t>
            </w:r>
          </w:p>
        </w:tc>
        <w:tc>
          <w:tcPr>
            <w:tcW w:w="4395" w:type="dxa"/>
            <w:vAlign w:val="center"/>
          </w:tcPr>
          <w:p w14:paraId="3F30EAA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7F69C02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2.审查责任：按照政策规定对书面材料进行审查，提出是否同意审批的初步意见，告知申请人、利害相关人享有听证权利；涉及公共利益的重大许可，向社会公告，并举行听证。</w:t>
            </w:r>
          </w:p>
          <w:p w14:paraId="3A34C4B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3.决定责任：作出行政许可或者不予行政许可决定,法定告知（不予许可的应当书面告知理由）。</w:t>
            </w:r>
          </w:p>
          <w:p w14:paraId="6758A4F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4．送达责任：准予许可的制发送达审批决定。</w:t>
            </w:r>
          </w:p>
          <w:p w14:paraId="2574723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5．事后监管环节责任：对审批后的相关事宜实施监督管理。</w:t>
            </w:r>
          </w:p>
          <w:p w14:paraId="74EA2F69">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563" w:type="dxa"/>
            <w:vAlign w:val="center"/>
          </w:tcPr>
          <w:p w14:paraId="3CDA851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3289347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5BF8DB7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06CF5EB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3.【法律】《中华人民共和国行政许可法》第四十六条：法律、法规、规章规定实施行政许可应当听证的事项，或者行政机关认为需要听证的其他涉及公共利益的重大行政许可事项，行政机关应当向社会公告，并举行听证。</w:t>
            </w:r>
          </w:p>
          <w:p w14:paraId="13ECA1A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0EA303A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37D30FB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4—1.【法律】《中华人民共和国行政许可法》第四十条：行政机关作出的准予行政许可决定，应当予以公开，公众有权查阅。</w:t>
            </w:r>
          </w:p>
          <w:p w14:paraId="049F6AE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4-2【法律】《中华人民共和国行政许可法》第四十四条：行政机关作出准予行政许可的决定，应当自作出决定之日起十日内向申请人颁发、送达行政许可证件，或者加贴标签、加盖检验、检测、检疫印章。</w:t>
            </w:r>
          </w:p>
          <w:p w14:paraId="6000CC8E">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4B3C4289">
            <w:pPr>
              <w:snapToGrid w:val="0"/>
              <w:spacing w:line="240" w:lineRule="atLeast"/>
              <w:jc w:val="center"/>
              <w:rPr>
                <w:rFonts w:ascii="仿宋_GB2312" w:hAnsi="仿宋_GB2312" w:eastAsia="仿宋_GB2312" w:cs="仿宋_GB2312"/>
                <w:sz w:val="20"/>
                <w:szCs w:val="20"/>
              </w:rPr>
            </w:pPr>
          </w:p>
        </w:tc>
      </w:tr>
    </w:tbl>
    <w:p w14:paraId="35F0F914"/>
    <w:p w14:paraId="41D9DE2E"/>
    <w:p w14:paraId="1A148BFC"/>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6057"/>
        <w:gridCol w:w="4425"/>
        <w:gridCol w:w="7533"/>
        <w:gridCol w:w="330"/>
      </w:tblGrid>
      <w:tr w14:paraId="05CA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62E9873">
            <w:pPr>
              <w:snapToGrid w:val="0"/>
              <w:spacing w:line="240" w:lineRule="atLeast"/>
              <w:jc w:val="left"/>
              <w:rPr>
                <w:rFonts w:asciiTheme="majorEastAsia" w:hAnsiTheme="majorEastAsia" w:eastAsiaTheme="majorEastAsia" w:cstheme="majorEastAsia"/>
                <w:spacing w:val="-23"/>
                <w:sz w:val="20"/>
                <w:szCs w:val="20"/>
              </w:rPr>
            </w:pPr>
          </w:p>
          <w:p w14:paraId="4A5EBE7C">
            <w:pPr>
              <w:snapToGrid w:val="0"/>
              <w:spacing w:line="240" w:lineRule="atLeast"/>
              <w:jc w:val="left"/>
              <w:rPr>
                <w:rFonts w:asciiTheme="majorEastAsia" w:hAnsiTheme="majorEastAsia" w:eastAsiaTheme="majorEastAsia" w:cstheme="majorEastAsia"/>
                <w:spacing w:val="-23"/>
                <w:sz w:val="20"/>
                <w:szCs w:val="20"/>
              </w:rPr>
            </w:pPr>
          </w:p>
          <w:p w14:paraId="36A359BB">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14358172">
            <w:pPr>
              <w:spacing w:line="240" w:lineRule="atLeast"/>
              <w:rPr>
                <w:rFonts w:asciiTheme="majorEastAsia" w:hAnsiTheme="majorEastAsia" w:eastAsiaTheme="majorEastAsia" w:cstheme="majorEastAsia"/>
                <w:spacing w:val="-20"/>
                <w:sz w:val="20"/>
                <w:szCs w:val="20"/>
              </w:rPr>
            </w:pPr>
          </w:p>
          <w:p w14:paraId="04690CC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916" w:type="dxa"/>
            <w:gridSpan w:val="5"/>
          </w:tcPr>
          <w:p w14:paraId="47678C3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58" w:type="dxa"/>
            <w:gridSpan w:val="2"/>
          </w:tcPr>
          <w:p w14:paraId="721E3C4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1807124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CDC4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81B7229">
            <w:pPr>
              <w:spacing w:line="240" w:lineRule="atLeast"/>
              <w:jc w:val="left"/>
              <w:rPr>
                <w:rFonts w:ascii="仿宋_GB2312" w:hAnsi="仿宋_GB2312" w:eastAsia="仿宋_GB2312" w:cs="仿宋_GB2312"/>
                <w:sz w:val="20"/>
                <w:szCs w:val="20"/>
              </w:rPr>
            </w:pPr>
          </w:p>
        </w:tc>
        <w:tc>
          <w:tcPr>
            <w:tcW w:w="555" w:type="dxa"/>
            <w:vMerge w:val="continue"/>
          </w:tcPr>
          <w:p w14:paraId="36D7AB2E">
            <w:pPr>
              <w:spacing w:line="240" w:lineRule="atLeast"/>
              <w:jc w:val="left"/>
              <w:rPr>
                <w:rFonts w:ascii="仿宋_GB2312" w:hAnsi="仿宋_GB2312" w:eastAsia="仿宋_GB2312" w:cs="仿宋_GB2312"/>
                <w:sz w:val="20"/>
                <w:szCs w:val="20"/>
              </w:rPr>
            </w:pPr>
          </w:p>
        </w:tc>
        <w:tc>
          <w:tcPr>
            <w:tcW w:w="600" w:type="dxa"/>
            <w:vAlign w:val="center"/>
          </w:tcPr>
          <w:p w14:paraId="75A83199">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76D1EFDC">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7BC84364">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0B86A236">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057" w:type="dxa"/>
            <w:vAlign w:val="center"/>
          </w:tcPr>
          <w:p w14:paraId="6A1EA46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425" w:type="dxa"/>
            <w:vAlign w:val="center"/>
          </w:tcPr>
          <w:p w14:paraId="2086CEF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EB7986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533" w:type="dxa"/>
            <w:vAlign w:val="center"/>
          </w:tcPr>
          <w:p w14:paraId="4663C74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0C39434B">
            <w:pPr>
              <w:spacing w:line="240" w:lineRule="atLeast"/>
              <w:jc w:val="left"/>
              <w:rPr>
                <w:rFonts w:ascii="仿宋_GB2312" w:hAnsi="仿宋_GB2312" w:eastAsia="仿宋_GB2312" w:cs="仿宋_GB2312"/>
                <w:sz w:val="20"/>
                <w:szCs w:val="20"/>
              </w:rPr>
            </w:pPr>
          </w:p>
        </w:tc>
      </w:tr>
      <w:tr w14:paraId="39D64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3A45663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w:t>
            </w:r>
          </w:p>
        </w:tc>
        <w:tc>
          <w:tcPr>
            <w:tcW w:w="555" w:type="dxa"/>
            <w:vAlign w:val="center"/>
          </w:tcPr>
          <w:p w14:paraId="1CB06CC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ECC377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249C3E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5B92E7C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1F6FEF0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法人或者其他组织需要利用属于国家秘密的基础测绘成果审批</w:t>
            </w:r>
          </w:p>
        </w:tc>
        <w:tc>
          <w:tcPr>
            <w:tcW w:w="645" w:type="dxa"/>
            <w:vAlign w:val="center"/>
          </w:tcPr>
          <w:p w14:paraId="75A3FE93">
            <w:pPr>
              <w:snapToGrid w:val="0"/>
              <w:spacing w:line="240" w:lineRule="atLeast"/>
              <w:jc w:val="center"/>
              <w:rPr>
                <w:rFonts w:ascii="仿宋_GB2312" w:hAnsi="仿宋_GB2312" w:eastAsia="仿宋_GB2312" w:cs="仿宋_GB2312"/>
                <w:sz w:val="20"/>
                <w:szCs w:val="20"/>
              </w:rPr>
            </w:pPr>
          </w:p>
        </w:tc>
        <w:tc>
          <w:tcPr>
            <w:tcW w:w="585" w:type="dxa"/>
            <w:vAlign w:val="center"/>
          </w:tcPr>
          <w:p w14:paraId="7201B8F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31F3F21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057" w:type="dxa"/>
            <w:vAlign w:val="center"/>
          </w:tcPr>
          <w:p w14:paraId="6560FF9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中华人民共和国测绘成果管理条例》（2006年国务院第469号令公布）第十七条：法人或者其他组织需要利用属于国家秘密的基础测绘成果的，应当提出明确的利用目的和范围，报测绘成果所在地的测绘行政主管部门审批。测绘行政主管部门审查同意的，应当以书面形式告知测绘成果的秘密等级、保密要求以及相关著作权保护要求。</w:t>
            </w:r>
          </w:p>
        </w:tc>
        <w:tc>
          <w:tcPr>
            <w:tcW w:w="4425" w:type="dxa"/>
            <w:vAlign w:val="center"/>
          </w:tcPr>
          <w:p w14:paraId="7B8A98C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1.受理责任：公示“法人或者其他组织需要利用属于国家秘密的基础测绘成果审批”行政许可需要提交的全部材料的目录，作出不予受理、补正材料或者予以受理的决定。</w:t>
            </w:r>
          </w:p>
          <w:p w14:paraId="0FAA4FA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2.审查责任：审查申请材料，提出审查意见。</w:t>
            </w:r>
          </w:p>
          <w:p w14:paraId="0A4FBA7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3.决定责任：作出行政许可或者不予行政许可决定，法定告知（不予许可的应当书面告知理由） 。</w:t>
            </w:r>
          </w:p>
          <w:p w14:paraId="3B79A80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4．送达责任：准予许可的，制发许可证书或批件，送达并信息公开。</w:t>
            </w:r>
          </w:p>
          <w:p w14:paraId="64868F0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5．监管责任：制定监管计划，依法采取相关处置措施。</w:t>
            </w:r>
          </w:p>
          <w:p w14:paraId="5A573787">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533" w:type="dxa"/>
            <w:vAlign w:val="center"/>
          </w:tcPr>
          <w:p w14:paraId="4A38792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71706C8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7298A7D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0F12839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67E0860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14:paraId="405F6FCB">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行政法规】《中华人民共和国测绘成果管理条例》（2006年国务院令第469号）第三条：国务院测绘行政主管部门负责全国测绘成果工作的统一监督管理。国务院其他有关部门按照职责分工，负责本部门有关的测绘成果工作。县级以上地方人民政府负责管理测绘工作的部门（以下称测绘行政主管部门）负责本行政区域测绘成果工作的统一监督管理。县级以上地方人民政府其他有关部门按照职责分工，负责本部门有关的测绘成果工作。</w:t>
            </w:r>
          </w:p>
        </w:tc>
        <w:tc>
          <w:tcPr>
            <w:tcW w:w="330" w:type="dxa"/>
            <w:vAlign w:val="center"/>
          </w:tcPr>
          <w:p w14:paraId="4F1C9926">
            <w:pPr>
              <w:snapToGrid w:val="0"/>
              <w:spacing w:line="240" w:lineRule="atLeast"/>
              <w:jc w:val="center"/>
              <w:rPr>
                <w:rFonts w:ascii="仿宋_GB2312" w:hAnsi="仿宋_GB2312" w:eastAsia="仿宋_GB2312" w:cs="仿宋_GB2312"/>
                <w:sz w:val="20"/>
                <w:szCs w:val="20"/>
              </w:rPr>
            </w:pPr>
          </w:p>
        </w:tc>
      </w:tr>
    </w:tbl>
    <w:p w14:paraId="535DB60D"/>
    <w:p w14:paraId="38405B3E"/>
    <w:p w14:paraId="4CF1C7E7"/>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6057"/>
        <w:gridCol w:w="4425"/>
        <w:gridCol w:w="7533"/>
        <w:gridCol w:w="330"/>
      </w:tblGrid>
      <w:tr w14:paraId="36F2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55B4051">
            <w:pPr>
              <w:snapToGrid w:val="0"/>
              <w:spacing w:line="240" w:lineRule="atLeast"/>
              <w:jc w:val="left"/>
              <w:rPr>
                <w:rFonts w:asciiTheme="majorEastAsia" w:hAnsiTheme="majorEastAsia" w:eastAsiaTheme="majorEastAsia" w:cstheme="majorEastAsia"/>
                <w:spacing w:val="-23"/>
                <w:sz w:val="20"/>
                <w:szCs w:val="20"/>
              </w:rPr>
            </w:pPr>
          </w:p>
          <w:p w14:paraId="5DCEA80F">
            <w:pPr>
              <w:snapToGrid w:val="0"/>
              <w:spacing w:line="240" w:lineRule="atLeast"/>
              <w:jc w:val="left"/>
              <w:rPr>
                <w:rFonts w:asciiTheme="majorEastAsia" w:hAnsiTheme="majorEastAsia" w:eastAsiaTheme="majorEastAsia" w:cstheme="majorEastAsia"/>
                <w:spacing w:val="-23"/>
                <w:sz w:val="20"/>
                <w:szCs w:val="20"/>
              </w:rPr>
            </w:pPr>
          </w:p>
          <w:p w14:paraId="71B7C108">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45445F78">
            <w:pPr>
              <w:spacing w:line="240" w:lineRule="atLeast"/>
              <w:rPr>
                <w:rFonts w:asciiTheme="majorEastAsia" w:hAnsiTheme="majorEastAsia" w:eastAsiaTheme="majorEastAsia" w:cstheme="majorEastAsia"/>
                <w:spacing w:val="-20"/>
                <w:sz w:val="20"/>
                <w:szCs w:val="20"/>
              </w:rPr>
            </w:pPr>
          </w:p>
          <w:p w14:paraId="39250E8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916" w:type="dxa"/>
            <w:gridSpan w:val="5"/>
          </w:tcPr>
          <w:p w14:paraId="219AED1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58" w:type="dxa"/>
            <w:gridSpan w:val="2"/>
          </w:tcPr>
          <w:p w14:paraId="3501C87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6F0C0CD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985B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88BE6C1">
            <w:pPr>
              <w:spacing w:line="240" w:lineRule="atLeast"/>
              <w:jc w:val="left"/>
              <w:rPr>
                <w:rFonts w:ascii="仿宋_GB2312" w:hAnsi="仿宋_GB2312" w:eastAsia="仿宋_GB2312" w:cs="仿宋_GB2312"/>
                <w:sz w:val="20"/>
                <w:szCs w:val="20"/>
              </w:rPr>
            </w:pPr>
          </w:p>
        </w:tc>
        <w:tc>
          <w:tcPr>
            <w:tcW w:w="555" w:type="dxa"/>
            <w:vMerge w:val="continue"/>
          </w:tcPr>
          <w:p w14:paraId="0E9E8C6F">
            <w:pPr>
              <w:spacing w:line="240" w:lineRule="atLeast"/>
              <w:jc w:val="left"/>
              <w:rPr>
                <w:rFonts w:ascii="仿宋_GB2312" w:hAnsi="仿宋_GB2312" w:eastAsia="仿宋_GB2312" w:cs="仿宋_GB2312"/>
                <w:sz w:val="20"/>
                <w:szCs w:val="20"/>
              </w:rPr>
            </w:pPr>
          </w:p>
        </w:tc>
        <w:tc>
          <w:tcPr>
            <w:tcW w:w="600" w:type="dxa"/>
            <w:vAlign w:val="center"/>
          </w:tcPr>
          <w:p w14:paraId="53349832">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63D06936">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5CAB4CAA">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5A1418C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057" w:type="dxa"/>
            <w:vAlign w:val="center"/>
          </w:tcPr>
          <w:p w14:paraId="22B95FB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425" w:type="dxa"/>
            <w:vAlign w:val="center"/>
          </w:tcPr>
          <w:p w14:paraId="325A0EF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EA72B7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533" w:type="dxa"/>
            <w:vAlign w:val="center"/>
          </w:tcPr>
          <w:p w14:paraId="6EA4115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385D2B55">
            <w:pPr>
              <w:spacing w:line="240" w:lineRule="atLeast"/>
              <w:jc w:val="left"/>
              <w:rPr>
                <w:rFonts w:ascii="仿宋_GB2312" w:hAnsi="仿宋_GB2312" w:eastAsia="仿宋_GB2312" w:cs="仿宋_GB2312"/>
                <w:sz w:val="20"/>
                <w:szCs w:val="20"/>
              </w:rPr>
            </w:pPr>
          </w:p>
        </w:tc>
      </w:tr>
      <w:tr w14:paraId="6D15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2A1451C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w:t>
            </w:r>
          </w:p>
        </w:tc>
        <w:tc>
          <w:tcPr>
            <w:tcW w:w="555" w:type="dxa"/>
            <w:vAlign w:val="center"/>
          </w:tcPr>
          <w:p w14:paraId="3254AC3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54F476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D44804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6A800A2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4B068CC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地图审核</w:t>
            </w:r>
          </w:p>
        </w:tc>
        <w:tc>
          <w:tcPr>
            <w:tcW w:w="645" w:type="dxa"/>
            <w:vAlign w:val="center"/>
          </w:tcPr>
          <w:p w14:paraId="3E1AA670">
            <w:pPr>
              <w:snapToGrid w:val="0"/>
              <w:spacing w:line="240" w:lineRule="atLeast"/>
              <w:jc w:val="center"/>
              <w:rPr>
                <w:rFonts w:ascii="仿宋_GB2312" w:hAnsi="仿宋_GB2312" w:eastAsia="仿宋_GB2312" w:cs="仿宋_GB2312"/>
                <w:sz w:val="20"/>
                <w:szCs w:val="20"/>
              </w:rPr>
            </w:pPr>
          </w:p>
        </w:tc>
        <w:tc>
          <w:tcPr>
            <w:tcW w:w="585" w:type="dxa"/>
            <w:vAlign w:val="center"/>
          </w:tcPr>
          <w:p w14:paraId="75B7751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7C23840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057" w:type="dxa"/>
            <w:vAlign w:val="center"/>
          </w:tcPr>
          <w:p w14:paraId="414D356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地图管理条例》（2015年国务院令第664号）第十五条：国家实行地图审核制度。向社会公开的地图，应当报送有审核权的测绘地理信息行政主管部门审核。但是，景区图、街区图、地铁线路图等内容简单的地图除外。地图审核不得收取费用。</w:t>
            </w:r>
          </w:p>
          <w:p w14:paraId="1F0151E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地图审核管理规定》（2006年国土资源部第34号令公布，2019年自然资源部令第5号修正）第八条：省、自治区、直辖市人民政府测绘地理信息主管部门负责审核主要表现地在本行政区域范围内的地图。其中，主要表现地在设区的市行政区域范围内不涉及国界线的地图，由设区的市级人民政府测绘地理信息主管部门负责审核。</w:t>
            </w:r>
          </w:p>
        </w:tc>
        <w:tc>
          <w:tcPr>
            <w:tcW w:w="4425" w:type="dxa"/>
            <w:vAlign w:val="center"/>
          </w:tcPr>
          <w:p w14:paraId="7A70459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1.受理责任：公示地图审核行政许可需要提交的全部材料的目录，自收到申请材料5个工作日内作出不予受理、补正材料或者予以受理的决定。</w:t>
            </w:r>
          </w:p>
          <w:p w14:paraId="6859B34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2.审查责任：主要表现地在设区的市行政区域范围内不涉及国界线的地图，由设区的市级人民政府自然资源主管部门负责审核申请材料，提出审查意见。</w:t>
            </w:r>
          </w:p>
          <w:p w14:paraId="015D869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有审核权的自然资源主管部门应当自受理地图审核申请之日起20个工作日内，作出审核决定。时事宣传地图、时效性要求较高的图书和报刊等插附地图的，应当自受理地图审核审批申请之日起7个工作日内，作出审核决定。应急保障等特殊情况需要使用地图的，应当即送即审。不予行政许可决定的，应当向申请单位书面说明理由。</w:t>
            </w:r>
          </w:p>
          <w:p w14:paraId="07538BE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4．送达责任：准予批准的，核发地图审核批准文件和审图号。</w:t>
            </w:r>
          </w:p>
          <w:p w14:paraId="4F510AD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监管责任：制定监管计划，对地图送审单位和地图出版发布单位执行《地图审核管理规定》、《公开地图内容表示若干规定》、《公开地图内容表示补充规定》（试行）等有关规定的有关情况进行监管，依法采取相关处置措施。</w:t>
            </w:r>
          </w:p>
          <w:p w14:paraId="75D04545">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533" w:type="dxa"/>
            <w:vAlign w:val="center"/>
          </w:tcPr>
          <w:p w14:paraId="0917C4C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43974D1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地图管理条例》（2015年国务院令第664号）第十八条：省、自治区、直辖市人民政府测绘地理信息行政主管部门负责审核主要表现地在本行政区域范围内的地图。其中，主要表现地在设区的市行政区域范围内不涉及国界线的地图，由设区的市级人民政府测绘地理信息行政主管部门负责审核。</w:t>
            </w:r>
          </w:p>
          <w:p w14:paraId="0FD8216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3.【行政法规】《地图管理条例》（2015年国务院令第664号）第十九条：有审核权的测绘地理信息行政主管部门应当自受理地图审核申请之日起20个工作日内，作出审核决定。</w:t>
            </w:r>
          </w:p>
          <w:p w14:paraId="63CA3E4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时事宣传地图、时效性要求较高的图书和报刊等插附地图的，应当自受理地图审核申请之日起7个工作日内，作出审核决定。</w:t>
            </w:r>
          </w:p>
          <w:p w14:paraId="0C1DB6F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应急保障等特殊情况需要使用地图的，应当即送即审。</w:t>
            </w:r>
          </w:p>
          <w:p w14:paraId="497C1EA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4—1.【行政法规】《地图管理条例》（2015年国务院令第664号）第二十一条：……由有审核权的测绘地理信息行政主管部门核发地图审核批准文件，……：</w:t>
            </w:r>
          </w:p>
          <w:p w14:paraId="7DE16B5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2.【部门规章】《地图审核管理规定》（2006年国土资源部第34号令公布，2019年自然资源部令第5号修正）第二十三条自然资源主管部门应当依据地图内容审查工作机构提出的审查意见及相关申请材料，作出批准或者不予批准的书面决定并及时送达申请人。</w:t>
            </w:r>
          </w:p>
          <w:p w14:paraId="70B41F3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予以批准的，核发地图审核批准文件和审图号。</w:t>
            </w:r>
          </w:p>
          <w:p w14:paraId="517E274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不予批准的，核发地图审核不予批准文件并书面说明理由，告知申请人享有依法申请行政复议或者提起行政诉讼的权利。</w:t>
            </w:r>
          </w:p>
          <w:p w14:paraId="2C56910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5—1.【行政法规】《地图管理条例》（2015年国务院令第664号）第四十二条：县级以上人民政府及其有关部门应当依法加强对地图编制、出版、展示、登载、生产、销售、进口、出口等活动的监督检查。</w:t>
            </w:r>
          </w:p>
          <w:p w14:paraId="62214FF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地方性法规】《广西壮族自治区测绘管理条例》（1995年自治区第八届人民代表大会常务委员会第14次会议通过，2019年7月25日自治区第十三届人民代表大会常务委员会第十次会议修订）第二十九条：地图的编制、出版、展示、登载、更新和互联网地图服务等活动应当遵守国家和自治区有关地图管理的规定。</w:t>
            </w:r>
          </w:p>
          <w:p w14:paraId="1B3D1562">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条：自治区人民政府测绘地理信息主管部门负责审核主要表现地在本行政区域范围内的地图。其中，主要表现地在设区的市行政区域范围内不涉及国界线的地图，由设区的市人民政府测绘地理信息主管部门负责审核。</w:t>
            </w:r>
          </w:p>
        </w:tc>
        <w:tc>
          <w:tcPr>
            <w:tcW w:w="330" w:type="dxa"/>
            <w:vAlign w:val="center"/>
          </w:tcPr>
          <w:p w14:paraId="623FB410">
            <w:pPr>
              <w:snapToGrid w:val="0"/>
              <w:spacing w:line="240" w:lineRule="atLeast"/>
              <w:jc w:val="center"/>
              <w:rPr>
                <w:rFonts w:ascii="仿宋_GB2312" w:hAnsi="仿宋_GB2312" w:eastAsia="仿宋_GB2312" w:cs="仿宋_GB2312"/>
                <w:sz w:val="20"/>
                <w:szCs w:val="20"/>
              </w:rPr>
            </w:pPr>
          </w:p>
        </w:tc>
      </w:tr>
    </w:tbl>
    <w:p w14:paraId="2EE617E7"/>
    <w:p w14:paraId="389A8777"/>
    <w:p w14:paraId="758865EE"/>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7467"/>
        <w:gridCol w:w="3750"/>
        <w:gridCol w:w="6798"/>
        <w:gridCol w:w="330"/>
      </w:tblGrid>
      <w:tr w14:paraId="2AD20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F549B58">
            <w:pPr>
              <w:snapToGrid w:val="0"/>
              <w:spacing w:line="240" w:lineRule="atLeast"/>
              <w:jc w:val="left"/>
              <w:rPr>
                <w:rFonts w:asciiTheme="majorEastAsia" w:hAnsiTheme="majorEastAsia" w:eastAsiaTheme="majorEastAsia" w:cstheme="majorEastAsia"/>
                <w:spacing w:val="-23"/>
                <w:sz w:val="20"/>
                <w:szCs w:val="20"/>
              </w:rPr>
            </w:pPr>
          </w:p>
          <w:p w14:paraId="12CDB84D">
            <w:pPr>
              <w:snapToGrid w:val="0"/>
              <w:spacing w:line="240" w:lineRule="atLeast"/>
              <w:jc w:val="left"/>
              <w:rPr>
                <w:rFonts w:asciiTheme="majorEastAsia" w:hAnsiTheme="majorEastAsia" w:eastAsiaTheme="majorEastAsia" w:cstheme="majorEastAsia"/>
                <w:spacing w:val="-23"/>
                <w:sz w:val="20"/>
                <w:szCs w:val="20"/>
              </w:rPr>
            </w:pPr>
          </w:p>
          <w:p w14:paraId="6A275225">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36BC6A58">
            <w:pPr>
              <w:spacing w:line="240" w:lineRule="atLeast"/>
              <w:rPr>
                <w:rFonts w:asciiTheme="majorEastAsia" w:hAnsiTheme="majorEastAsia" w:eastAsiaTheme="majorEastAsia" w:cstheme="majorEastAsia"/>
                <w:spacing w:val="-20"/>
                <w:sz w:val="20"/>
                <w:szCs w:val="20"/>
              </w:rPr>
            </w:pPr>
          </w:p>
          <w:p w14:paraId="0DD487A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10326" w:type="dxa"/>
            <w:gridSpan w:val="5"/>
          </w:tcPr>
          <w:p w14:paraId="6875BA2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0548" w:type="dxa"/>
            <w:gridSpan w:val="2"/>
          </w:tcPr>
          <w:p w14:paraId="2C95F00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61C5085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1021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DE00A81">
            <w:pPr>
              <w:spacing w:line="240" w:lineRule="atLeast"/>
              <w:jc w:val="left"/>
              <w:rPr>
                <w:rFonts w:ascii="仿宋_GB2312" w:hAnsi="仿宋_GB2312" w:eastAsia="仿宋_GB2312" w:cs="仿宋_GB2312"/>
                <w:sz w:val="20"/>
                <w:szCs w:val="20"/>
              </w:rPr>
            </w:pPr>
          </w:p>
        </w:tc>
        <w:tc>
          <w:tcPr>
            <w:tcW w:w="555" w:type="dxa"/>
            <w:vMerge w:val="continue"/>
          </w:tcPr>
          <w:p w14:paraId="25D19B36">
            <w:pPr>
              <w:spacing w:line="240" w:lineRule="atLeast"/>
              <w:jc w:val="left"/>
              <w:rPr>
                <w:rFonts w:ascii="仿宋_GB2312" w:hAnsi="仿宋_GB2312" w:eastAsia="仿宋_GB2312" w:cs="仿宋_GB2312"/>
                <w:sz w:val="20"/>
                <w:szCs w:val="20"/>
              </w:rPr>
            </w:pPr>
          </w:p>
        </w:tc>
        <w:tc>
          <w:tcPr>
            <w:tcW w:w="600" w:type="dxa"/>
            <w:vAlign w:val="center"/>
          </w:tcPr>
          <w:p w14:paraId="4A16F7ED">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723ACE90">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582DF515">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6F56C0F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7467" w:type="dxa"/>
            <w:vAlign w:val="center"/>
          </w:tcPr>
          <w:p w14:paraId="3FC8AE7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750" w:type="dxa"/>
            <w:vAlign w:val="center"/>
          </w:tcPr>
          <w:p w14:paraId="37CF5BC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409FC8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6798" w:type="dxa"/>
            <w:vAlign w:val="center"/>
          </w:tcPr>
          <w:p w14:paraId="1FCCFE6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722BF242">
            <w:pPr>
              <w:spacing w:line="240" w:lineRule="atLeast"/>
              <w:jc w:val="left"/>
              <w:rPr>
                <w:rFonts w:ascii="仿宋_GB2312" w:hAnsi="仿宋_GB2312" w:eastAsia="仿宋_GB2312" w:cs="仿宋_GB2312"/>
                <w:sz w:val="20"/>
                <w:szCs w:val="20"/>
              </w:rPr>
            </w:pPr>
          </w:p>
        </w:tc>
      </w:tr>
      <w:tr w14:paraId="096B4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0BF77CE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w:t>
            </w:r>
          </w:p>
        </w:tc>
        <w:tc>
          <w:tcPr>
            <w:tcW w:w="555" w:type="dxa"/>
            <w:vAlign w:val="center"/>
          </w:tcPr>
          <w:p w14:paraId="34D0FF3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6DB747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370CC0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693EF79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41197E2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乡村建设规划许可</w:t>
            </w:r>
          </w:p>
        </w:tc>
        <w:tc>
          <w:tcPr>
            <w:tcW w:w="645" w:type="dxa"/>
            <w:vAlign w:val="center"/>
          </w:tcPr>
          <w:p w14:paraId="6A472B94">
            <w:pPr>
              <w:snapToGrid w:val="0"/>
              <w:spacing w:line="240" w:lineRule="atLeast"/>
              <w:jc w:val="center"/>
              <w:rPr>
                <w:rFonts w:ascii="仿宋_GB2312" w:hAnsi="仿宋_GB2312" w:eastAsia="仿宋_GB2312" w:cs="仿宋_GB2312"/>
                <w:sz w:val="20"/>
                <w:szCs w:val="20"/>
              </w:rPr>
            </w:pPr>
          </w:p>
        </w:tc>
        <w:tc>
          <w:tcPr>
            <w:tcW w:w="585" w:type="dxa"/>
            <w:vAlign w:val="center"/>
          </w:tcPr>
          <w:p w14:paraId="14C9CC2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乡镇人民政府（玉林市自然资源局监管）</w:t>
            </w:r>
          </w:p>
        </w:tc>
        <w:tc>
          <w:tcPr>
            <w:tcW w:w="1029" w:type="dxa"/>
            <w:vAlign w:val="center"/>
          </w:tcPr>
          <w:p w14:paraId="03DB4369">
            <w:pPr>
              <w:snapToGrid w:val="0"/>
              <w:spacing w:line="240" w:lineRule="atLeast"/>
              <w:rPr>
                <w:rFonts w:ascii="仿宋_GB2312" w:hAnsi="仿宋_GB2312" w:eastAsia="仿宋_GB2312" w:cs="仿宋_GB2312"/>
                <w:sz w:val="20"/>
                <w:szCs w:val="20"/>
              </w:rPr>
            </w:pPr>
          </w:p>
        </w:tc>
        <w:tc>
          <w:tcPr>
            <w:tcW w:w="7467" w:type="dxa"/>
            <w:vAlign w:val="center"/>
          </w:tcPr>
          <w:p w14:paraId="4E664E97">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城乡规划法》第四十一条：在乡、村庄规划区内进行乡镇企业、乡村公共设施和公益事业建设的，建设单位或者个人应当向乡、镇人民政府提出申请，由乡、镇人民政府报城市、县人民政府城乡规划主管部门核发乡村建设规划许可证。在乡、村庄规划区内使用原有宅基地进行农村村民住宅建设的规划管理办法，由省、自治区、直辖市制定。在乡、村庄规划区内进行乡镇企业、乡村公共设施和公益事业建设以及农村村民住宅建设，不得占用农用地；确需占用农用地的，应当依照《中华人民共和国土地管理法》有关规定办理农用地转用审批手续后，由城市、县人民政府城乡规划主管部门核发乡村建设规划许可证。建设单位或者个人在取得乡村建设规划许可证后，方可办理用地审批手续。</w:t>
            </w:r>
          </w:p>
          <w:p w14:paraId="527572B7">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地方性法规】《广西壮族自治区实施〈中华人民共和国城乡规划法〉办法》（2010年3月31日广西壮族自治区第十一届人民代表大会常务委员会第十四次会议通过，2016年11月30日广西壮族自治区第十二届人民代表大会常务委员会第二十六次会议修正）第三十七条：在乡、村庄规划区内进行乡镇企业、乡村公共设施和公益事业建设，应当办理乡村建设规划许可证。建设单位或者个人应当持经有关部门审批、核准或者备案文件、标明拟建项目用地范围的规定比例尺地形图、建设工程设计方案（包括图纸和说明，下同）、有关村民委员会意见、建设单位或者个人有效证件等材料，向所在地镇或者乡人民政府提出书面申请。镇或者乡人民政府对提交的材料进行初审，对材料齐全的，提出初审意见；对材料不齐全的，告知其应当补正的有关材料。镇或者乡人民政府将初审意见及该建设项目相关材料一并报上一级人民政府城乡规划主管部门。城乡规划主管部门依据乡、村庄规划对建设项目进行核查，对符合乡、村庄规划要求及国家有关规范、标准的，核发乡村建设规划许可证；对不符合要求的，不予核发，并书面说明理由。</w:t>
            </w:r>
          </w:p>
          <w:p w14:paraId="170E45E0">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第三十八条：村民在乡、村庄规划区范围内进行住宅建设的，应当办理乡村建设规划许可证。</w:t>
            </w:r>
          </w:p>
          <w:p w14:paraId="3481F813">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建房村民须持拟建住房用地的有关证明文件、村民小组和村民委员会意见、四邻关系图、建设工程设计方案或者房屋建筑通用图集、有效身份证件等材料向所在地镇或者乡人民政府提出书面申请。镇或者乡人民政府审核申请人提交的各项文件、资料、图纸等是否完备，并依据经依法批准的乡、村庄规划进行核查，对具备相关文件材料且符合乡、村庄规划及国家有关规范、标准要求，属于使用原有宅基地建造住宅的，由乡、镇人民政府核发乡村建设规划许可证，不属于使用原有宅基地建造住宅的，提出初审意见，报上一级人民政府城乡规划主管部门审定、核发乡村建设规划许可证；对不符合要求的，不予核发，并书面说明理由。</w:t>
            </w:r>
          </w:p>
          <w:p w14:paraId="64F12878">
            <w:pPr>
              <w:widowControl/>
              <w:adjustRightInd w:val="0"/>
              <w:snapToGrid w:val="0"/>
              <w:spacing w:line="240" w:lineRule="exact"/>
              <w:rPr>
                <w:rFonts w:eastAsia="仿宋_GB2312"/>
                <w:snapToGrid w:val="0"/>
                <w:color w:val="000000"/>
                <w:sz w:val="20"/>
                <w:szCs w:val="20"/>
              </w:rPr>
            </w:pPr>
            <w:r>
              <w:rPr>
                <w:rFonts w:hint="eastAsia" w:eastAsia="仿宋_GB2312"/>
                <w:snapToGrid w:val="0"/>
                <w:color w:val="000000"/>
                <w:sz w:val="20"/>
                <w:szCs w:val="20"/>
              </w:rPr>
              <w:t>第四十一条：城市、县人民政府城乡规划主管部门可以委托符合下列条件的乡、镇人民政府核发乡村建设规划许可证：（一）乡规划、村庄规划已经依法批准；（二）设有乡镇规划建设管理机构和配备有专职乡镇规划建设管理人员。</w:t>
            </w:r>
          </w:p>
          <w:p w14:paraId="6E8078D8">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地方性法规】《广西壮族自治区乡村规划建设管理条例》（2018年11月28日广西壮族自治区第十三届人民代表大会常务委员会第六次会议通过）第二十一条：在乡、村庄规划区内进行乡镇企业、乡村公共设施、公益事业建设以及村民住宅建设，应当取得乡村建设规划许可证，建设单位或者个人应当按照规划许可证的内容进行建设。乡村建设规划许可证的内容应当包括对地块位置、用地范围、用地性质、建筑面积、建筑高度、建筑风格、外观形象、色彩等的要求。</w:t>
            </w:r>
          </w:p>
          <w:p w14:paraId="5B07C659">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五条：在乡、村庄规划区内进行乡镇企业、乡村公共设施、公益事业建设，以及村民不使用原有宅基地或者扩大原有宅基地面积建设住宅的，乡（镇）人民政府自受理申请之日起十个工作日内将审核意见以及该建设工程相关材料报上一级人民政府城乡规划主管部门；城乡规划主管部门自受理申请之日起二十个工作日内作出决定，对符合本条例第二十二条规定条件的，核发乡村建设规划许可证；对不符合本条例第二十二条规定条件的，不予核发，并书面说明理由。</w:t>
            </w:r>
          </w:p>
          <w:p w14:paraId="1ED71568">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县级人民政府城乡规划主管部门可以委托乡（镇）人民政府核发乡村建设规划许可证。</w:t>
            </w:r>
          </w:p>
          <w:p w14:paraId="2D14500B">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在乡、村庄规划区内进行本条第一款规定的建设，应当在取得乡村建设规划许可证后，依法办理用地审批手续。</w:t>
            </w:r>
          </w:p>
          <w:p w14:paraId="703D8C57">
            <w:pPr>
              <w:snapToGrid w:val="0"/>
              <w:spacing w:line="240" w:lineRule="exact"/>
              <w:rPr>
                <w:rFonts w:ascii="仿宋_GB2312" w:hAnsi="仿宋_GB2312" w:eastAsia="仿宋_GB2312" w:cs="仿宋_GB2312"/>
                <w:sz w:val="20"/>
                <w:szCs w:val="20"/>
              </w:rPr>
            </w:pPr>
            <w:r>
              <w:rPr>
                <w:rFonts w:hint="eastAsia" w:eastAsia="仿宋_GB2312"/>
                <w:snapToGrid w:val="0"/>
                <w:color w:val="000000"/>
                <w:sz w:val="20"/>
                <w:szCs w:val="20"/>
              </w:rPr>
              <w:t>第二十六条：在乡、村庄规划区内使用原有宅基地建设住宅的，乡（镇）人民政府自受理申请之日起二十个工作日内作出决定，对符合本条例第二十二条第一款规定条件的，核发乡村建设规划许可证；对不符合本条例第二十二条第一款规定条件的，不予核发，并书面说明理由。</w:t>
            </w:r>
          </w:p>
        </w:tc>
        <w:tc>
          <w:tcPr>
            <w:tcW w:w="3750" w:type="dxa"/>
            <w:vAlign w:val="center"/>
          </w:tcPr>
          <w:p w14:paraId="5C7F5C2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6FCF684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2.审查责任：按照政策规定对书面材料进行审查，提出是否同意审批的初步意见，告知申请人、利害相关人享有听证权利；涉及公共利益的重大许可，向社会公告，并举行听证。</w:t>
            </w:r>
          </w:p>
          <w:p w14:paraId="744AFBB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3.决定责任：作出行政许可或者不予行政许可决定,法定告知（不予许可的应当书面告知理由）。</w:t>
            </w:r>
          </w:p>
          <w:p w14:paraId="2775886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4．送达责任：准予许可的制发送达审批决定。</w:t>
            </w:r>
          </w:p>
          <w:p w14:paraId="56A2FC3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5．事后监管环节责任：对审批后的相关事宜实施监督管理</w:t>
            </w:r>
          </w:p>
          <w:p w14:paraId="57FA3260">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6798" w:type="dxa"/>
            <w:vAlign w:val="center"/>
          </w:tcPr>
          <w:p w14:paraId="7E85F41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7019A37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2732245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018FB04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3.【法律】《中华人民共和国行政许可法》第四十六条：法律、法规、规章规定实施行政许可应当听证的事项，或者行政机关认为需要听证的其他涉及公共利益的重大行政许可事项，行政机关应当向社会公告，并举行听证。</w:t>
            </w:r>
          </w:p>
          <w:p w14:paraId="3809AF9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5FA27D1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4231B8A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4—1.【法律】《中华人民共和国行政许可法》第四十条：行政机关作出的准予行政许可决定，应当予以公开，公众有权查阅。</w:t>
            </w:r>
          </w:p>
          <w:p w14:paraId="4B0A1CC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4-2【法律】《中华人民共和国行政许可法》第四十四条：行政机关作出准予行政许可的决定，应当自作出决定之日起十日内向申请人颁发、送达行政许可证件、或者加贴标签、加盖检验、检测、检疫印章。</w:t>
            </w:r>
          </w:p>
          <w:p w14:paraId="20441552">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57022398">
            <w:pPr>
              <w:snapToGrid w:val="0"/>
              <w:spacing w:line="240" w:lineRule="atLeast"/>
              <w:jc w:val="center"/>
              <w:rPr>
                <w:rFonts w:ascii="仿宋_GB2312" w:hAnsi="仿宋_GB2312" w:eastAsia="仿宋_GB2312" w:cs="仿宋_GB2312"/>
                <w:sz w:val="20"/>
                <w:szCs w:val="20"/>
              </w:rPr>
            </w:pPr>
          </w:p>
        </w:tc>
      </w:tr>
    </w:tbl>
    <w:p w14:paraId="7B55E137"/>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6657"/>
        <w:gridCol w:w="3375"/>
        <w:gridCol w:w="7983"/>
        <w:gridCol w:w="330"/>
      </w:tblGrid>
      <w:tr w14:paraId="45D7F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EC2754B">
            <w:pPr>
              <w:snapToGrid w:val="0"/>
              <w:spacing w:line="240" w:lineRule="atLeast"/>
              <w:jc w:val="left"/>
              <w:rPr>
                <w:rFonts w:asciiTheme="majorEastAsia" w:hAnsiTheme="majorEastAsia" w:eastAsiaTheme="majorEastAsia" w:cstheme="majorEastAsia"/>
                <w:spacing w:val="-23"/>
                <w:sz w:val="20"/>
                <w:szCs w:val="20"/>
              </w:rPr>
            </w:pPr>
          </w:p>
          <w:p w14:paraId="73C86ED2">
            <w:pPr>
              <w:snapToGrid w:val="0"/>
              <w:spacing w:line="240" w:lineRule="atLeast"/>
              <w:jc w:val="left"/>
              <w:rPr>
                <w:rFonts w:asciiTheme="majorEastAsia" w:hAnsiTheme="majorEastAsia" w:eastAsiaTheme="majorEastAsia" w:cstheme="majorEastAsia"/>
                <w:spacing w:val="-23"/>
                <w:sz w:val="20"/>
                <w:szCs w:val="20"/>
              </w:rPr>
            </w:pPr>
          </w:p>
          <w:p w14:paraId="660414CE">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3909DE76">
            <w:pPr>
              <w:spacing w:line="240" w:lineRule="atLeast"/>
              <w:rPr>
                <w:rFonts w:asciiTheme="majorEastAsia" w:hAnsiTheme="majorEastAsia" w:eastAsiaTheme="majorEastAsia" w:cstheme="majorEastAsia"/>
                <w:spacing w:val="-20"/>
                <w:sz w:val="20"/>
                <w:szCs w:val="20"/>
              </w:rPr>
            </w:pPr>
          </w:p>
          <w:p w14:paraId="2A90B37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9516" w:type="dxa"/>
            <w:gridSpan w:val="5"/>
          </w:tcPr>
          <w:p w14:paraId="343CE46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358" w:type="dxa"/>
            <w:gridSpan w:val="2"/>
          </w:tcPr>
          <w:p w14:paraId="19E20EC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58ED99A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1E7A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8196B51">
            <w:pPr>
              <w:spacing w:line="240" w:lineRule="atLeast"/>
              <w:jc w:val="left"/>
              <w:rPr>
                <w:rFonts w:ascii="仿宋_GB2312" w:hAnsi="仿宋_GB2312" w:eastAsia="仿宋_GB2312" w:cs="仿宋_GB2312"/>
                <w:sz w:val="20"/>
                <w:szCs w:val="20"/>
              </w:rPr>
            </w:pPr>
          </w:p>
        </w:tc>
        <w:tc>
          <w:tcPr>
            <w:tcW w:w="555" w:type="dxa"/>
            <w:vMerge w:val="continue"/>
          </w:tcPr>
          <w:p w14:paraId="2291D16C">
            <w:pPr>
              <w:spacing w:line="240" w:lineRule="atLeast"/>
              <w:jc w:val="left"/>
              <w:rPr>
                <w:rFonts w:ascii="仿宋_GB2312" w:hAnsi="仿宋_GB2312" w:eastAsia="仿宋_GB2312" w:cs="仿宋_GB2312"/>
                <w:sz w:val="20"/>
                <w:szCs w:val="20"/>
              </w:rPr>
            </w:pPr>
          </w:p>
        </w:tc>
        <w:tc>
          <w:tcPr>
            <w:tcW w:w="600" w:type="dxa"/>
            <w:vAlign w:val="center"/>
          </w:tcPr>
          <w:p w14:paraId="7BFB113B">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4559E95D">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43B78DD4">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423DF6D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657" w:type="dxa"/>
            <w:vAlign w:val="center"/>
          </w:tcPr>
          <w:p w14:paraId="3ACA9EE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375" w:type="dxa"/>
            <w:vAlign w:val="center"/>
          </w:tcPr>
          <w:p w14:paraId="7247144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6AC4D8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983" w:type="dxa"/>
            <w:vAlign w:val="center"/>
          </w:tcPr>
          <w:p w14:paraId="5477A3A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657D7DD2">
            <w:pPr>
              <w:spacing w:line="240" w:lineRule="atLeast"/>
              <w:jc w:val="left"/>
              <w:rPr>
                <w:rFonts w:ascii="仿宋_GB2312" w:hAnsi="仿宋_GB2312" w:eastAsia="仿宋_GB2312" w:cs="仿宋_GB2312"/>
                <w:sz w:val="20"/>
                <w:szCs w:val="20"/>
              </w:rPr>
            </w:pPr>
          </w:p>
        </w:tc>
      </w:tr>
      <w:tr w14:paraId="2D05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751318A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w:t>
            </w:r>
          </w:p>
        </w:tc>
        <w:tc>
          <w:tcPr>
            <w:tcW w:w="555" w:type="dxa"/>
            <w:vAlign w:val="center"/>
          </w:tcPr>
          <w:p w14:paraId="7219B4E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BDA179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4E5050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51409B8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0D01E40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建设工程、临时建设工程规划许可</w:t>
            </w:r>
          </w:p>
        </w:tc>
        <w:tc>
          <w:tcPr>
            <w:tcW w:w="645" w:type="dxa"/>
            <w:vAlign w:val="center"/>
          </w:tcPr>
          <w:p w14:paraId="5203ECAD">
            <w:pPr>
              <w:snapToGrid w:val="0"/>
              <w:spacing w:line="240" w:lineRule="atLeast"/>
              <w:jc w:val="center"/>
              <w:rPr>
                <w:rFonts w:ascii="仿宋_GB2312" w:hAnsi="仿宋_GB2312" w:eastAsia="仿宋_GB2312" w:cs="仿宋_GB2312"/>
                <w:sz w:val="20"/>
                <w:szCs w:val="20"/>
              </w:rPr>
            </w:pPr>
          </w:p>
        </w:tc>
        <w:tc>
          <w:tcPr>
            <w:tcW w:w="585" w:type="dxa"/>
            <w:vAlign w:val="center"/>
          </w:tcPr>
          <w:p w14:paraId="51480DD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25F617E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657" w:type="dxa"/>
            <w:vAlign w:val="center"/>
          </w:tcPr>
          <w:p w14:paraId="47329CE3">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1.【法律】《中华人民共和国城乡规划法》第四十条第一款  在城市、镇规划区内进行建筑物、构筑物、道路、管线和其他工程建设的，建设单位或者个人应当向城市、县人民政府城乡规划主管部门或者省、自治区、直辖市人民政府确定的镇人民政府申请办理建设工程规划许可证。</w:t>
            </w:r>
          </w:p>
          <w:p w14:paraId="1B33787F">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第四十条第二款  申请办理建设工程规划许可证，应当提交使用土地的有关证明文件、建设工程设计方案等材料。需要建设单位编制修建性详细规划的建设项目，还应当提交修建性详细规划。对符合控制性详细规划和规划条件的，由城市、县人民政府城乡规划主管部门或者省、自治区、直辖市人民政府确定的镇人民政府核发建设工程规划许可证。</w:t>
            </w:r>
          </w:p>
          <w:p w14:paraId="7FF153B9">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2.【地方性法规】《广西壮族自治区实施&lt;中华人民共和国城乡规划法&gt;办法》（2010年3月31日广西壮族自治区第十一届人民代表大会常务委员会第十四次会议通过，根据2016年11月30日广西壮族自治区第十二届人民代表大会常务委员会第二十六次会议《关于废止和修改部分地方性法规的决定》修正）第三十一条第一款  在城市、镇规划区内进行建筑物、构筑物、道路、管线和其他工程建设的，建设单位或者个人应当向城市、县人民政府城乡规划主管部门或者自治区人民政府确定的镇人民政府申请办理建设工程规划许可证。未取得建设工程规划许可证的，不得进行建设。</w:t>
            </w:r>
          </w:p>
        </w:tc>
        <w:tc>
          <w:tcPr>
            <w:tcW w:w="3375" w:type="dxa"/>
            <w:vAlign w:val="center"/>
          </w:tcPr>
          <w:p w14:paraId="32454233">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1.受理责任：公示应当提交的材料；一次性告知补正材料；依法受理或不予受理（不予受理应当告知理由）。</w:t>
            </w:r>
          </w:p>
          <w:p w14:paraId="1136F609">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2.审查责任：按照政策规定对书面材料进行审查，提出是否同意审批的初步意见，告知申请人、利害相关人享有听证权利；涉及公共利益的重大许可，向社会公告，并举行听证。</w:t>
            </w:r>
          </w:p>
          <w:p w14:paraId="437369DB">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3.决定责任：作出行政许可或者不予行政许可决定,法定告知（不予许可的应当书面告知理由）。</w:t>
            </w:r>
          </w:p>
          <w:p w14:paraId="7BA98EC6">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4.送达责任：准予许可的制发送达审批决定。</w:t>
            </w:r>
          </w:p>
          <w:p w14:paraId="710D07EA">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5.事后监管环节责任：对审批后的相关事宜实施监督管理</w:t>
            </w:r>
          </w:p>
          <w:p w14:paraId="09842026">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6.其他法律法规规章文件规定应履行的责任。</w:t>
            </w:r>
          </w:p>
        </w:tc>
        <w:tc>
          <w:tcPr>
            <w:tcW w:w="7983" w:type="dxa"/>
            <w:vAlign w:val="center"/>
          </w:tcPr>
          <w:p w14:paraId="4FCC53BE">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43E34109">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260DB635">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5228C56F">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2-3.【法律】《中华人民共和国行政许可法》第四十六条法律、法规、规章规定实施行政许可应当听证的事项，或者行政机关认为需要听证的其他涉及公共利益的重大行政许可事项，行政机关应当向社会公告，并举行听证。</w:t>
            </w:r>
          </w:p>
          <w:p w14:paraId="4E291F59">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3-1.【法律】《中华人民共和国行政许可法》第三十七条“行政机关对行政许可申请进行审.查后，除了当场作出行政许可决定的，应在法定期限内按照规定程序作出行政许可决定。”</w:t>
            </w:r>
          </w:p>
          <w:p w14:paraId="4666B006">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39A96E01">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4-1.【法律】《中华人民共和国行政许可法》第四十条“行政机关作出的准予行政许可决定，应当予以公开，公众有权查阅。”</w:t>
            </w:r>
          </w:p>
          <w:p w14:paraId="08E0F6F8">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4-2【法律】《中华人民共和国行政许可法》第四十四条“行政机关作出准予行政许可的决定，应当自作出决定之日起十日内向申请人颁发、送达行政许可证件、或者加贴标签、加盖检验、检测、检疫印章。”</w:t>
            </w:r>
          </w:p>
          <w:p w14:paraId="1169E466">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21709736">
            <w:pPr>
              <w:snapToGrid w:val="0"/>
              <w:spacing w:line="240" w:lineRule="atLeast"/>
              <w:jc w:val="center"/>
              <w:rPr>
                <w:rFonts w:ascii="仿宋_GB2312" w:hAnsi="仿宋_GB2312" w:eastAsia="仿宋_GB2312" w:cs="仿宋_GB2312"/>
                <w:sz w:val="20"/>
                <w:szCs w:val="20"/>
              </w:rPr>
            </w:pPr>
          </w:p>
        </w:tc>
      </w:tr>
    </w:tbl>
    <w:p w14:paraId="664D514A"/>
    <w:p w14:paraId="3DEC57E3"/>
    <w:p w14:paraId="51F5CB2A"/>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8292"/>
        <w:gridCol w:w="3150"/>
        <w:gridCol w:w="6573"/>
        <w:gridCol w:w="330"/>
      </w:tblGrid>
      <w:tr w14:paraId="6006D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ED39847">
            <w:pPr>
              <w:snapToGrid w:val="0"/>
              <w:spacing w:line="240" w:lineRule="atLeast"/>
              <w:jc w:val="left"/>
              <w:rPr>
                <w:rFonts w:asciiTheme="majorEastAsia" w:hAnsiTheme="majorEastAsia" w:eastAsiaTheme="majorEastAsia" w:cstheme="majorEastAsia"/>
                <w:spacing w:val="-23"/>
                <w:sz w:val="20"/>
                <w:szCs w:val="20"/>
              </w:rPr>
            </w:pPr>
          </w:p>
          <w:p w14:paraId="121E3E0E">
            <w:pPr>
              <w:snapToGrid w:val="0"/>
              <w:spacing w:line="240" w:lineRule="atLeast"/>
              <w:jc w:val="left"/>
              <w:rPr>
                <w:rFonts w:asciiTheme="majorEastAsia" w:hAnsiTheme="majorEastAsia" w:eastAsiaTheme="majorEastAsia" w:cstheme="majorEastAsia"/>
                <w:spacing w:val="-23"/>
                <w:sz w:val="20"/>
                <w:szCs w:val="20"/>
              </w:rPr>
            </w:pPr>
          </w:p>
          <w:p w14:paraId="37F51C86">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4094786F">
            <w:pPr>
              <w:spacing w:line="240" w:lineRule="atLeast"/>
              <w:rPr>
                <w:rFonts w:asciiTheme="majorEastAsia" w:hAnsiTheme="majorEastAsia" w:eastAsiaTheme="majorEastAsia" w:cstheme="majorEastAsia"/>
                <w:spacing w:val="-20"/>
                <w:sz w:val="20"/>
                <w:szCs w:val="20"/>
              </w:rPr>
            </w:pPr>
          </w:p>
          <w:p w14:paraId="794B197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11151" w:type="dxa"/>
            <w:gridSpan w:val="5"/>
          </w:tcPr>
          <w:p w14:paraId="0622DF6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9723" w:type="dxa"/>
            <w:gridSpan w:val="2"/>
          </w:tcPr>
          <w:p w14:paraId="61D3071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6D6E544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4EAB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6FA17FE">
            <w:pPr>
              <w:spacing w:line="240" w:lineRule="atLeast"/>
              <w:jc w:val="left"/>
              <w:rPr>
                <w:rFonts w:ascii="仿宋_GB2312" w:hAnsi="仿宋_GB2312" w:eastAsia="仿宋_GB2312" w:cs="仿宋_GB2312"/>
                <w:sz w:val="20"/>
                <w:szCs w:val="20"/>
              </w:rPr>
            </w:pPr>
          </w:p>
        </w:tc>
        <w:tc>
          <w:tcPr>
            <w:tcW w:w="555" w:type="dxa"/>
            <w:vMerge w:val="continue"/>
          </w:tcPr>
          <w:p w14:paraId="479F753E">
            <w:pPr>
              <w:spacing w:line="240" w:lineRule="atLeast"/>
              <w:jc w:val="left"/>
              <w:rPr>
                <w:rFonts w:ascii="仿宋_GB2312" w:hAnsi="仿宋_GB2312" w:eastAsia="仿宋_GB2312" w:cs="仿宋_GB2312"/>
                <w:sz w:val="20"/>
                <w:szCs w:val="20"/>
              </w:rPr>
            </w:pPr>
          </w:p>
        </w:tc>
        <w:tc>
          <w:tcPr>
            <w:tcW w:w="600" w:type="dxa"/>
            <w:vAlign w:val="center"/>
          </w:tcPr>
          <w:p w14:paraId="07BBC4AF">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7AAF977C">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127E67B9">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5ADE8EF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8292" w:type="dxa"/>
            <w:vAlign w:val="center"/>
          </w:tcPr>
          <w:p w14:paraId="530E9CA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150" w:type="dxa"/>
            <w:vAlign w:val="center"/>
          </w:tcPr>
          <w:p w14:paraId="7408A03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D34796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6573" w:type="dxa"/>
            <w:vAlign w:val="center"/>
          </w:tcPr>
          <w:p w14:paraId="45AF717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12671E6B">
            <w:pPr>
              <w:spacing w:line="240" w:lineRule="atLeast"/>
              <w:jc w:val="left"/>
              <w:rPr>
                <w:rFonts w:ascii="仿宋_GB2312" w:hAnsi="仿宋_GB2312" w:eastAsia="仿宋_GB2312" w:cs="仿宋_GB2312"/>
                <w:sz w:val="20"/>
                <w:szCs w:val="20"/>
              </w:rPr>
            </w:pPr>
          </w:p>
        </w:tc>
      </w:tr>
      <w:tr w14:paraId="3CEBB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04B0B7E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w:t>
            </w:r>
          </w:p>
        </w:tc>
        <w:tc>
          <w:tcPr>
            <w:tcW w:w="555" w:type="dxa"/>
            <w:vAlign w:val="center"/>
          </w:tcPr>
          <w:p w14:paraId="3908146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8D544C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BEAF76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3FF2FF7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077D269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建设用地、临时建设用地规划许可</w:t>
            </w:r>
          </w:p>
        </w:tc>
        <w:tc>
          <w:tcPr>
            <w:tcW w:w="645" w:type="dxa"/>
            <w:vAlign w:val="center"/>
          </w:tcPr>
          <w:p w14:paraId="63EE9179">
            <w:pPr>
              <w:snapToGrid w:val="0"/>
              <w:spacing w:line="240" w:lineRule="atLeast"/>
              <w:jc w:val="center"/>
              <w:rPr>
                <w:rFonts w:ascii="仿宋_GB2312" w:hAnsi="仿宋_GB2312" w:eastAsia="仿宋_GB2312" w:cs="仿宋_GB2312"/>
                <w:sz w:val="20"/>
                <w:szCs w:val="20"/>
              </w:rPr>
            </w:pPr>
          </w:p>
        </w:tc>
        <w:tc>
          <w:tcPr>
            <w:tcW w:w="585" w:type="dxa"/>
            <w:vAlign w:val="center"/>
          </w:tcPr>
          <w:p w14:paraId="4CA0850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783D5C4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8292" w:type="dxa"/>
            <w:vAlign w:val="center"/>
          </w:tcPr>
          <w:p w14:paraId="0FE6FB22">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1.【法律】《中华人民共和国城乡规划法》第三十七条　在城市、镇规划区内以划拨方式提供国有土地使用权的建设项目，经有关部门批准、核准、备案后，建设单位应当向城市、县人民政府城乡规划主管部门提出建设用地规划许可申请，由城市、县人民政府城乡规划主管部门依据控制性详细规划核定建设用地的位置、面积、允许建设的范围，核发建设用地规划许可证。</w:t>
            </w:r>
          </w:p>
          <w:p w14:paraId="295B30DB">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建设单位在取得建设用地规划许可证后，方可向县级以上地方人民政府土地主管部门申请用地，经县级以上人民政府审批后，由土地主管部门划拨土地。</w:t>
            </w:r>
          </w:p>
          <w:p w14:paraId="00302639">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第三十八条　在城市、镇规划区内以出让方式提供国有土地使用权的，在国有土地使用权出让前，城市、县人民政府城乡规划主管部门应当依据控制性详细规划，提出出让地块的位置、使用性质、开发强度等规划条件，作为国有土地使用权出让合同的组成部分。未确定规划条件的地块，不得出让国有土地使用权。</w:t>
            </w:r>
          </w:p>
          <w:p w14:paraId="4CA1930C">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以出让方式取得国有土地使用权的建设项目，建设单位在取得建设项目的批准、核准、备案文件和签订国有土地使用权出让合同后，向城市、县人民政府城乡规划主管部门领取建设用地规划许可证。</w:t>
            </w:r>
          </w:p>
          <w:p w14:paraId="5484F8B4">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城市、县人民政府城乡规划主管部门不得在建设用地规划许可证中，擅自改变作为国有土地使用权出让合同组成部分的规划条件。</w:t>
            </w:r>
          </w:p>
          <w:p w14:paraId="6DDEA034">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第四十四条　在城市、镇规划区内进行临时建设的，应当经城市、县人民政府城乡规划主管部门批准。临时建设影响近期建设规划或者控制性详细规划的实施以及交通、市容、安全等的，不得批准。</w:t>
            </w:r>
          </w:p>
          <w:p w14:paraId="73CC1BF3">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临时建设应当在批准的使用期限内自行拆除。</w:t>
            </w:r>
          </w:p>
          <w:p w14:paraId="3B2889F5">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临时建设和临时用地规划管理的具体办法，由省、自治区、直辖市人民政府制定。                         </w:t>
            </w:r>
          </w:p>
          <w:p w14:paraId="6C00D098">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2.【地方性法规】《广西壮族自治区实施〈中华人民共和国城乡规划法〉办法》（2010年3月31日广西壮族自治区第十一届人民代表大会常务委员会第十四次会议通过，根据2016年11月30日广西壮族自治区第十二届人民代表大会常务委员会第二十六次会议《关于废止和修改部分地方性法规的决定》修正）第二十五条 建设单位应当在取得选址意见书后2年内取得建设用地规划许可证;期满需要延续的，应当在期限届满30日前向城乡规划主管部门提出申请，经批准可以延续1次，期限不得超过2年。未获得延续批准或者在规定的期限内未取得建设用地规划许可证的，选址意见书失效。</w:t>
            </w:r>
          </w:p>
          <w:p w14:paraId="05817DA2">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第二十七条 在城市、镇、乡规划区内以划拨方式取得国有土地使用权的建设项目，其建设用地规划许可证按照以下规定办理:</w:t>
            </w:r>
          </w:p>
          <w:p w14:paraId="3B7F8A8B">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一)项目建设单位持有关部门对建设项目审批、核准或者备案的文件，建设项目选址意见书及附件、地形图、项目相关文件图纸，以及经依法审定的建设工程设计方案的总平面图(需要编制修建性详细规划的，应提供经依法审定的修建性详细规划)，向城乡规划主管部门提出建设用地规划许可书面申请。</w:t>
            </w:r>
          </w:p>
          <w:p w14:paraId="71713F5E">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二)城乡规划主管部门审核建设单位提交的各项文件、资料、图纸等是否完备，并依据依法批准的控制性详细规划审核建设用地的位置、面积，确定建设用地范围。对于文件完备，且符合控制性详细规划要求的建设项目，核发建设用地规划许可证;对不符合要求的，不予核发，并书面说明理由。</w:t>
            </w:r>
          </w:p>
          <w:p w14:paraId="77CCC358">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第二十八条 以出让方式取得国有土地使用权的建设项目，其建设用地规划许可证按照以下规定领取:</w:t>
            </w:r>
          </w:p>
          <w:p w14:paraId="23BC196A">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一)建设单位向城乡规划主管部门提交建设项目审批、核准或者备案文件，以及国有土地使用权出让合同、经依法审定的建设工程设计方案的总平面图(需要编制修建性详细规划的，应提供经依法审定的修建性详细规划);</w:t>
            </w:r>
          </w:p>
          <w:p w14:paraId="350DB084">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二)城乡规划主管部门审核建设单位提供的各项文件、资料、图纸等是否完备，并依据依法批准的控制性详细规划，核验国有土地使用权出让合同中约定的建设用地规划条件，确定建设用地范围。对于具备相关文件且符合控制性详细规划要求的建设项目，准予领取建设用地规划许可证;对不符合要求的，不准予领取，并书面说明理由。</w:t>
            </w:r>
          </w:p>
        </w:tc>
        <w:tc>
          <w:tcPr>
            <w:tcW w:w="3150" w:type="dxa"/>
            <w:vAlign w:val="center"/>
          </w:tcPr>
          <w:p w14:paraId="3748E186">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1.受理阶段责任：申请办理建设用地规划许可证应当提交的材料；一次性告知补正材料；依法受理或不予受理（不予受理应当告知理由）；            </w:t>
            </w:r>
          </w:p>
          <w:p w14:paraId="6A0D3212">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2.审查阶段责任：根据建设用地规划的相关条件对材料审核，提出拟办意见。对受理材料进行初审，提出拟办意见，报分管领导审批；                 </w:t>
            </w:r>
          </w:p>
          <w:p w14:paraId="0EBF0224">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3.决定阶段责任：作出准予许可或不予许可的审批决定；按时办结，法定告知；             </w:t>
            </w:r>
          </w:p>
          <w:p w14:paraId="0A76F523">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4.送达阶段责任：准予许可的，核发建设用地规划许可证；不予许可的，制发不予许可决定书，信息公开；                 </w:t>
            </w:r>
          </w:p>
          <w:p w14:paraId="16575833">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5.事后监管阶段责任：加强批后管理，依法查处违法、违规行为；  </w:t>
            </w:r>
          </w:p>
          <w:p w14:paraId="29D168AC">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6.其他法律法规政策规定应履行的责任。</w:t>
            </w:r>
          </w:p>
        </w:tc>
        <w:tc>
          <w:tcPr>
            <w:tcW w:w="6573" w:type="dxa"/>
            <w:vAlign w:val="center"/>
          </w:tcPr>
          <w:p w14:paraId="2DFA8D89">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 。”</w:t>
            </w:r>
          </w:p>
          <w:p w14:paraId="5D0A55A9">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2.【法规】《广西壮族自治区实施〈中华人民共和国城乡规划法〉办法》（2010年3月31日广西壮族自治区第十一届人民代表大会常务委员会第十四次会议通过，根据2016年11月30日广西壮族自治区第十二届人民代表大会常务委员会第二十六次会议《关于废止和修改部分地方性法规的决定》修正）第二十四条 按照国家规定需要有关部门批准或者核准的建设项目，以划拨方式提供国有土地使用权的，建设单位应当在报送有关部门审批、核准前，持以下材料向审批、核准部门的同级城乡规划主管部门申请核发选址意见书：……城乡规划主管部门受理申请后，按照城乡规划要求进行审查，对项目选址符合城乡规划要求的，核发建设项目选址意见书；对不符合要求的，不予核发，并书面说明理由。其中，由国务院或者自治区有关部门审批、核准的建设项目，经县级以上人民政府城乡规划主管部门逐级审查后，报自治区人民政府城乡规划主管部门核发选址意见书。 </w:t>
            </w:r>
          </w:p>
          <w:p w14:paraId="0067938E">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3.【法律】《中华人民共和国行政许可法》（2003年8月27日通过，中华人民共和国主席令7号）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303CB56F">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4.【法律】《中华人民共和国行政许可法》（2003年8月27日通过，中华人民共和国主席令7号）第四十四条：“行政机关作出准予行政许可的决定，应当自作出决定之日起十日内向申请人颁发、送达行政许可证件，或者加贴标签、加盖检验、检测、检疫印章。 ”</w:t>
            </w:r>
          </w:p>
          <w:p w14:paraId="0D005D54">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5.【法律】《中华人民共和国行政许可法》（2003年8月27日通过，中华人民共和国主席令第七号）第61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 </w:t>
            </w:r>
          </w:p>
        </w:tc>
        <w:tc>
          <w:tcPr>
            <w:tcW w:w="330" w:type="dxa"/>
            <w:vAlign w:val="center"/>
          </w:tcPr>
          <w:p w14:paraId="62AC7003">
            <w:pPr>
              <w:snapToGrid w:val="0"/>
              <w:spacing w:line="240" w:lineRule="atLeast"/>
              <w:jc w:val="center"/>
              <w:rPr>
                <w:rFonts w:ascii="仿宋_GB2312" w:hAnsi="仿宋_GB2312" w:eastAsia="仿宋_GB2312" w:cs="仿宋_GB2312"/>
                <w:sz w:val="20"/>
                <w:szCs w:val="20"/>
              </w:rPr>
            </w:pPr>
          </w:p>
        </w:tc>
      </w:tr>
    </w:tbl>
    <w:p w14:paraId="32CE40FD"/>
    <w:p w14:paraId="78FFC6D8"/>
    <w:p w14:paraId="48B6D596"/>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6356"/>
        <w:gridCol w:w="3150"/>
        <w:gridCol w:w="8509"/>
        <w:gridCol w:w="330"/>
      </w:tblGrid>
      <w:tr w14:paraId="2E2FF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C632148">
            <w:pPr>
              <w:snapToGrid w:val="0"/>
              <w:spacing w:line="240" w:lineRule="atLeast"/>
              <w:jc w:val="left"/>
              <w:rPr>
                <w:rFonts w:ascii="宋体" w:hAnsi="宋体" w:eastAsia="宋体" w:cs="宋体"/>
                <w:spacing w:val="-23"/>
                <w:sz w:val="20"/>
                <w:szCs w:val="20"/>
              </w:rPr>
            </w:pPr>
          </w:p>
          <w:p w14:paraId="010DF3A8">
            <w:pPr>
              <w:snapToGrid w:val="0"/>
              <w:spacing w:line="240" w:lineRule="atLeast"/>
              <w:jc w:val="left"/>
              <w:rPr>
                <w:rFonts w:ascii="宋体" w:hAnsi="宋体" w:eastAsia="宋体" w:cs="宋体"/>
                <w:spacing w:val="-23"/>
                <w:sz w:val="20"/>
                <w:szCs w:val="20"/>
              </w:rPr>
            </w:pPr>
          </w:p>
          <w:p w14:paraId="73A4BC40">
            <w:pPr>
              <w:snapToGrid w:val="0"/>
              <w:spacing w:line="240" w:lineRule="atLeast"/>
              <w:jc w:val="left"/>
              <w:rPr>
                <w:rFonts w:ascii="宋体" w:hAnsi="宋体" w:eastAsia="宋体" w:cs="宋体"/>
                <w:spacing w:val="-23"/>
                <w:sz w:val="20"/>
                <w:szCs w:val="20"/>
              </w:rPr>
            </w:pPr>
            <w:r>
              <w:rPr>
                <w:rFonts w:hint="eastAsia" w:ascii="宋体" w:hAnsi="宋体" w:eastAsia="宋体" w:cs="宋体"/>
                <w:spacing w:val="-23"/>
                <w:sz w:val="20"/>
                <w:szCs w:val="20"/>
              </w:rPr>
              <w:t>序号</w:t>
            </w:r>
          </w:p>
        </w:tc>
        <w:tc>
          <w:tcPr>
            <w:tcW w:w="55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313B1DB">
            <w:pPr>
              <w:spacing w:line="240" w:lineRule="atLeast"/>
              <w:rPr>
                <w:rFonts w:ascii="宋体" w:hAnsi="宋体" w:eastAsia="宋体" w:cs="宋体"/>
                <w:spacing w:val="-20"/>
                <w:sz w:val="20"/>
                <w:szCs w:val="20"/>
              </w:rPr>
            </w:pPr>
          </w:p>
          <w:p w14:paraId="7FF00EF7">
            <w:pPr>
              <w:snapToGrid w:val="0"/>
              <w:spacing w:line="240" w:lineRule="atLeast"/>
              <w:rPr>
                <w:rFonts w:ascii="宋体" w:hAnsi="宋体" w:eastAsia="宋体" w:cs="宋体"/>
                <w:spacing w:val="-20"/>
                <w:sz w:val="20"/>
                <w:szCs w:val="20"/>
              </w:rPr>
            </w:pPr>
            <w:r>
              <w:rPr>
                <w:rFonts w:hint="eastAsia" w:ascii="宋体" w:hAnsi="宋体" w:eastAsia="宋体" w:cs="宋体"/>
                <w:spacing w:val="-20"/>
                <w:sz w:val="20"/>
                <w:szCs w:val="20"/>
              </w:rPr>
              <w:t>权力分类</w:t>
            </w:r>
          </w:p>
        </w:tc>
        <w:tc>
          <w:tcPr>
            <w:tcW w:w="9215" w:type="dxa"/>
            <w:gridSpan w:val="5"/>
            <w:tcBorders>
              <w:top w:val="single" w:color="auto" w:sz="4" w:space="0"/>
              <w:left w:val="single" w:color="auto" w:sz="4" w:space="0"/>
              <w:bottom w:val="single" w:color="auto" w:sz="4" w:space="0"/>
              <w:right w:val="single" w:color="auto" w:sz="4" w:space="0"/>
            </w:tcBorders>
            <w:shd w:val="clear" w:color="auto" w:fill="auto"/>
          </w:tcPr>
          <w:p w14:paraId="3BBD98D5">
            <w:pPr>
              <w:spacing w:line="240" w:lineRule="atLeast"/>
              <w:jc w:val="center"/>
              <w:rPr>
                <w:rFonts w:ascii="宋体" w:hAnsi="宋体" w:eastAsia="宋体" w:cs="宋体"/>
                <w:sz w:val="20"/>
                <w:szCs w:val="20"/>
              </w:rPr>
            </w:pPr>
            <w:r>
              <w:rPr>
                <w:rFonts w:hint="eastAsia" w:ascii="宋体" w:hAnsi="宋体" w:eastAsia="宋体" w:cs="宋体"/>
                <w:sz w:val="20"/>
                <w:szCs w:val="20"/>
              </w:rPr>
              <w:t>权力清单</w:t>
            </w:r>
          </w:p>
        </w:tc>
        <w:tc>
          <w:tcPr>
            <w:tcW w:w="11659" w:type="dxa"/>
            <w:gridSpan w:val="2"/>
            <w:tcBorders>
              <w:top w:val="single" w:color="auto" w:sz="4" w:space="0"/>
              <w:left w:val="single" w:color="auto" w:sz="4" w:space="0"/>
              <w:bottom w:val="single" w:color="auto" w:sz="4" w:space="0"/>
              <w:right w:val="single" w:color="auto" w:sz="4" w:space="0"/>
            </w:tcBorders>
            <w:shd w:val="clear" w:color="auto" w:fill="auto"/>
          </w:tcPr>
          <w:p w14:paraId="4E7DF292">
            <w:pPr>
              <w:spacing w:line="240" w:lineRule="atLeast"/>
              <w:jc w:val="center"/>
              <w:rPr>
                <w:rFonts w:ascii="宋体" w:hAnsi="宋体" w:eastAsia="宋体" w:cs="宋体"/>
                <w:sz w:val="20"/>
                <w:szCs w:val="20"/>
              </w:rPr>
            </w:pPr>
            <w:r>
              <w:rPr>
                <w:rFonts w:hint="eastAsia" w:ascii="宋体" w:hAnsi="宋体" w:eastAsia="宋体" w:cs="宋体"/>
                <w:sz w:val="20"/>
                <w:szCs w:val="20"/>
              </w:rPr>
              <w:t>责任清单</w:t>
            </w:r>
          </w:p>
        </w:tc>
        <w:tc>
          <w:tcPr>
            <w:tcW w:w="330" w:type="dxa"/>
            <w:tcBorders>
              <w:top w:val="single" w:color="auto" w:sz="4" w:space="0"/>
              <w:left w:val="single" w:color="auto" w:sz="4" w:space="0"/>
              <w:bottom w:val="single" w:color="auto" w:sz="4" w:space="0"/>
              <w:right w:val="single" w:color="auto" w:sz="4" w:space="0"/>
            </w:tcBorders>
            <w:shd w:val="clear" w:color="auto" w:fill="auto"/>
            <w:vAlign w:val="center"/>
          </w:tcPr>
          <w:p w14:paraId="407DBB12">
            <w:pPr>
              <w:snapToGrid w:val="0"/>
              <w:spacing w:line="240" w:lineRule="atLeast"/>
              <w:rPr>
                <w:rFonts w:ascii="宋体" w:hAnsi="宋体" w:eastAsia="宋体" w:cs="宋体"/>
                <w:sz w:val="28"/>
                <w:szCs w:val="28"/>
              </w:rPr>
            </w:pPr>
            <w:r>
              <w:rPr>
                <w:rFonts w:hint="eastAsia" w:ascii="宋体" w:hAnsi="宋体" w:eastAsia="宋体" w:cs="宋体"/>
                <w:sz w:val="20"/>
                <w:szCs w:val="20"/>
              </w:rPr>
              <w:t>备注</w:t>
            </w:r>
          </w:p>
        </w:tc>
      </w:tr>
      <w:tr w14:paraId="06F9F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0E5E20">
            <w:pPr>
              <w:rPr>
                <w:rFonts w:ascii="Times New Roman" w:hAnsi="Times New Roman" w:cs="Times New Roman"/>
                <w:sz w:val="20"/>
                <w:szCs w:val="20"/>
              </w:rPr>
            </w:pPr>
          </w:p>
        </w:tc>
        <w:tc>
          <w:tcPr>
            <w:tcW w:w="55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2B82E4">
            <w:pPr>
              <w:rPr>
                <w:rFonts w:ascii="Times New Roman" w:hAnsi="Times New Roman" w:cs="Times New Roman"/>
                <w:sz w:val="20"/>
                <w:szCs w:val="20"/>
              </w:rPr>
            </w:pP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77FC9ACC">
            <w:pPr>
              <w:autoSpaceDE w:val="0"/>
              <w:snapToGrid w:val="0"/>
              <w:spacing w:line="200" w:lineRule="exact"/>
              <w:jc w:val="left"/>
              <w:rPr>
                <w:rFonts w:ascii="宋体" w:hAnsi="宋体" w:eastAsia="宋体" w:cs="宋体"/>
                <w:spacing w:val="-23"/>
                <w:sz w:val="20"/>
                <w:szCs w:val="20"/>
              </w:rPr>
            </w:pPr>
            <w:r>
              <w:rPr>
                <w:rFonts w:hint="eastAsia" w:ascii="宋体" w:hAnsi="宋体" w:eastAsia="宋体" w:cs="宋体"/>
                <w:spacing w:val="-23"/>
                <w:sz w:val="20"/>
                <w:szCs w:val="20"/>
              </w:rPr>
              <w:t>项 目名 称</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16FB583">
            <w:pPr>
              <w:autoSpaceDE w:val="0"/>
              <w:adjustRightInd w:val="0"/>
              <w:snapToGrid w:val="0"/>
              <w:spacing w:line="240" w:lineRule="exact"/>
              <w:jc w:val="left"/>
              <w:rPr>
                <w:rFonts w:ascii="宋体" w:hAnsi="宋体" w:eastAsia="宋体" w:cs="宋体"/>
                <w:spacing w:val="-11"/>
                <w:sz w:val="20"/>
                <w:szCs w:val="20"/>
              </w:rPr>
            </w:pPr>
            <w:r>
              <w:rPr>
                <w:rFonts w:hint="eastAsia" w:ascii="宋体" w:hAnsi="宋体" w:eastAsia="宋体" w:cs="宋体"/>
                <w:spacing w:val="-11"/>
                <w:sz w:val="18"/>
                <w:szCs w:val="18"/>
              </w:rPr>
              <w:t>子项名 称</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272A8CDD">
            <w:pPr>
              <w:autoSpaceDE w:val="0"/>
              <w:adjustRightInd w:val="0"/>
              <w:snapToGrid w:val="0"/>
              <w:spacing w:line="240" w:lineRule="exact"/>
              <w:jc w:val="left"/>
              <w:rPr>
                <w:rFonts w:ascii="宋体" w:hAnsi="宋体" w:eastAsia="宋体" w:cs="宋体"/>
                <w:spacing w:val="-11"/>
                <w:sz w:val="20"/>
                <w:szCs w:val="20"/>
              </w:rPr>
            </w:pPr>
            <w:r>
              <w:rPr>
                <w:rFonts w:hint="eastAsia" w:ascii="宋体" w:hAnsi="宋体" w:eastAsia="宋体" w:cs="宋体"/>
                <w:spacing w:val="-11"/>
                <w:sz w:val="20"/>
                <w:szCs w:val="20"/>
              </w:rPr>
              <w:t>实施主体</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14:paraId="3EE47DF0">
            <w:pPr>
              <w:widowControl/>
              <w:autoSpaceDE w:val="0"/>
              <w:snapToGrid w:val="0"/>
              <w:spacing w:line="240" w:lineRule="exact"/>
              <w:rPr>
                <w:rFonts w:ascii="宋体" w:hAnsi="宋体" w:eastAsia="宋体" w:cs="宋体"/>
                <w:spacing w:val="-11"/>
                <w:sz w:val="20"/>
                <w:szCs w:val="20"/>
              </w:rPr>
            </w:pPr>
            <w:r>
              <w:rPr>
                <w:rFonts w:hint="eastAsia" w:ascii="宋体" w:hAnsi="宋体" w:eastAsia="宋体" w:cs="宋体"/>
                <w:spacing w:val="-11"/>
                <w:sz w:val="20"/>
                <w:szCs w:val="20"/>
              </w:rPr>
              <w:t>承办的内设机构和单位</w:t>
            </w: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14:paraId="245658FA">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rPr>
              <w:t>实施依据</w:t>
            </w:r>
          </w:p>
        </w:tc>
        <w:tc>
          <w:tcPr>
            <w:tcW w:w="3150" w:type="dxa"/>
            <w:tcBorders>
              <w:top w:val="single" w:color="auto" w:sz="4" w:space="0"/>
              <w:left w:val="single" w:color="auto" w:sz="4" w:space="0"/>
              <w:bottom w:val="single" w:color="auto" w:sz="4" w:space="0"/>
              <w:right w:val="single" w:color="auto" w:sz="4" w:space="0"/>
            </w:tcBorders>
            <w:shd w:val="clear" w:color="auto" w:fill="auto"/>
            <w:vAlign w:val="center"/>
          </w:tcPr>
          <w:p w14:paraId="38643D10">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rPr>
              <w:t>责任事项</w:t>
            </w:r>
          </w:p>
          <w:p w14:paraId="29981030">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rPr>
              <w:t>（明确责任主体）</w:t>
            </w:r>
          </w:p>
        </w:tc>
        <w:tc>
          <w:tcPr>
            <w:tcW w:w="8509" w:type="dxa"/>
            <w:tcBorders>
              <w:top w:val="single" w:color="auto" w:sz="4" w:space="0"/>
              <w:left w:val="single" w:color="auto" w:sz="4" w:space="0"/>
              <w:bottom w:val="single" w:color="auto" w:sz="4" w:space="0"/>
              <w:right w:val="single" w:color="auto" w:sz="4" w:space="0"/>
            </w:tcBorders>
            <w:shd w:val="clear" w:color="auto" w:fill="auto"/>
            <w:vAlign w:val="center"/>
          </w:tcPr>
          <w:p w14:paraId="32C8A56B">
            <w:pPr>
              <w:snapToGrid w:val="0"/>
              <w:spacing w:line="240" w:lineRule="atLeast"/>
              <w:ind w:firstLine="200" w:firstLineChars="100"/>
              <w:jc w:val="center"/>
              <w:rPr>
                <w:rFonts w:ascii="宋体" w:hAnsi="宋体" w:eastAsia="宋体" w:cs="宋体"/>
                <w:sz w:val="20"/>
                <w:szCs w:val="20"/>
              </w:rPr>
            </w:pPr>
            <w:r>
              <w:rPr>
                <w:rFonts w:hint="eastAsia" w:ascii="宋体" w:hAnsi="宋体" w:eastAsia="宋体" w:cs="宋体"/>
                <w:sz w:val="20"/>
                <w:szCs w:val="20"/>
              </w:rPr>
              <w:t>责任事项依据</w:t>
            </w:r>
          </w:p>
        </w:tc>
        <w:tc>
          <w:tcPr>
            <w:tcW w:w="330" w:type="dxa"/>
            <w:tcBorders>
              <w:top w:val="single" w:color="auto" w:sz="4" w:space="0"/>
              <w:left w:val="single" w:color="auto" w:sz="4" w:space="0"/>
              <w:bottom w:val="single" w:color="auto" w:sz="4" w:space="0"/>
              <w:right w:val="single" w:color="auto" w:sz="4" w:space="0"/>
            </w:tcBorders>
            <w:shd w:val="clear" w:color="auto" w:fill="auto"/>
          </w:tcPr>
          <w:p w14:paraId="680DFA6B">
            <w:pPr>
              <w:spacing w:line="240" w:lineRule="atLeast"/>
              <w:jc w:val="left"/>
              <w:rPr>
                <w:rFonts w:ascii="仿宋_GB2312" w:eastAsia="仿宋_GB2312" w:cs="仿宋_GB2312"/>
                <w:sz w:val="20"/>
                <w:szCs w:val="20"/>
              </w:rPr>
            </w:pPr>
          </w:p>
        </w:tc>
      </w:tr>
      <w:tr w14:paraId="00875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48795748">
            <w:pPr>
              <w:snapToGrid w:val="0"/>
              <w:spacing w:line="240" w:lineRule="atLeast"/>
              <w:jc w:val="center"/>
              <w:rPr>
                <w:rFonts w:ascii="仿宋_GB2312" w:eastAsia="仿宋_GB2312" w:cs="仿宋_GB2312"/>
                <w:sz w:val="20"/>
                <w:szCs w:val="20"/>
              </w:rPr>
            </w:pPr>
            <w:r>
              <w:rPr>
                <w:rFonts w:hint="eastAsia" w:ascii="仿宋_GB2312" w:eastAsia="仿宋_GB2312" w:cs="仿宋_GB2312"/>
                <w:sz w:val="20"/>
                <w:szCs w:val="20"/>
              </w:rPr>
              <w:t>17</w:t>
            </w:r>
          </w:p>
        </w:tc>
        <w:tc>
          <w:tcPr>
            <w:tcW w:w="555" w:type="dxa"/>
            <w:tcBorders>
              <w:top w:val="single" w:color="auto" w:sz="4" w:space="0"/>
              <w:left w:val="single" w:color="auto" w:sz="4" w:space="0"/>
              <w:bottom w:val="single" w:color="auto" w:sz="4" w:space="0"/>
              <w:right w:val="single" w:color="auto" w:sz="4" w:space="0"/>
            </w:tcBorders>
            <w:shd w:val="clear" w:color="auto" w:fill="auto"/>
            <w:vAlign w:val="center"/>
          </w:tcPr>
          <w:p w14:paraId="41AFF62A">
            <w:pPr>
              <w:snapToGrid w:val="0"/>
              <w:spacing w:line="240" w:lineRule="atLeast"/>
              <w:jc w:val="center"/>
              <w:rPr>
                <w:rFonts w:ascii="仿宋_GB2312" w:eastAsia="仿宋_GB2312" w:cs="仿宋_GB2312"/>
                <w:sz w:val="20"/>
                <w:szCs w:val="20"/>
              </w:rPr>
            </w:pPr>
            <w:r>
              <w:rPr>
                <w:rFonts w:hint="eastAsia" w:ascii="仿宋_GB2312" w:hAnsi="Calibri" w:eastAsia="仿宋_GB2312" w:cs="仿宋_GB2312"/>
                <w:sz w:val="20"/>
                <w:szCs w:val="20"/>
              </w:rPr>
              <w:t>行</w:t>
            </w:r>
          </w:p>
          <w:p w14:paraId="199C420D">
            <w:pPr>
              <w:snapToGrid w:val="0"/>
              <w:spacing w:line="240" w:lineRule="atLeast"/>
              <w:jc w:val="center"/>
              <w:rPr>
                <w:rFonts w:ascii="仿宋_GB2312" w:eastAsia="仿宋_GB2312" w:cs="仿宋_GB2312"/>
                <w:sz w:val="20"/>
                <w:szCs w:val="20"/>
              </w:rPr>
            </w:pPr>
            <w:r>
              <w:rPr>
                <w:rFonts w:hint="eastAsia" w:ascii="仿宋_GB2312" w:hAnsi="Calibri" w:eastAsia="仿宋_GB2312" w:cs="仿宋_GB2312"/>
                <w:sz w:val="20"/>
                <w:szCs w:val="20"/>
              </w:rPr>
              <w:t>政</w:t>
            </w:r>
          </w:p>
          <w:p w14:paraId="4464DD63">
            <w:pPr>
              <w:snapToGrid w:val="0"/>
              <w:spacing w:line="240" w:lineRule="atLeast"/>
              <w:jc w:val="center"/>
              <w:rPr>
                <w:rFonts w:ascii="仿宋_GB2312" w:eastAsia="仿宋_GB2312" w:cs="仿宋_GB2312"/>
                <w:sz w:val="20"/>
                <w:szCs w:val="20"/>
              </w:rPr>
            </w:pPr>
            <w:r>
              <w:rPr>
                <w:rFonts w:hint="eastAsia" w:ascii="仿宋_GB2312" w:hAnsi="Calibri" w:eastAsia="仿宋_GB2312" w:cs="仿宋_GB2312"/>
                <w:sz w:val="20"/>
                <w:szCs w:val="20"/>
              </w:rPr>
              <w:t>许</w:t>
            </w:r>
          </w:p>
          <w:p w14:paraId="13D01649">
            <w:pPr>
              <w:snapToGrid w:val="0"/>
              <w:spacing w:line="240" w:lineRule="atLeast"/>
              <w:jc w:val="center"/>
              <w:rPr>
                <w:rFonts w:ascii="仿宋_GB2312" w:eastAsia="仿宋_GB2312" w:cs="仿宋_GB2312"/>
                <w:sz w:val="20"/>
                <w:szCs w:val="20"/>
              </w:rPr>
            </w:pPr>
            <w:r>
              <w:rPr>
                <w:rFonts w:hint="eastAsia" w:ascii="仿宋_GB2312" w:hAnsi="Calibri" w:eastAsia="仿宋_GB2312" w:cs="仿宋_GB2312"/>
                <w:sz w:val="20"/>
                <w:szCs w:val="20"/>
              </w:rPr>
              <w:t>可</w:t>
            </w: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7CD7EB13">
            <w:pPr>
              <w:snapToGrid w:val="0"/>
              <w:spacing w:line="240" w:lineRule="atLeast"/>
              <w:jc w:val="center"/>
              <w:rPr>
                <w:rFonts w:ascii="仿宋_GB2312" w:eastAsia="仿宋_GB2312" w:cs="仿宋_GB2312"/>
                <w:sz w:val="20"/>
                <w:szCs w:val="20"/>
              </w:rPr>
            </w:pPr>
            <w:r>
              <w:rPr>
                <w:rFonts w:hint="eastAsia" w:ascii="仿宋_GB2312" w:eastAsia="仿宋_GB2312" w:cs="仿宋_GB2312"/>
                <w:sz w:val="20"/>
                <w:szCs w:val="20"/>
              </w:rPr>
              <w:t>在村庄、集镇规划区内公共场</w:t>
            </w:r>
          </w:p>
          <w:p w14:paraId="16E28168">
            <w:pPr>
              <w:snapToGrid w:val="0"/>
              <w:spacing w:line="240" w:lineRule="atLeast"/>
              <w:jc w:val="center"/>
              <w:rPr>
                <w:rFonts w:ascii="仿宋_GB2312" w:eastAsia="仿宋_GB2312" w:cs="仿宋_GB2312"/>
                <w:sz w:val="20"/>
                <w:szCs w:val="20"/>
              </w:rPr>
            </w:pPr>
            <w:r>
              <w:rPr>
                <w:rFonts w:hint="eastAsia" w:ascii="仿宋_GB2312" w:eastAsia="仿宋_GB2312" w:cs="仿宋_GB2312"/>
                <w:sz w:val="20"/>
                <w:szCs w:val="20"/>
              </w:rPr>
              <w:t>所修建临时建筑等设施审批</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193CEEBD">
            <w:pPr>
              <w:snapToGrid w:val="0"/>
              <w:spacing w:line="240" w:lineRule="atLeast"/>
              <w:jc w:val="center"/>
              <w:rPr>
                <w:rFonts w:ascii="仿宋_GB2312" w:eastAsia="仿宋_GB2312" w:cs="仿宋_GB2312"/>
                <w:sz w:val="20"/>
                <w:szCs w:val="20"/>
              </w:rPr>
            </w:pP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447E152A">
            <w:pPr>
              <w:snapToGrid w:val="0"/>
              <w:spacing w:line="240" w:lineRule="atLeast"/>
              <w:jc w:val="center"/>
              <w:rPr>
                <w:rFonts w:ascii="仿宋_GB2312" w:eastAsia="仿宋_GB2312" w:cs="仿宋_GB2312"/>
                <w:sz w:val="20"/>
                <w:szCs w:val="20"/>
              </w:rPr>
            </w:pPr>
            <w:r>
              <w:rPr>
                <w:rFonts w:hint="eastAsia" w:ascii="仿宋_GB2312" w:hAnsi="Calibri" w:eastAsia="仿宋_GB2312" w:cs="仿宋_GB2312"/>
                <w:sz w:val="20"/>
                <w:szCs w:val="20"/>
              </w:rPr>
              <w:t>乡镇人民政府（自然资源主管部门监管）</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14:paraId="001DD730">
            <w:pPr>
              <w:snapToGrid w:val="0"/>
              <w:spacing w:line="240" w:lineRule="atLeast"/>
              <w:jc w:val="center"/>
              <w:rPr>
                <w:rFonts w:ascii="仿宋_GB2312" w:eastAsia="仿宋_GB2312" w:cs="仿宋_GB2312"/>
                <w:sz w:val="20"/>
                <w:szCs w:val="20"/>
              </w:rPr>
            </w:pP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14:paraId="793F5931">
            <w:pPr>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【法律】《村庄和集镇规划建设管理条例》第六条 国务院建设行政主管部门主管全国的村庄、集镇规划建设管理工作。 县级以上地方人民政府建设行政主管部门主管本行政区域的村庄、集镇规划建设管理工作。 乡级人民政府负责本行政区域的村庄、集镇规划建设管理工作。第三十二条：“未经乡镇人民政府批准，任何单位和个人不得擅自在村庄、集镇规划区内的街道、广场、市场和车站等场所修建临时建筑物、构筑物和其他设施。”</w:t>
            </w:r>
          </w:p>
        </w:tc>
        <w:tc>
          <w:tcPr>
            <w:tcW w:w="3150" w:type="dxa"/>
            <w:tcBorders>
              <w:top w:val="single" w:color="auto" w:sz="4" w:space="0"/>
              <w:left w:val="single" w:color="auto" w:sz="4" w:space="0"/>
              <w:bottom w:val="single" w:color="auto" w:sz="4" w:space="0"/>
              <w:right w:val="single" w:color="auto" w:sz="4" w:space="0"/>
            </w:tcBorders>
            <w:shd w:val="clear" w:color="auto" w:fill="auto"/>
            <w:vAlign w:val="center"/>
          </w:tcPr>
          <w:p w14:paraId="18416AD1">
            <w:pPr>
              <w:autoSpaceDE w:val="0"/>
              <w:snapToGrid w:val="0"/>
              <w:spacing w:line="240" w:lineRule="atLeast"/>
              <w:ind w:firstLine="400" w:firstLineChars="200"/>
              <w:rPr>
                <w:rFonts w:ascii="仿宋_GB2312" w:eastAsia="仿宋_GB2312" w:cs="仿宋_GB2312"/>
                <w:sz w:val="20"/>
                <w:szCs w:val="20"/>
              </w:rPr>
            </w:pPr>
            <w:r>
              <w:rPr>
                <w:rFonts w:hint="eastAsia" w:ascii="仿宋_GB2312" w:hAnsi="Calibri" w:eastAsia="仿宋_GB2312" w:cs="仿宋_GB2312"/>
                <w:sz w:val="20"/>
                <w:szCs w:val="20"/>
              </w:rPr>
              <w:t xml:space="preserve">1.受理阶段责任：申请办理建设用地规划许可证应当提交的材料；一次性告知补正材料；依法受理或不予受理（不予受理应当告知理由）；            </w:t>
            </w:r>
          </w:p>
          <w:p w14:paraId="32EB9EF3">
            <w:pPr>
              <w:autoSpaceDE w:val="0"/>
              <w:snapToGrid w:val="0"/>
              <w:spacing w:line="240" w:lineRule="atLeast"/>
              <w:ind w:firstLine="400" w:firstLineChars="200"/>
              <w:rPr>
                <w:rFonts w:ascii="仿宋_GB2312" w:eastAsia="仿宋_GB2312" w:cs="仿宋_GB2312"/>
                <w:sz w:val="20"/>
                <w:szCs w:val="20"/>
              </w:rPr>
            </w:pPr>
            <w:r>
              <w:rPr>
                <w:rFonts w:hint="eastAsia" w:ascii="仿宋_GB2312" w:hAnsi="Calibri" w:eastAsia="仿宋_GB2312" w:cs="仿宋_GB2312"/>
                <w:sz w:val="20"/>
                <w:szCs w:val="20"/>
              </w:rPr>
              <w:t xml:space="preserve">2.审查阶段责任：根据建设用地规划的相关条件对材料审核，提出拟办意见。对受理材料进行初审，提出拟办意见，报分管领导审批；                 </w:t>
            </w:r>
          </w:p>
          <w:p w14:paraId="633AD437">
            <w:pPr>
              <w:autoSpaceDE w:val="0"/>
              <w:snapToGrid w:val="0"/>
              <w:spacing w:line="240" w:lineRule="atLeast"/>
              <w:ind w:firstLine="400" w:firstLineChars="200"/>
              <w:rPr>
                <w:rFonts w:ascii="仿宋_GB2312" w:eastAsia="仿宋_GB2312" w:cs="仿宋_GB2312"/>
                <w:sz w:val="20"/>
                <w:szCs w:val="20"/>
              </w:rPr>
            </w:pPr>
            <w:r>
              <w:rPr>
                <w:rFonts w:hint="eastAsia" w:ascii="仿宋_GB2312" w:hAnsi="Calibri" w:eastAsia="仿宋_GB2312" w:cs="仿宋_GB2312"/>
                <w:sz w:val="20"/>
                <w:szCs w:val="20"/>
              </w:rPr>
              <w:t xml:space="preserve">3.决定阶段责任：作出准予许可或不予许可的审批决定；按时办结，法定告知；             </w:t>
            </w:r>
          </w:p>
          <w:p w14:paraId="5CB080F6">
            <w:pPr>
              <w:autoSpaceDE w:val="0"/>
              <w:snapToGrid w:val="0"/>
              <w:spacing w:line="240" w:lineRule="atLeast"/>
              <w:ind w:firstLine="400" w:firstLineChars="200"/>
              <w:rPr>
                <w:rFonts w:ascii="仿宋_GB2312" w:eastAsia="仿宋_GB2312" w:cs="仿宋_GB2312"/>
                <w:sz w:val="20"/>
                <w:szCs w:val="20"/>
              </w:rPr>
            </w:pPr>
            <w:r>
              <w:rPr>
                <w:rFonts w:hint="eastAsia" w:ascii="仿宋_GB2312" w:hAnsi="Calibri" w:eastAsia="仿宋_GB2312" w:cs="仿宋_GB2312"/>
                <w:sz w:val="20"/>
                <w:szCs w:val="20"/>
              </w:rPr>
              <w:t xml:space="preserve">4.送达阶段责任：准予许可的，核发建设用地规划许可证；不予许可的，制发不予许可决定书，信息公开；                 </w:t>
            </w:r>
          </w:p>
          <w:p w14:paraId="372DC7C1">
            <w:pPr>
              <w:autoSpaceDE w:val="0"/>
              <w:snapToGrid w:val="0"/>
              <w:spacing w:line="240" w:lineRule="atLeast"/>
              <w:ind w:firstLine="400" w:firstLineChars="200"/>
              <w:rPr>
                <w:rFonts w:ascii="仿宋_GB2312" w:eastAsia="仿宋_GB2312" w:cs="仿宋_GB2312"/>
                <w:sz w:val="20"/>
                <w:szCs w:val="20"/>
              </w:rPr>
            </w:pPr>
            <w:r>
              <w:rPr>
                <w:rFonts w:hint="eastAsia" w:ascii="仿宋_GB2312" w:hAnsi="Calibri" w:eastAsia="仿宋_GB2312" w:cs="仿宋_GB2312"/>
                <w:sz w:val="20"/>
                <w:szCs w:val="20"/>
              </w:rPr>
              <w:t xml:space="preserve">5.事后监管阶段责任：加强批后管理，依法查处违法、违规行为；  </w:t>
            </w:r>
          </w:p>
          <w:p w14:paraId="69DDB44A">
            <w:pPr>
              <w:autoSpaceDE w:val="0"/>
              <w:snapToGrid w:val="0"/>
              <w:spacing w:line="240" w:lineRule="atLeast"/>
              <w:ind w:firstLine="400" w:firstLineChars="200"/>
              <w:rPr>
                <w:rFonts w:ascii="仿宋_GB2312" w:eastAsia="仿宋_GB2312" w:cs="仿宋_GB2312"/>
                <w:sz w:val="20"/>
                <w:szCs w:val="20"/>
              </w:rPr>
            </w:pPr>
            <w:r>
              <w:rPr>
                <w:rFonts w:hint="eastAsia" w:ascii="仿宋_GB2312" w:hAnsi="Calibri" w:eastAsia="仿宋_GB2312" w:cs="仿宋_GB2312"/>
                <w:sz w:val="20"/>
                <w:szCs w:val="20"/>
              </w:rPr>
              <w:t>6.其他法律法规政策规定应履行的责任。</w:t>
            </w:r>
          </w:p>
        </w:tc>
        <w:tc>
          <w:tcPr>
            <w:tcW w:w="8509" w:type="dxa"/>
            <w:tcBorders>
              <w:top w:val="single" w:color="auto" w:sz="4" w:space="0"/>
              <w:left w:val="single" w:color="auto" w:sz="4" w:space="0"/>
              <w:bottom w:val="single" w:color="auto" w:sz="4" w:space="0"/>
              <w:right w:val="single" w:color="auto" w:sz="4" w:space="0"/>
            </w:tcBorders>
            <w:shd w:val="clear" w:color="auto" w:fill="auto"/>
            <w:vAlign w:val="center"/>
          </w:tcPr>
          <w:p w14:paraId="6D16ACFB">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法律】《中华人民共和国行政许可法》（2003年8月27日通过，中华人民共和国主席令7号）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 。”</w:t>
            </w:r>
          </w:p>
          <w:p w14:paraId="3763738A">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第三十二条：行政机关对申请人提出的行政许可申请,应当根据下列情况分别作出处理：</w:t>
            </w:r>
          </w:p>
          <w:p w14:paraId="105EA436">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（一）申请事项依法不需要取得行政许可的,应当即时告知申请人不受理；</w:t>
            </w:r>
          </w:p>
          <w:p w14:paraId="026D48D8">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（二）申请事项依法不属于本行政机关职权范围的,应当即时作出不予受理的决定,并告知申请人向有关行政机关申请；</w:t>
            </w:r>
          </w:p>
          <w:p w14:paraId="5B043394">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（三）申请材料存在可以当场更正的错误的,应当允许申请人当场更正；</w:t>
            </w:r>
          </w:p>
          <w:p w14:paraId="4FA19000">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（四）申请材料不齐全或者不符合法定形式的,应当当场或者在五日内一次告知申请人需要补正的全部内容,逾期不告知的,自收到申请材料之日起即为受理；</w:t>
            </w:r>
          </w:p>
          <w:p w14:paraId="65FFDF72">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（五）申请事项属于本行政机关职权范围,申请材料齐全、符合法定形式,或者申请人按照本行政机关的要求提交全部补正申请材料的,应当受理行政许可申请。</w:t>
            </w:r>
          </w:p>
          <w:p w14:paraId="51EF64AF">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行政机关受理或者不予受理行政许可申请,应当出具加盖本行政机关专用印章和注明日期的书面凭证。</w:t>
            </w:r>
          </w:p>
          <w:p w14:paraId="2E4AE284">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第三十四条：第三十四条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1215D63F">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第三十七条：行政机关对行政许可申请进行审查后,除当场作出行政许可决定的外,应当在法定期限内按照规定程序作出行政许可决定。</w:t>
            </w:r>
          </w:p>
          <w:p w14:paraId="2E21440D">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5AB0BC50">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第三十九条：行政机关作出准予行政许可的决定,需要颁发行政许可证件的,应当向申请人颁发加盖本行政机关印章的下列行政许可证件：</w:t>
            </w:r>
          </w:p>
          <w:p w14:paraId="35AD67F5">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（一）许可证、执照或者其他许可证书；</w:t>
            </w:r>
          </w:p>
          <w:p w14:paraId="1FC71793">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（二）资格证、资质证或者其他合格证书；</w:t>
            </w:r>
          </w:p>
          <w:p w14:paraId="6659D7D7">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（三）行政机关的批准文件或者证明文件；</w:t>
            </w:r>
          </w:p>
          <w:p w14:paraId="5B4E3EE1">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（四）法律、法规规定的其他行政许可证件。</w:t>
            </w:r>
          </w:p>
          <w:p w14:paraId="262B2DEA">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行政机关实施检验、检测、检疫的,可以在检验、检测、检疫合格的设备、设施、产品、物品上加贴标签或者加盖检验、检测、检疫印章。</w:t>
            </w:r>
          </w:p>
          <w:p w14:paraId="26A6BC89">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第四十条：行政机关作出的准予行政许可决定,应当予以公开,公众有权查阅。</w:t>
            </w:r>
          </w:p>
          <w:p w14:paraId="0CACE6AC">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第四十二条：除可以当场作出行政许可决定的外,行政机关应当自受理行政许可申请之日起二十日内作出行政许可决定。二十日内不能作出决定的,经本行政机关负责人批准,可以延长十日,并应当将延长期限的理由告知申请人。但是,法律、法规另有规定的,依照其规定。依照本法第二十六条的规定,行政许可采取统一办理或者联合办理、集中办理的,办理的时间不得超过四十五日；四十五日内不能办结的,经本级人民政府负责人批准,可以延长十五日,并应当将延长期限的理由告知申请人。</w:t>
            </w:r>
          </w:p>
          <w:p w14:paraId="5B9CAFC5">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第四十四条：行政机关作出准予行政许可的决定,应当自作出决定之日起十日内向申请人颁发、送达行政许可证件,或者加贴标签、加盖检验、检测、检疫印章。</w:t>
            </w:r>
          </w:p>
          <w:p w14:paraId="632E1A81">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第六十一条：上级行政机关应当加强对下级行政机关实施行政许可的监督检查,及时纠正行政许可实施中的违法行为。</w:t>
            </w:r>
          </w:p>
        </w:tc>
        <w:tc>
          <w:tcPr>
            <w:tcW w:w="330" w:type="dxa"/>
            <w:tcBorders>
              <w:top w:val="single" w:color="auto" w:sz="4" w:space="0"/>
              <w:left w:val="single" w:color="auto" w:sz="4" w:space="0"/>
              <w:bottom w:val="single" w:color="auto" w:sz="4" w:space="0"/>
              <w:right w:val="single" w:color="auto" w:sz="4" w:space="0"/>
            </w:tcBorders>
            <w:shd w:val="clear" w:color="auto" w:fill="auto"/>
            <w:vAlign w:val="center"/>
          </w:tcPr>
          <w:p w14:paraId="73436207">
            <w:pPr>
              <w:snapToGrid w:val="0"/>
              <w:spacing w:line="240" w:lineRule="atLeast"/>
              <w:jc w:val="center"/>
              <w:rPr>
                <w:rFonts w:ascii="仿宋_GB2312" w:eastAsia="仿宋_GB2312" w:cs="仿宋_GB2312"/>
                <w:sz w:val="20"/>
                <w:szCs w:val="20"/>
              </w:rPr>
            </w:pPr>
          </w:p>
        </w:tc>
      </w:tr>
    </w:tbl>
    <w:p w14:paraId="59A6029F"/>
    <w:p w14:paraId="385AFAE1"/>
    <w:p w14:paraId="4E89D8C7"/>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5410"/>
        <w:gridCol w:w="3450"/>
        <w:gridCol w:w="9155"/>
        <w:gridCol w:w="330"/>
      </w:tblGrid>
      <w:tr w14:paraId="22A40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D55505B">
            <w:pPr>
              <w:snapToGrid w:val="0"/>
              <w:spacing w:line="240" w:lineRule="atLeast"/>
              <w:jc w:val="left"/>
              <w:rPr>
                <w:rFonts w:asciiTheme="majorEastAsia" w:hAnsiTheme="majorEastAsia" w:eastAsiaTheme="majorEastAsia" w:cstheme="majorEastAsia"/>
                <w:spacing w:val="-23"/>
                <w:sz w:val="20"/>
                <w:szCs w:val="20"/>
              </w:rPr>
            </w:pPr>
          </w:p>
          <w:p w14:paraId="078196A8">
            <w:pPr>
              <w:snapToGrid w:val="0"/>
              <w:spacing w:line="240" w:lineRule="atLeast"/>
              <w:jc w:val="left"/>
              <w:rPr>
                <w:rFonts w:asciiTheme="majorEastAsia" w:hAnsiTheme="majorEastAsia" w:eastAsiaTheme="majorEastAsia" w:cstheme="majorEastAsia"/>
                <w:spacing w:val="-23"/>
                <w:sz w:val="20"/>
                <w:szCs w:val="20"/>
              </w:rPr>
            </w:pPr>
          </w:p>
          <w:p w14:paraId="26F9932C">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7AAC92E0">
            <w:pPr>
              <w:spacing w:line="240" w:lineRule="atLeast"/>
              <w:rPr>
                <w:rFonts w:asciiTheme="majorEastAsia" w:hAnsiTheme="majorEastAsia" w:eastAsiaTheme="majorEastAsia" w:cstheme="majorEastAsia"/>
                <w:spacing w:val="-20"/>
                <w:sz w:val="20"/>
                <w:szCs w:val="20"/>
              </w:rPr>
            </w:pPr>
          </w:p>
          <w:p w14:paraId="2A048BE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269" w:type="dxa"/>
            <w:gridSpan w:val="5"/>
            <w:vAlign w:val="center"/>
          </w:tcPr>
          <w:p w14:paraId="3AD0368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2605" w:type="dxa"/>
            <w:gridSpan w:val="2"/>
            <w:vAlign w:val="center"/>
          </w:tcPr>
          <w:p w14:paraId="0CCF56A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4BA1E45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123A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239FD53">
            <w:pPr>
              <w:spacing w:line="240" w:lineRule="atLeast"/>
              <w:jc w:val="left"/>
              <w:rPr>
                <w:rFonts w:ascii="仿宋_GB2312" w:hAnsi="仿宋_GB2312" w:eastAsia="仿宋_GB2312" w:cs="仿宋_GB2312"/>
                <w:sz w:val="20"/>
                <w:szCs w:val="20"/>
              </w:rPr>
            </w:pPr>
          </w:p>
        </w:tc>
        <w:tc>
          <w:tcPr>
            <w:tcW w:w="555" w:type="dxa"/>
            <w:vMerge w:val="continue"/>
          </w:tcPr>
          <w:p w14:paraId="62BACDD3">
            <w:pPr>
              <w:spacing w:line="240" w:lineRule="atLeast"/>
              <w:jc w:val="left"/>
              <w:rPr>
                <w:rFonts w:ascii="仿宋_GB2312" w:hAnsi="仿宋_GB2312" w:eastAsia="仿宋_GB2312" w:cs="仿宋_GB2312"/>
                <w:sz w:val="20"/>
                <w:szCs w:val="20"/>
              </w:rPr>
            </w:pPr>
          </w:p>
        </w:tc>
        <w:tc>
          <w:tcPr>
            <w:tcW w:w="600" w:type="dxa"/>
            <w:vAlign w:val="center"/>
          </w:tcPr>
          <w:p w14:paraId="7B5CFBB0">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2264E70C">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00D5D5D5">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53E6A83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5410" w:type="dxa"/>
            <w:vAlign w:val="center"/>
          </w:tcPr>
          <w:p w14:paraId="6F3454E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450" w:type="dxa"/>
            <w:vAlign w:val="center"/>
          </w:tcPr>
          <w:p w14:paraId="4CEA842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12C14D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155" w:type="dxa"/>
            <w:vAlign w:val="center"/>
          </w:tcPr>
          <w:p w14:paraId="1C403F6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2D9704E4">
            <w:pPr>
              <w:spacing w:line="240" w:lineRule="atLeast"/>
              <w:jc w:val="left"/>
              <w:rPr>
                <w:rFonts w:ascii="仿宋_GB2312" w:hAnsi="仿宋_GB2312" w:eastAsia="仿宋_GB2312" w:cs="仿宋_GB2312"/>
                <w:sz w:val="20"/>
                <w:szCs w:val="20"/>
              </w:rPr>
            </w:pPr>
          </w:p>
        </w:tc>
      </w:tr>
      <w:tr w14:paraId="09CA5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3C6DECC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18</w:t>
            </w:r>
          </w:p>
        </w:tc>
        <w:tc>
          <w:tcPr>
            <w:tcW w:w="555" w:type="dxa"/>
            <w:vAlign w:val="center"/>
          </w:tcPr>
          <w:p w14:paraId="5F41AC3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96F562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EE9572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56B267D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pacing w:val="-4"/>
                <w:sz w:val="20"/>
                <w:szCs w:val="20"/>
              </w:rPr>
              <w:t>对买卖或者以其他形式非法转让土地行为的处罚</w:t>
            </w:r>
          </w:p>
        </w:tc>
        <w:tc>
          <w:tcPr>
            <w:tcW w:w="645" w:type="dxa"/>
            <w:vAlign w:val="center"/>
          </w:tcPr>
          <w:p w14:paraId="7ADD507C">
            <w:pPr>
              <w:snapToGrid w:val="0"/>
              <w:spacing w:line="240" w:lineRule="atLeast"/>
              <w:jc w:val="center"/>
              <w:rPr>
                <w:rFonts w:ascii="仿宋_GB2312" w:hAnsi="仿宋_GB2312" w:eastAsia="仿宋_GB2312" w:cs="仿宋_GB2312"/>
                <w:sz w:val="20"/>
                <w:szCs w:val="20"/>
              </w:rPr>
            </w:pPr>
          </w:p>
        </w:tc>
        <w:tc>
          <w:tcPr>
            <w:tcW w:w="585" w:type="dxa"/>
            <w:vAlign w:val="center"/>
          </w:tcPr>
          <w:p w14:paraId="6C8B141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7C9E281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5410" w:type="dxa"/>
            <w:vAlign w:val="center"/>
          </w:tcPr>
          <w:p w14:paraId="3A13C847">
            <w:pPr>
              <w:widowControl/>
              <w:adjustRightInd w:val="0"/>
              <w:snapToGrid w:val="0"/>
              <w:spacing w:line="280"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1.【法律】《中华人民共和国土地管理法》第七十四条：买卖或者以其他形式非法转让土地的，由县级以上人民政府自然资源主管部门没收违法所得；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直接负责的主管人员和其他直接责任人员，依法给予处分；构成犯罪的，依法追究刑事责任。</w:t>
            </w:r>
          </w:p>
          <w:p w14:paraId="73A9C68D">
            <w:pPr>
              <w:snapToGrid w:val="0"/>
              <w:spacing w:line="240" w:lineRule="atLeast"/>
              <w:ind w:firstLine="384" w:firstLineChars="200"/>
              <w:rPr>
                <w:rFonts w:ascii="仿宋_GB2312" w:hAnsi="仿宋_GB2312" w:eastAsia="仿宋_GB2312" w:cs="仿宋_GB2312"/>
                <w:sz w:val="20"/>
                <w:szCs w:val="20"/>
              </w:rPr>
            </w:pPr>
            <w:r>
              <w:rPr>
                <w:rFonts w:hint="eastAsia" w:eastAsia="仿宋_GB2312"/>
                <w:snapToGrid w:val="0"/>
                <w:color w:val="000000"/>
                <w:spacing w:val="-4"/>
                <w:sz w:val="20"/>
                <w:szCs w:val="20"/>
              </w:rPr>
              <w:t>2.【行政法规】《中华人民共和国土地管理法实施条例》（1998年国务院令第256号发布，2021年国务院令第743号第三次修订）第五十四条：依照《土地管理法》第七十四条的规定处以罚款的，罚款额为违法所得的10%以上50%以下。</w:t>
            </w:r>
          </w:p>
        </w:tc>
        <w:tc>
          <w:tcPr>
            <w:tcW w:w="3450" w:type="dxa"/>
            <w:vAlign w:val="center"/>
          </w:tcPr>
          <w:p w14:paraId="684F79C1">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1.立案阶段责任：接到举报或相关部门转送、巡查发现该违法行为，及时予以审查，决定是否立案。下达《责令停止违法行为通知书》。</w:t>
            </w:r>
          </w:p>
          <w:p w14:paraId="398CE4F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0C602A5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B39DFA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4．告知阶段责任：作出行政处罚决定前，应制作《行政处罚告知书》送达当事人，告知违法事实及其享有的陈述、申辩等权利。符合听证规定的，制作并送达《行政处罚听证告知书》。</w:t>
            </w:r>
          </w:p>
          <w:p w14:paraId="1F12182F">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5．决定阶段责任：制作行政处罚决定书，载明行政处罚告知、当事人陈述申辩或者听证情况等内容。符合刑事案件移送条件的，及时移送。</w:t>
            </w:r>
          </w:p>
          <w:p w14:paraId="20AE895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6．送达阶段责任：行政处罚决定书按法律规定的方式送达当事人。</w:t>
            </w:r>
          </w:p>
          <w:p w14:paraId="4533264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7．执行阶段责任：当事人履行处罚决定的，及时结案；未履行处罚决定，依照生效的行政处罚决定，按程序下达催缴（告）通知书和申请人民法院强制执行。</w:t>
            </w:r>
          </w:p>
          <w:p w14:paraId="2557BA01">
            <w:pPr>
              <w:snapToGrid w:val="0"/>
              <w:spacing w:line="240" w:lineRule="atLeast"/>
              <w:ind w:firstLine="384" w:firstLineChars="200"/>
              <w:rPr>
                <w:rFonts w:ascii="仿宋_GB2312" w:hAnsi="仿宋_GB2312" w:eastAsia="仿宋_GB2312" w:cs="仿宋_GB2312"/>
                <w:sz w:val="20"/>
                <w:szCs w:val="20"/>
              </w:rPr>
            </w:pPr>
            <w:r>
              <w:rPr>
                <w:rFonts w:hint="eastAsia" w:eastAsia="仿宋_GB2312"/>
                <w:snapToGrid w:val="0"/>
                <w:color w:val="000000"/>
                <w:spacing w:val="-4"/>
                <w:sz w:val="20"/>
                <w:szCs w:val="20"/>
              </w:rPr>
              <w:t>8．其他法律法规规章文件规定应履行的责任。</w:t>
            </w:r>
          </w:p>
        </w:tc>
        <w:tc>
          <w:tcPr>
            <w:tcW w:w="9155" w:type="dxa"/>
            <w:vAlign w:val="center"/>
          </w:tcPr>
          <w:p w14:paraId="334D0C9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1.【部门规章】《自然资源行政处罚办法》（2014年国土资源部令第60号公布，2020年自然资源部令第6号修正）第十一条：自然资源主管部门发现自然人、法人或者其他组织行为涉嫌违法的，应当及时核查。对正在实施的违法行为，应当依法及时下达《责令停止违法行为通知书》予以制止。</w:t>
            </w:r>
          </w:p>
          <w:p w14:paraId="6826C05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2166114">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2—1.【法律】《中华人民共和国行政处罚法》第三十七条：行政机关在调查或者进行检查时，执法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D9CCB6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DF6496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第十四条：调查人员与案件有直接利害关系的，应当回避。</w:t>
            </w:r>
          </w:p>
          <w:p w14:paraId="046BB65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第二十条：当事人请求自行提供陈述材料的，应当准许。必要时，调查人员也可以要求当事人自行书写。当事人应当在其提供的陈述材料上签名、按手印或者盖章。</w:t>
            </w:r>
          </w:p>
          <w:p w14:paraId="0BDB93C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第二十一条：询问应当个别进行，并制作询问笔录。询问笔录应当记载询问的时间、地点和询问情况等。</w:t>
            </w:r>
          </w:p>
          <w:p w14:paraId="7844AFE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64E21D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EAAB67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第二十八条：……当事人要求听证的，应当在收到《行政处罚听证告知书》后三个工作日内提出。</w:t>
            </w:r>
          </w:p>
          <w:p w14:paraId="6999180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5—1.【法律】《中华人民共和国行政处罚法》第三十八条：调查终结，行政机关负责人应当对调查结果进行审查，根据不同情况，分别作出决定。</w:t>
            </w:r>
          </w:p>
          <w:p w14:paraId="084CFE61">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第三十九条：行政机关……应当制作《行政处罚决定书》。</w:t>
            </w:r>
          </w:p>
          <w:p w14:paraId="7C803E0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B5B9D5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B153B1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1484E2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756D2E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7—1.【法律】《中华人民共和国行政处罚法》第四十四条：行政处罚决定依法作出后，当事人应当在行政处罚决定的期限内，予以履行。</w:t>
            </w:r>
          </w:p>
          <w:p w14:paraId="7966CB4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68E3805">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969AD65">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第三十六条：自然资源主管部门申请人民法院强制执行前，应当催告当事人履行义务。</w:t>
            </w:r>
          </w:p>
          <w:p w14:paraId="63B45491">
            <w:pPr>
              <w:snapToGrid w:val="0"/>
              <w:spacing w:line="240" w:lineRule="atLeast"/>
              <w:ind w:firstLine="400" w:firstLineChars="200"/>
              <w:rPr>
                <w:rFonts w:ascii="仿宋_GB2312" w:hAnsi="仿宋_GB2312" w:eastAsia="仿宋_GB2312" w:cs="仿宋_GB2312"/>
                <w:sz w:val="20"/>
                <w:szCs w:val="20"/>
              </w:rPr>
            </w:pPr>
          </w:p>
        </w:tc>
        <w:tc>
          <w:tcPr>
            <w:tcW w:w="330" w:type="dxa"/>
            <w:vAlign w:val="center"/>
          </w:tcPr>
          <w:p w14:paraId="35879584">
            <w:pPr>
              <w:snapToGrid w:val="0"/>
              <w:spacing w:line="240" w:lineRule="atLeast"/>
              <w:jc w:val="center"/>
              <w:rPr>
                <w:rFonts w:ascii="仿宋_GB2312" w:hAnsi="仿宋_GB2312" w:eastAsia="仿宋_GB2312" w:cs="仿宋_GB2312"/>
                <w:sz w:val="20"/>
                <w:szCs w:val="20"/>
              </w:rPr>
            </w:pPr>
          </w:p>
        </w:tc>
      </w:tr>
    </w:tbl>
    <w:p w14:paraId="361C704E"/>
    <w:p w14:paraId="3E2C1201"/>
    <w:p w14:paraId="06F4D086"/>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5080"/>
        <w:gridCol w:w="3330"/>
        <w:gridCol w:w="9605"/>
        <w:gridCol w:w="330"/>
      </w:tblGrid>
      <w:tr w14:paraId="4F1A9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E7802C8">
            <w:pPr>
              <w:snapToGrid w:val="0"/>
              <w:spacing w:line="240" w:lineRule="atLeast"/>
              <w:jc w:val="left"/>
              <w:rPr>
                <w:rFonts w:asciiTheme="majorEastAsia" w:hAnsiTheme="majorEastAsia" w:eastAsiaTheme="majorEastAsia" w:cstheme="majorEastAsia"/>
                <w:spacing w:val="-23"/>
                <w:sz w:val="20"/>
                <w:szCs w:val="20"/>
              </w:rPr>
            </w:pPr>
          </w:p>
          <w:p w14:paraId="1778FD45">
            <w:pPr>
              <w:snapToGrid w:val="0"/>
              <w:spacing w:line="240" w:lineRule="atLeast"/>
              <w:jc w:val="left"/>
              <w:rPr>
                <w:rFonts w:asciiTheme="majorEastAsia" w:hAnsiTheme="majorEastAsia" w:eastAsiaTheme="majorEastAsia" w:cstheme="majorEastAsia"/>
                <w:spacing w:val="-23"/>
                <w:sz w:val="20"/>
                <w:szCs w:val="20"/>
              </w:rPr>
            </w:pPr>
          </w:p>
          <w:p w14:paraId="27127D73">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49D9802B">
            <w:pPr>
              <w:spacing w:line="240" w:lineRule="atLeast"/>
              <w:rPr>
                <w:rFonts w:asciiTheme="majorEastAsia" w:hAnsiTheme="majorEastAsia" w:eastAsiaTheme="majorEastAsia" w:cstheme="majorEastAsia"/>
                <w:spacing w:val="-20"/>
                <w:sz w:val="20"/>
                <w:szCs w:val="20"/>
              </w:rPr>
            </w:pPr>
          </w:p>
          <w:p w14:paraId="64A59B0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939" w:type="dxa"/>
            <w:gridSpan w:val="5"/>
            <w:vAlign w:val="center"/>
          </w:tcPr>
          <w:p w14:paraId="5415B3B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2935" w:type="dxa"/>
            <w:gridSpan w:val="2"/>
            <w:vAlign w:val="center"/>
          </w:tcPr>
          <w:p w14:paraId="698ECB8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760BA36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4563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A61D0C2">
            <w:pPr>
              <w:spacing w:line="240" w:lineRule="atLeast"/>
              <w:jc w:val="left"/>
              <w:rPr>
                <w:rFonts w:ascii="仿宋_GB2312" w:hAnsi="仿宋_GB2312" w:eastAsia="仿宋_GB2312" w:cs="仿宋_GB2312"/>
                <w:sz w:val="20"/>
                <w:szCs w:val="20"/>
              </w:rPr>
            </w:pPr>
          </w:p>
        </w:tc>
        <w:tc>
          <w:tcPr>
            <w:tcW w:w="555" w:type="dxa"/>
            <w:vMerge w:val="continue"/>
          </w:tcPr>
          <w:p w14:paraId="6799E5DF">
            <w:pPr>
              <w:spacing w:line="240" w:lineRule="atLeast"/>
              <w:jc w:val="left"/>
              <w:rPr>
                <w:rFonts w:ascii="仿宋_GB2312" w:hAnsi="仿宋_GB2312" w:eastAsia="仿宋_GB2312" w:cs="仿宋_GB2312"/>
                <w:sz w:val="20"/>
                <w:szCs w:val="20"/>
              </w:rPr>
            </w:pPr>
          </w:p>
        </w:tc>
        <w:tc>
          <w:tcPr>
            <w:tcW w:w="600" w:type="dxa"/>
            <w:vAlign w:val="center"/>
          </w:tcPr>
          <w:p w14:paraId="29F08747">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451B093E">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73A755D9">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5845865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5080" w:type="dxa"/>
            <w:vAlign w:val="center"/>
          </w:tcPr>
          <w:p w14:paraId="379B156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330" w:type="dxa"/>
            <w:vAlign w:val="center"/>
          </w:tcPr>
          <w:p w14:paraId="61123E2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EF1BBF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605" w:type="dxa"/>
            <w:vAlign w:val="center"/>
          </w:tcPr>
          <w:p w14:paraId="1E1B000D">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21C3FE0D">
            <w:pPr>
              <w:spacing w:line="240" w:lineRule="atLeast"/>
              <w:jc w:val="left"/>
              <w:rPr>
                <w:rFonts w:ascii="仿宋_GB2312" w:hAnsi="仿宋_GB2312" w:eastAsia="仿宋_GB2312" w:cs="仿宋_GB2312"/>
                <w:sz w:val="20"/>
                <w:szCs w:val="20"/>
              </w:rPr>
            </w:pPr>
          </w:p>
        </w:tc>
      </w:tr>
      <w:tr w14:paraId="5B6ED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11AE483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w:t>
            </w:r>
          </w:p>
        </w:tc>
        <w:tc>
          <w:tcPr>
            <w:tcW w:w="555" w:type="dxa"/>
            <w:vAlign w:val="center"/>
          </w:tcPr>
          <w:p w14:paraId="0868D4A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46A688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17E1C0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7B34A6F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对未经批准，违法转让、出租、抵押以划拨方式取得的国有土地使用权行为的处罚</w:t>
            </w:r>
          </w:p>
        </w:tc>
        <w:tc>
          <w:tcPr>
            <w:tcW w:w="645" w:type="dxa"/>
            <w:vAlign w:val="center"/>
          </w:tcPr>
          <w:p w14:paraId="4CC34367">
            <w:pPr>
              <w:snapToGrid w:val="0"/>
              <w:spacing w:line="240" w:lineRule="atLeast"/>
              <w:jc w:val="center"/>
              <w:rPr>
                <w:rFonts w:ascii="仿宋_GB2312" w:hAnsi="仿宋_GB2312" w:eastAsia="仿宋_GB2312" w:cs="仿宋_GB2312"/>
                <w:sz w:val="20"/>
                <w:szCs w:val="20"/>
              </w:rPr>
            </w:pPr>
          </w:p>
        </w:tc>
        <w:tc>
          <w:tcPr>
            <w:tcW w:w="585" w:type="dxa"/>
            <w:vAlign w:val="center"/>
          </w:tcPr>
          <w:p w14:paraId="3279B95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3D79D20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5080" w:type="dxa"/>
            <w:vAlign w:val="center"/>
          </w:tcPr>
          <w:p w14:paraId="5A5044D2">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四条：买卖或者以其他形式非法转让土地的，由县级以上人民政府自然资源主管部门没收违法所得；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直接负责的主管人员和其他直接责任人员，依法给予处分；构成犯罪的，依法追究刑事责任。</w:t>
            </w:r>
          </w:p>
          <w:p w14:paraId="4299BDA7">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城市房地产管理法》第四十条：以划拨方式取得土地使用权的，转让房地产时，应当按照国务院规定，报有批准权的人民政府审批。有批准权的人民政府准予转让的，应当由受让方办理土地使用权出让手续，并依照国家有关规定缴纳土地使用权出让金。</w:t>
            </w:r>
          </w:p>
          <w:p w14:paraId="2872CBC1">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第六十七条：违反本法第四十条第一款的规定转让房地产的，由县级以上人民政府土地管理部门责令缴纳土地使用权出让金，没收违法所得，可以并处罚款。</w:t>
            </w:r>
          </w:p>
          <w:p w14:paraId="75818F4D">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行政法规】《中华人民共和国土地管理法实施条例》（1998年国务院令第256号发布，2021年国务院令第743号第三次修订）第五十四条：依照《土地管理法》第七十四条的规定处以罚款的，罚款额为违法所得的10%以上50%以下。</w:t>
            </w:r>
          </w:p>
          <w:p w14:paraId="1EA3096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行政法规】《中华人民共和国城镇国有土地使用权出让和转让暂行条例》（1990年国务院令第55号令发布，2020年修订）第四十六条：对未经批准擅自转让、出租、抵押划拨土地使用权的单位和个人，市、县人民政府土地管理部门应当没收其非法收入，并根据情节处以罚款。</w:t>
            </w:r>
          </w:p>
        </w:tc>
        <w:tc>
          <w:tcPr>
            <w:tcW w:w="3330" w:type="dxa"/>
            <w:vAlign w:val="center"/>
          </w:tcPr>
          <w:p w14:paraId="37DFAB94">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1.立案阶段责任：接到举报或相关部门转送、巡查发现该违法行为，及时予以审查，决定是否立案。下达《责令停止违法行为通知书》。</w:t>
            </w:r>
          </w:p>
          <w:p w14:paraId="767CDD30">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6E3B75C6">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3B9CE94">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F526C20">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7575E46">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216CFED">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CCABC5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605" w:type="dxa"/>
            <w:vAlign w:val="center"/>
          </w:tcPr>
          <w:p w14:paraId="3C4CFB3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18A353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2D3297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E294DE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0D89AA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633788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58C3B1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432837F">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E2C2BA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7E704A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B6E769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BF23FF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15A495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2D8012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B89F48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A9FC1F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D6D57B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D06DBB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BFEB87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2EA78A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519F4B9">
            <w:pPr>
              <w:snapToGrid w:val="0"/>
              <w:spacing w:line="240" w:lineRule="atLeast"/>
              <w:jc w:val="center"/>
              <w:rPr>
                <w:rFonts w:ascii="仿宋_GB2312" w:hAnsi="仿宋_GB2312" w:eastAsia="仿宋_GB2312" w:cs="仿宋_GB2312"/>
                <w:sz w:val="20"/>
                <w:szCs w:val="20"/>
              </w:rPr>
            </w:pPr>
          </w:p>
        </w:tc>
      </w:tr>
    </w:tbl>
    <w:p w14:paraId="351512D8"/>
    <w:p w14:paraId="39B19C65"/>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4480"/>
        <w:gridCol w:w="3300"/>
        <w:gridCol w:w="10235"/>
        <w:gridCol w:w="330"/>
      </w:tblGrid>
      <w:tr w14:paraId="27D76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9016E64">
            <w:pPr>
              <w:snapToGrid w:val="0"/>
              <w:spacing w:line="240" w:lineRule="atLeast"/>
              <w:jc w:val="left"/>
              <w:rPr>
                <w:rFonts w:asciiTheme="majorEastAsia" w:hAnsiTheme="majorEastAsia" w:eastAsiaTheme="majorEastAsia" w:cstheme="majorEastAsia"/>
                <w:spacing w:val="-23"/>
                <w:sz w:val="20"/>
                <w:szCs w:val="20"/>
              </w:rPr>
            </w:pPr>
          </w:p>
          <w:p w14:paraId="3DC4C524">
            <w:pPr>
              <w:snapToGrid w:val="0"/>
              <w:spacing w:line="240" w:lineRule="atLeast"/>
              <w:jc w:val="left"/>
              <w:rPr>
                <w:rFonts w:asciiTheme="majorEastAsia" w:hAnsiTheme="majorEastAsia" w:eastAsiaTheme="majorEastAsia" w:cstheme="majorEastAsia"/>
                <w:spacing w:val="-23"/>
                <w:sz w:val="20"/>
                <w:szCs w:val="20"/>
              </w:rPr>
            </w:pPr>
          </w:p>
          <w:p w14:paraId="1152C77C">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2B6CAE6B">
            <w:pPr>
              <w:spacing w:line="240" w:lineRule="atLeast"/>
              <w:rPr>
                <w:rFonts w:asciiTheme="majorEastAsia" w:hAnsiTheme="majorEastAsia" w:eastAsiaTheme="majorEastAsia" w:cstheme="majorEastAsia"/>
                <w:spacing w:val="-20"/>
                <w:sz w:val="20"/>
                <w:szCs w:val="20"/>
              </w:rPr>
            </w:pPr>
          </w:p>
          <w:p w14:paraId="26507B8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339" w:type="dxa"/>
            <w:gridSpan w:val="5"/>
            <w:vAlign w:val="center"/>
          </w:tcPr>
          <w:p w14:paraId="6C1877B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535" w:type="dxa"/>
            <w:gridSpan w:val="2"/>
            <w:vAlign w:val="center"/>
          </w:tcPr>
          <w:p w14:paraId="03145C0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44B8B3C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E269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BD47EBE">
            <w:pPr>
              <w:spacing w:line="240" w:lineRule="atLeast"/>
              <w:jc w:val="left"/>
              <w:rPr>
                <w:rFonts w:ascii="仿宋_GB2312" w:hAnsi="仿宋_GB2312" w:eastAsia="仿宋_GB2312" w:cs="仿宋_GB2312"/>
                <w:sz w:val="20"/>
                <w:szCs w:val="20"/>
              </w:rPr>
            </w:pPr>
          </w:p>
        </w:tc>
        <w:tc>
          <w:tcPr>
            <w:tcW w:w="555" w:type="dxa"/>
            <w:vMerge w:val="continue"/>
          </w:tcPr>
          <w:p w14:paraId="3DB052AE">
            <w:pPr>
              <w:spacing w:line="240" w:lineRule="atLeast"/>
              <w:jc w:val="left"/>
              <w:rPr>
                <w:rFonts w:ascii="仿宋_GB2312" w:hAnsi="仿宋_GB2312" w:eastAsia="仿宋_GB2312" w:cs="仿宋_GB2312"/>
                <w:sz w:val="20"/>
                <w:szCs w:val="20"/>
              </w:rPr>
            </w:pPr>
          </w:p>
        </w:tc>
        <w:tc>
          <w:tcPr>
            <w:tcW w:w="600" w:type="dxa"/>
            <w:vAlign w:val="center"/>
          </w:tcPr>
          <w:p w14:paraId="01AD3F2D">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4D2C8F48">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1EF10E88">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7E52E79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480" w:type="dxa"/>
            <w:vAlign w:val="center"/>
          </w:tcPr>
          <w:p w14:paraId="1382F78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300" w:type="dxa"/>
            <w:vAlign w:val="center"/>
          </w:tcPr>
          <w:p w14:paraId="5AC8218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616620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10235" w:type="dxa"/>
            <w:vAlign w:val="center"/>
          </w:tcPr>
          <w:p w14:paraId="5F7961F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2D13B8C0">
            <w:pPr>
              <w:spacing w:line="240" w:lineRule="atLeast"/>
              <w:jc w:val="left"/>
              <w:rPr>
                <w:rFonts w:ascii="仿宋_GB2312" w:hAnsi="仿宋_GB2312" w:eastAsia="仿宋_GB2312" w:cs="仿宋_GB2312"/>
                <w:sz w:val="20"/>
                <w:szCs w:val="20"/>
              </w:rPr>
            </w:pPr>
          </w:p>
        </w:tc>
      </w:tr>
      <w:tr w14:paraId="1F6F7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2C26AEA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20</w:t>
            </w:r>
          </w:p>
        </w:tc>
        <w:tc>
          <w:tcPr>
            <w:tcW w:w="555" w:type="dxa"/>
            <w:vAlign w:val="center"/>
          </w:tcPr>
          <w:p w14:paraId="5C7E0C1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A4B491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96E5AE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56C9C04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对擅自转让房地产开发项目行为的处罚</w:t>
            </w:r>
          </w:p>
        </w:tc>
        <w:tc>
          <w:tcPr>
            <w:tcW w:w="645" w:type="dxa"/>
            <w:vAlign w:val="center"/>
          </w:tcPr>
          <w:p w14:paraId="5CDEA1ED">
            <w:pPr>
              <w:snapToGrid w:val="0"/>
              <w:spacing w:line="240" w:lineRule="atLeast"/>
              <w:jc w:val="center"/>
              <w:rPr>
                <w:rFonts w:ascii="仿宋_GB2312" w:hAnsi="仿宋_GB2312" w:eastAsia="仿宋_GB2312" w:cs="仿宋_GB2312"/>
                <w:sz w:val="20"/>
                <w:szCs w:val="20"/>
              </w:rPr>
            </w:pPr>
          </w:p>
        </w:tc>
        <w:tc>
          <w:tcPr>
            <w:tcW w:w="585" w:type="dxa"/>
            <w:vAlign w:val="center"/>
          </w:tcPr>
          <w:p w14:paraId="06CF040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7D4A54C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480" w:type="dxa"/>
            <w:vAlign w:val="center"/>
          </w:tcPr>
          <w:p w14:paraId="29F1CC09">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 【法律】《中华人民共和国土地管理法》第七十四条：买卖或者以其他形式非法转让土地的，由县级以上人民政府自然资源主管部门没收违法所得；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直接负责的主管人员和其他直接责任人员，依法给予处分；构成犯罪的，依法追究刑事责任。</w:t>
            </w:r>
          </w:p>
          <w:p w14:paraId="6B831ADA">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 【行政法规】《城市房地产开发经营管理条例》（1998年国务院令第248号发布，2020年国务院令第726号修订）第三十五条：违反本条例规定，擅自转让房地产开发项目的，由县级以上人民政府负责土地管理工作的部门责令停止违法行为，没收违法所得，可以并处违法所得5倍以下的罚款。</w:t>
            </w:r>
          </w:p>
          <w:p w14:paraId="7FBF874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行政法规】《中华人民共和国土地管理法实施条例》（1998年国务院令第256号发布，2021年国务院令第743号第三次修订）第五十四条：依照《土地管理法》第七十四条的规定处以罚款的，罚款额为违法所得的10%以上50%以下。</w:t>
            </w:r>
          </w:p>
        </w:tc>
        <w:tc>
          <w:tcPr>
            <w:tcW w:w="3300" w:type="dxa"/>
            <w:vAlign w:val="center"/>
          </w:tcPr>
          <w:p w14:paraId="5130B179">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159BB0C">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4D58566D">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3D718FF">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D7A2FE9">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642499A">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998F0C3">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6E26236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10235" w:type="dxa"/>
            <w:vAlign w:val="center"/>
          </w:tcPr>
          <w:p w14:paraId="6A8144A5">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5EF0D3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E1AC7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4F2965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D7AE30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846667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CBF4E8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45E5B0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5CD8B1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94045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997656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DFB33F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0FF707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292C62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74DDAF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1ECD9C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D5F13F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DDD476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2D921D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B01E6E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D8163A5">
            <w:pPr>
              <w:snapToGrid w:val="0"/>
              <w:spacing w:line="240" w:lineRule="atLeast"/>
              <w:jc w:val="center"/>
              <w:rPr>
                <w:rFonts w:ascii="仿宋_GB2312" w:hAnsi="仿宋_GB2312" w:eastAsia="仿宋_GB2312" w:cs="仿宋_GB2312"/>
                <w:sz w:val="20"/>
                <w:szCs w:val="20"/>
              </w:rPr>
            </w:pPr>
          </w:p>
        </w:tc>
      </w:tr>
    </w:tbl>
    <w:p w14:paraId="156004EE"/>
    <w:p w14:paraId="3F99B623"/>
    <w:p w14:paraId="628AACFA"/>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69"/>
        <w:gridCol w:w="645"/>
        <w:gridCol w:w="615"/>
        <w:gridCol w:w="1065"/>
        <w:gridCol w:w="4290"/>
        <w:gridCol w:w="3720"/>
        <w:gridCol w:w="9770"/>
        <w:gridCol w:w="330"/>
      </w:tblGrid>
      <w:tr w14:paraId="1D5C5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D79F872">
            <w:pPr>
              <w:snapToGrid w:val="0"/>
              <w:spacing w:line="240" w:lineRule="atLeast"/>
              <w:jc w:val="left"/>
              <w:rPr>
                <w:rFonts w:asciiTheme="majorEastAsia" w:hAnsiTheme="majorEastAsia" w:eastAsiaTheme="majorEastAsia" w:cstheme="majorEastAsia"/>
                <w:spacing w:val="-23"/>
                <w:sz w:val="20"/>
                <w:szCs w:val="20"/>
              </w:rPr>
            </w:pPr>
          </w:p>
          <w:p w14:paraId="577BBA4C">
            <w:pPr>
              <w:snapToGrid w:val="0"/>
              <w:spacing w:line="240" w:lineRule="atLeast"/>
              <w:jc w:val="left"/>
              <w:rPr>
                <w:rFonts w:asciiTheme="majorEastAsia" w:hAnsiTheme="majorEastAsia" w:eastAsiaTheme="majorEastAsia" w:cstheme="majorEastAsia"/>
                <w:spacing w:val="-23"/>
                <w:sz w:val="20"/>
                <w:szCs w:val="20"/>
              </w:rPr>
            </w:pPr>
          </w:p>
          <w:p w14:paraId="332654B5">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069F5D7B">
            <w:pPr>
              <w:spacing w:line="240" w:lineRule="atLeast"/>
              <w:rPr>
                <w:rFonts w:asciiTheme="majorEastAsia" w:hAnsiTheme="majorEastAsia" w:eastAsiaTheme="majorEastAsia" w:cstheme="majorEastAsia"/>
                <w:spacing w:val="-20"/>
                <w:sz w:val="20"/>
                <w:szCs w:val="20"/>
              </w:rPr>
            </w:pPr>
          </w:p>
          <w:p w14:paraId="2BBB4A9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384" w:type="dxa"/>
            <w:gridSpan w:val="5"/>
            <w:vAlign w:val="center"/>
          </w:tcPr>
          <w:p w14:paraId="02CB3D0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490" w:type="dxa"/>
            <w:gridSpan w:val="2"/>
            <w:vAlign w:val="center"/>
          </w:tcPr>
          <w:p w14:paraId="32608A9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69FB080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07FD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64699A5">
            <w:pPr>
              <w:spacing w:line="240" w:lineRule="atLeast"/>
              <w:jc w:val="left"/>
              <w:rPr>
                <w:rFonts w:ascii="仿宋_GB2312" w:hAnsi="仿宋_GB2312" w:eastAsia="仿宋_GB2312" w:cs="仿宋_GB2312"/>
                <w:sz w:val="20"/>
                <w:szCs w:val="20"/>
              </w:rPr>
            </w:pPr>
          </w:p>
        </w:tc>
        <w:tc>
          <w:tcPr>
            <w:tcW w:w="555" w:type="dxa"/>
            <w:vMerge w:val="continue"/>
          </w:tcPr>
          <w:p w14:paraId="72EA4A46">
            <w:pPr>
              <w:spacing w:line="240" w:lineRule="atLeast"/>
              <w:jc w:val="left"/>
              <w:rPr>
                <w:rFonts w:ascii="仿宋_GB2312" w:hAnsi="仿宋_GB2312" w:eastAsia="仿宋_GB2312" w:cs="仿宋_GB2312"/>
                <w:sz w:val="20"/>
                <w:szCs w:val="20"/>
              </w:rPr>
            </w:pPr>
          </w:p>
        </w:tc>
        <w:tc>
          <w:tcPr>
            <w:tcW w:w="769" w:type="dxa"/>
            <w:vAlign w:val="center"/>
          </w:tcPr>
          <w:p w14:paraId="72D1A524">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57650F7B">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6436B6A">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65" w:type="dxa"/>
            <w:vAlign w:val="center"/>
          </w:tcPr>
          <w:p w14:paraId="4479F42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290" w:type="dxa"/>
            <w:vAlign w:val="center"/>
          </w:tcPr>
          <w:p w14:paraId="10EAEFD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720" w:type="dxa"/>
            <w:vAlign w:val="center"/>
          </w:tcPr>
          <w:p w14:paraId="596954B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AB2C14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770" w:type="dxa"/>
            <w:vAlign w:val="center"/>
          </w:tcPr>
          <w:p w14:paraId="65C62E5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197D7850">
            <w:pPr>
              <w:spacing w:line="240" w:lineRule="atLeast"/>
              <w:jc w:val="left"/>
              <w:rPr>
                <w:rFonts w:ascii="仿宋_GB2312" w:hAnsi="仿宋_GB2312" w:eastAsia="仿宋_GB2312" w:cs="仿宋_GB2312"/>
                <w:sz w:val="20"/>
                <w:szCs w:val="20"/>
              </w:rPr>
            </w:pPr>
          </w:p>
        </w:tc>
      </w:tr>
      <w:tr w14:paraId="378CB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064DE2D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w:t>
            </w:r>
          </w:p>
        </w:tc>
        <w:tc>
          <w:tcPr>
            <w:tcW w:w="555" w:type="dxa"/>
            <w:vAlign w:val="center"/>
          </w:tcPr>
          <w:p w14:paraId="30E81C3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4F038D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F506B9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69" w:type="dxa"/>
            <w:vAlign w:val="center"/>
          </w:tcPr>
          <w:p w14:paraId="75AC449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对违法占用耕地建窑、建坟或者擅自在耕地上建房、挖砂、采石、采矿、取土等，破坏种植条件行为中涉及自然资源主管部门职责的处罚</w:t>
            </w:r>
          </w:p>
        </w:tc>
        <w:tc>
          <w:tcPr>
            <w:tcW w:w="645" w:type="dxa"/>
            <w:vAlign w:val="center"/>
          </w:tcPr>
          <w:p w14:paraId="4D33967F">
            <w:pPr>
              <w:snapToGrid w:val="0"/>
              <w:spacing w:line="240" w:lineRule="atLeast"/>
              <w:jc w:val="center"/>
              <w:rPr>
                <w:rFonts w:ascii="仿宋_GB2312" w:hAnsi="仿宋_GB2312" w:eastAsia="仿宋_GB2312" w:cs="仿宋_GB2312"/>
                <w:sz w:val="20"/>
                <w:szCs w:val="20"/>
              </w:rPr>
            </w:pPr>
          </w:p>
        </w:tc>
        <w:tc>
          <w:tcPr>
            <w:tcW w:w="615" w:type="dxa"/>
            <w:vAlign w:val="center"/>
          </w:tcPr>
          <w:p w14:paraId="270A68C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65" w:type="dxa"/>
            <w:vAlign w:val="center"/>
          </w:tcPr>
          <w:p w14:paraId="765BAC7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290" w:type="dxa"/>
            <w:vAlign w:val="center"/>
          </w:tcPr>
          <w:p w14:paraId="615432B8">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五条：违反本法规定，占用耕地建窑、建坟或者擅自在耕地上建房、挖砂、采石、采矿、取土等，破坏种植条件的，或者因开发土地造成土地荒漠化、盐渍化的，由县级以上人民政府自然资源主管部门、农业农村主管部门等按照职责责令限期改正或者治理，可以并处罚款；构成犯罪的，依法追究刑事责任。</w:t>
            </w:r>
          </w:p>
          <w:p w14:paraId="3385A44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五条：依照《土地管理法》第七十五条的规定处以罚款的，罚款额为耕地开垦费的5倍以上10倍以下；破坏黑土地等优质耕地的，从重处罚。</w:t>
            </w:r>
          </w:p>
        </w:tc>
        <w:tc>
          <w:tcPr>
            <w:tcW w:w="3720" w:type="dxa"/>
            <w:vAlign w:val="center"/>
          </w:tcPr>
          <w:p w14:paraId="3E36B9EA">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E6D0A7D">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9B1B1F3">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36D2AC3">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F6EF7C1">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668D5AE">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D5F75C6">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1A05715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770" w:type="dxa"/>
            <w:vAlign w:val="center"/>
          </w:tcPr>
          <w:p w14:paraId="1A5A324E">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C5024E1">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89A822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417AC1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047778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B2217B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25AADC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F25351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C77F90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2E7800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23BEBE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74ED59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C62EED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42356E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0F9708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BAA99D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CB3A69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BA9AC0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D31E5F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5645D4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7121863">
            <w:pPr>
              <w:snapToGrid w:val="0"/>
              <w:spacing w:line="240" w:lineRule="atLeast"/>
              <w:jc w:val="center"/>
              <w:rPr>
                <w:rFonts w:ascii="仿宋_GB2312" w:hAnsi="仿宋_GB2312" w:eastAsia="仿宋_GB2312" w:cs="仿宋_GB2312"/>
                <w:sz w:val="20"/>
                <w:szCs w:val="20"/>
              </w:rPr>
            </w:pPr>
          </w:p>
        </w:tc>
      </w:tr>
    </w:tbl>
    <w:p w14:paraId="4ADC7F25"/>
    <w:p w14:paraId="44A445DC"/>
    <w:p w14:paraId="0C37E127"/>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4000"/>
        <w:gridCol w:w="3870"/>
        <w:gridCol w:w="10145"/>
        <w:gridCol w:w="330"/>
      </w:tblGrid>
      <w:tr w14:paraId="35E11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2355B9D">
            <w:pPr>
              <w:snapToGrid w:val="0"/>
              <w:spacing w:line="240" w:lineRule="atLeast"/>
              <w:jc w:val="left"/>
              <w:rPr>
                <w:rFonts w:asciiTheme="majorEastAsia" w:hAnsiTheme="majorEastAsia" w:eastAsiaTheme="majorEastAsia" w:cstheme="majorEastAsia"/>
                <w:spacing w:val="-23"/>
                <w:sz w:val="20"/>
                <w:szCs w:val="20"/>
              </w:rPr>
            </w:pPr>
          </w:p>
          <w:p w14:paraId="61B6EC80">
            <w:pPr>
              <w:snapToGrid w:val="0"/>
              <w:spacing w:line="240" w:lineRule="atLeast"/>
              <w:jc w:val="left"/>
              <w:rPr>
                <w:rFonts w:asciiTheme="majorEastAsia" w:hAnsiTheme="majorEastAsia" w:eastAsiaTheme="majorEastAsia" w:cstheme="majorEastAsia"/>
                <w:spacing w:val="-23"/>
                <w:sz w:val="20"/>
                <w:szCs w:val="20"/>
              </w:rPr>
            </w:pPr>
          </w:p>
          <w:p w14:paraId="6172FE99">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0E5B52D5">
            <w:pPr>
              <w:spacing w:line="240" w:lineRule="atLeast"/>
              <w:rPr>
                <w:rFonts w:asciiTheme="majorEastAsia" w:hAnsiTheme="majorEastAsia" w:eastAsiaTheme="majorEastAsia" w:cstheme="majorEastAsia"/>
                <w:spacing w:val="-20"/>
                <w:sz w:val="20"/>
                <w:szCs w:val="20"/>
              </w:rPr>
            </w:pPr>
          </w:p>
          <w:p w14:paraId="37197B4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6859" w:type="dxa"/>
            <w:gridSpan w:val="5"/>
            <w:vAlign w:val="center"/>
          </w:tcPr>
          <w:p w14:paraId="0FE2854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4015" w:type="dxa"/>
            <w:gridSpan w:val="2"/>
            <w:vAlign w:val="center"/>
          </w:tcPr>
          <w:p w14:paraId="74481F4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2DA47C0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E149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AD344C3">
            <w:pPr>
              <w:spacing w:line="240" w:lineRule="atLeast"/>
              <w:jc w:val="left"/>
              <w:rPr>
                <w:rFonts w:ascii="仿宋_GB2312" w:hAnsi="仿宋_GB2312" w:eastAsia="仿宋_GB2312" w:cs="仿宋_GB2312"/>
                <w:sz w:val="20"/>
                <w:szCs w:val="20"/>
              </w:rPr>
            </w:pPr>
          </w:p>
        </w:tc>
        <w:tc>
          <w:tcPr>
            <w:tcW w:w="555" w:type="dxa"/>
            <w:vMerge w:val="continue"/>
          </w:tcPr>
          <w:p w14:paraId="596A1AAD">
            <w:pPr>
              <w:spacing w:line="240" w:lineRule="atLeast"/>
              <w:jc w:val="left"/>
              <w:rPr>
                <w:rFonts w:ascii="仿宋_GB2312" w:hAnsi="仿宋_GB2312" w:eastAsia="仿宋_GB2312" w:cs="仿宋_GB2312"/>
                <w:sz w:val="20"/>
                <w:szCs w:val="20"/>
              </w:rPr>
            </w:pPr>
          </w:p>
        </w:tc>
        <w:tc>
          <w:tcPr>
            <w:tcW w:w="600" w:type="dxa"/>
            <w:vAlign w:val="center"/>
          </w:tcPr>
          <w:p w14:paraId="3FDFF210">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0E905D9C">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1078006B">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58DD791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000" w:type="dxa"/>
            <w:vAlign w:val="center"/>
          </w:tcPr>
          <w:p w14:paraId="7124954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870" w:type="dxa"/>
            <w:vAlign w:val="center"/>
          </w:tcPr>
          <w:p w14:paraId="5CB7336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A3F8E4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10145" w:type="dxa"/>
            <w:vAlign w:val="center"/>
          </w:tcPr>
          <w:p w14:paraId="2B58298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67168C7E">
            <w:pPr>
              <w:spacing w:line="240" w:lineRule="atLeast"/>
              <w:jc w:val="left"/>
              <w:rPr>
                <w:rFonts w:ascii="仿宋_GB2312" w:hAnsi="仿宋_GB2312" w:eastAsia="仿宋_GB2312" w:cs="仿宋_GB2312"/>
                <w:sz w:val="20"/>
                <w:szCs w:val="20"/>
              </w:rPr>
            </w:pPr>
          </w:p>
        </w:tc>
      </w:tr>
      <w:tr w14:paraId="694D1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21EA565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22</w:t>
            </w:r>
          </w:p>
        </w:tc>
        <w:tc>
          <w:tcPr>
            <w:tcW w:w="555" w:type="dxa"/>
            <w:vAlign w:val="center"/>
          </w:tcPr>
          <w:p w14:paraId="1F40DA8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B25122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BAB142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52FFA6F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对拒不履行土地复垦义务行为的处罚</w:t>
            </w:r>
          </w:p>
        </w:tc>
        <w:tc>
          <w:tcPr>
            <w:tcW w:w="645" w:type="dxa"/>
            <w:vAlign w:val="center"/>
          </w:tcPr>
          <w:p w14:paraId="1541960C">
            <w:pPr>
              <w:snapToGrid w:val="0"/>
              <w:spacing w:line="240" w:lineRule="atLeast"/>
              <w:jc w:val="center"/>
              <w:rPr>
                <w:rFonts w:ascii="仿宋_GB2312" w:hAnsi="仿宋_GB2312" w:eastAsia="仿宋_GB2312" w:cs="仿宋_GB2312"/>
                <w:sz w:val="20"/>
                <w:szCs w:val="20"/>
              </w:rPr>
            </w:pPr>
          </w:p>
        </w:tc>
        <w:tc>
          <w:tcPr>
            <w:tcW w:w="585" w:type="dxa"/>
            <w:vAlign w:val="center"/>
          </w:tcPr>
          <w:p w14:paraId="5EAF7AD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6044013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000" w:type="dxa"/>
            <w:vAlign w:val="center"/>
          </w:tcPr>
          <w:p w14:paraId="0BDFAF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六条：违反本法规定，拒不履行土地复垦义务的，由县级以上人民政府自然资源主管部门责令限期改正；逾期不改正的，责令缴纳复垦费，专项用于土地复垦，可以处以罚款。</w:t>
            </w:r>
          </w:p>
          <w:p w14:paraId="1F3A6FB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六条：依照《土地管理法》第七十六条的规定处以罚款的，罚款额为土地复垦费的2倍以上5倍以下。</w:t>
            </w:r>
          </w:p>
          <w:p w14:paraId="037CEDD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违反本条例规定，临时用地期满之日起一年内未完成复垦或者未恢复种植条件的，由县级以上人民政府自然资源主管部门责令限期改正，依照《土地管理法》第七十六条的规定处罚，并由县级以上人民政府自然资源主管部门会同农业农村主管部门代为完成复垦或者恢复种植条件。</w:t>
            </w:r>
          </w:p>
        </w:tc>
        <w:tc>
          <w:tcPr>
            <w:tcW w:w="3870" w:type="dxa"/>
            <w:vAlign w:val="center"/>
          </w:tcPr>
          <w:p w14:paraId="585B13D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1BCC092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169C68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A7A1FB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55A398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5524BF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C57FFF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A14B77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10145" w:type="dxa"/>
            <w:vAlign w:val="center"/>
          </w:tcPr>
          <w:p w14:paraId="317F2521">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F31ACBF">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B214D9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8E7EC8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8E016D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B7FC2C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B22DA6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59595A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F40CCB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E03F3E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75C53A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4AE00D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5D5F6C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571280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CD735F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A78863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72DFC9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560CA2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BE6CB2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989968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DDDC644">
            <w:pPr>
              <w:snapToGrid w:val="0"/>
              <w:spacing w:line="240" w:lineRule="atLeast"/>
              <w:jc w:val="center"/>
              <w:rPr>
                <w:rFonts w:ascii="仿宋_GB2312" w:hAnsi="仿宋_GB2312" w:eastAsia="仿宋_GB2312" w:cs="仿宋_GB2312"/>
                <w:sz w:val="20"/>
                <w:szCs w:val="20"/>
              </w:rPr>
            </w:pPr>
          </w:p>
        </w:tc>
      </w:tr>
    </w:tbl>
    <w:p w14:paraId="4CF4861D"/>
    <w:p w14:paraId="612C005A"/>
    <w:p w14:paraId="2C40FDB2"/>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4000"/>
        <w:gridCol w:w="3780"/>
        <w:gridCol w:w="10235"/>
        <w:gridCol w:w="330"/>
      </w:tblGrid>
      <w:tr w14:paraId="657B5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7BD6896">
            <w:pPr>
              <w:snapToGrid w:val="0"/>
              <w:spacing w:line="240" w:lineRule="atLeast"/>
              <w:jc w:val="left"/>
              <w:rPr>
                <w:rFonts w:asciiTheme="majorEastAsia" w:hAnsiTheme="majorEastAsia" w:eastAsiaTheme="majorEastAsia" w:cstheme="majorEastAsia"/>
                <w:spacing w:val="-23"/>
                <w:sz w:val="20"/>
                <w:szCs w:val="20"/>
              </w:rPr>
            </w:pPr>
          </w:p>
          <w:p w14:paraId="3293685C">
            <w:pPr>
              <w:snapToGrid w:val="0"/>
              <w:spacing w:line="240" w:lineRule="atLeast"/>
              <w:jc w:val="left"/>
              <w:rPr>
                <w:rFonts w:asciiTheme="majorEastAsia" w:hAnsiTheme="majorEastAsia" w:eastAsiaTheme="majorEastAsia" w:cstheme="majorEastAsia"/>
                <w:spacing w:val="-23"/>
                <w:sz w:val="20"/>
                <w:szCs w:val="20"/>
              </w:rPr>
            </w:pPr>
          </w:p>
          <w:p w14:paraId="291EE2FB">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34DEFD13">
            <w:pPr>
              <w:spacing w:line="240" w:lineRule="atLeast"/>
              <w:rPr>
                <w:rFonts w:asciiTheme="majorEastAsia" w:hAnsiTheme="majorEastAsia" w:eastAsiaTheme="majorEastAsia" w:cstheme="majorEastAsia"/>
                <w:spacing w:val="-20"/>
                <w:sz w:val="20"/>
                <w:szCs w:val="20"/>
              </w:rPr>
            </w:pPr>
          </w:p>
          <w:p w14:paraId="455CF2E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6859" w:type="dxa"/>
            <w:gridSpan w:val="5"/>
            <w:vAlign w:val="center"/>
          </w:tcPr>
          <w:p w14:paraId="19B083E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4015" w:type="dxa"/>
            <w:gridSpan w:val="2"/>
            <w:vAlign w:val="center"/>
          </w:tcPr>
          <w:p w14:paraId="39A2B38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7886A59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DFFA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2C95C0E">
            <w:pPr>
              <w:spacing w:line="240" w:lineRule="atLeast"/>
              <w:jc w:val="left"/>
              <w:rPr>
                <w:rFonts w:ascii="仿宋_GB2312" w:hAnsi="仿宋_GB2312" w:eastAsia="仿宋_GB2312" w:cs="仿宋_GB2312"/>
                <w:sz w:val="20"/>
                <w:szCs w:val="20"/>
              </w:rPr>
            </w:pPr>
          </w:p>
        </w:tc>
        <w:tc>
          <w:tcPr>
            <w:tcW w:w="555" w:type="dxa"/>
            <w:vMerge w:val="continue"/>
          </w:tcPr>
          <w:p w14:paraId="646BF6A8">
            <w:pPr>
              <w:spacing w:line="240" w:lineRule="atLeast"/>
              <w:jc w:val="left"/>
              <w:rPr>
                <w:rFonts w:ascii="仿宋_GB2312" w:hAnsi="仿宋_GB2312" w:eastAsia="仿宋_GB2312" w:cs="仿宋_GB2312"/>
                <w:sz w:val="20"/>
                <w:szCs w:val="20"/>
              </w:rPr>
            </w:pPr>
          </w:p>
        </w:tc>
        <w:tc>
          <w:tcPr>
            <w:tcW w:w="600" w:type="dxa"/>
            <w:vAlign w:val="center"/>
          </w:tcPr>
          <w:p w14:paraId="0F380A10">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094AB8FD">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0A547E9C">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4752291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000" w:type="dxa"/>
            <w:vAlign w:val="center"/>
          </w:tcPr>
          <w:p w14:paraId="7019A02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780" w:type="dxa"/>
            <w:vAlign w:val="center"/>
          </w:tcPr>
          <w:p w14:paraId="7238514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5D70E4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10235" w:type="dxa"/>
            <w:vAlign w:val="center"/>
          </w:tcPr>
          <w:p w14:paraId="1509073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41C152C7">
            <w:pPr>
              <w:spacing w:line="240" w:lineRule="atLeast"/>
              <w:jc w:val="left"/>
              <w:rPr>
                <w:rFonts w:ascii="仿宋_GB2312" w:hAnsi="仿宋_GB2312" w:eastAsia="仿宋_GB2312" w:cs="仿宋_GB2312"/>
                <w:sz w:val="20"/>
                <w:szCs w:val="20"/>
              </w:rPr>
            </w:pPr>
          </w:p>
        </w:tc>
      </w:tr>
      <w:tr w14:paraId="33B1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737A11B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23</w:t>
            </w:r>
          </w:p>
        </w:tc>
        <w:tc>
          <w:tcPr>
            <w:tcW w:w="555" w:type="dxa"/>
            <w:vAlign w:val="center"/>
          </w:tcPr>
          <w:p w14:paraId="13AB066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F24A5F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7F32E5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0E107B7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对土地复垦义务人未按照规定补充编制土地复垦方案行为的处罚</w:t>
            </w:r>
          </w:p>
        </w:tc>
        <w:tc>
          <w:tcPr>
            <w:tcW w:w="645" w:type="dxa"/>
            <w:vAlign w:val="center"/>
          </w:tcPr>
          <w:p w14:paraId="56EA1D7B">
            <w:pPr>
              <w:snapToGrid w:val="0"/>
              <w:spacing w:line="240" w:lineRule="atLeast"/>
              <w:jc w:val="center"/>
              <w:rPr>
                <w:rFonts w:ascii="仿宋_GB2312" w:hAnsi="仿宋_GB2312" w:eastAsia="仿宋_GB2312" w:cs="仿宋_GB2312"/>
                <w:sz w:val="20"/>
                <w:szCs w:val="20"/>
              </w:rPr>
            </w:pPr>
          </w:p>
        </w:tc>
        <w:tc>
          <w:tcPr>
            <w:tcW w:w="585" w:type="dxa"/>
            <w:vAlign w:val="center"/>
          </w:tcPr>
          <w:p w14:paraId="0FFF62C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5FA61A9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000" w:type="dxa"/>
            <w:vAlign w:val="center"/>
          </w:tcPr>
          <w:p w14:paraId="3AE8782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六条：违反本法规定，拒不履行土地复垦义务的，由县级以上人民政府自然资源主管部门责令限期改正；逾期不改正的，责令缴纳复垦费，专项用于土地复垦，可以处以罚款。</w:t>
            </w:r>
          </w:p>
          <w:p w14:paraId="49BF026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土地复垦条例》（2011年国务院第592号令）第三十七条：本条例施行前已经办理建设用地手续或者领取采矿许可证，本条例施行后继续从事生产建设活动造成土地损毁的土地复垦义务人未按照规定补充编制土地复垦方案的，由县级以上地方人民政府国土资源主管部门责令限期改正；逾期不改正的，处10万元以上20万元以下的罚款。</w:t>
            </w:r>
          </w:p>
        </w:tc>
        <w:tc>
          <w:tcPr>
            <w:tcW w:w="3780" w:type="dxa"/>
            <w:vAlign w:val="center"/>
          </w:tcPr>
          <w:p w14:paraId="3C05C90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648D79E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21D64DF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E426C3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47CF21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372EB0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9BCBD5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3EDA69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10235" w:type="dxa"/>
            <w:vAlign w:val="center"/>
          </w:tcPr>
          <w:p w14:paraId="708DEB10">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C51C26A">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65FC8C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75380B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EFC869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C00F2D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21B5FB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936162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7FA7EE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61A3EC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143F3B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3CE9C4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78E856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243F31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4F0AF9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3FDA54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41580A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EDC8FC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FE32A0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94577F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4F20D3E">
            <w:pPr>
              <w:snapToGrid w:val="0"/>
              <w:spacing w:line="240" w:lineRule="atLeast"/>
              <w:jc w:val="center"/>
              <w:rPr>
                <w:rFonts w:ascii="仿宋_GB2312" w:hAnsi="仿宋_GB2312" w:eastAsia="仿宋_GB2312" w:cs="仿宋_GB2312"/>
                <w:sz w:val="20"/>
                <w:szCs w:val="20"/>
              </w:rPr>
            </w:pPr>
          </w:p>
        </w:tc>
      </w:tr>
    </w:tbl>
    <w:p w14:paraId="7C3C84B5"/>
    <w:p w14:paraId="271DF6A9"/>
    <w:p w14:paraId="5693DD8E"/>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3970"/>
        <w:gridCol w:w="3870"/>
        <w:gridCol w:w="10175"/>
        <w:gridCol w:w="330"/>
      </w:tblGrid>
      <w:tr w14:paraId="77E6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DD5A55D">
            <w:pPr>
              <w:snapToGrid w:val="0"/>
              <w:spacing w:line="240" w:lineRule="atLeast"/>
              <w:jc w:val="left"/>
              <w:rPr>
                <w:rFonts w:asciiTheme="majorEastAsia" w:hAnsiTheme="majorEastAsia" w:eastAsiaTheme="majorEastAsia" w:cstheme="majorEastAsia"/>
                <w:spacing w:val="-23"/>
                <w:sz w:val="20"/>
                <w:szCs w:val="20"/>
              </w:rPr>
            </w:pPr>
          </w:p>
          <w:p w14:paraId="680CC01C">
            <w:pPr>
              <w:snapToGrid w:val="0"/>
              <w:spacing w:line="240" w:lineRule="atLeast"/>
              <w:jc w:val="left"/>
              <w:rPr>
                <w:rFonts w:asciiTheme="majorEastAsia" w:hAnsiTheme="majorEastAsia" w:eastAsiaTheme="majorEastAsia" w:cstheme="majorEastAsia"/>
                <w:spacing w:val="-23"/>
                <w:sz w:val="20"/>
                <w:szCs w:val="20"/>
              </w:rPr>
            </w:pPr>
          </w:p>
          <w:p w14:paraId="26D84F76">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4EDECC0B">
            <w:pPr>
              <w:spacing w:line="240" w:lineRule="atLeast"/>
              <w:rPr>
                <w:rFonts w:asciiTheme="majorEastAsia" w:hAnsiTheme="majorEastAsia" w:eastAsiaTheme="majorEastAsia" w:cstheme="majorEastAsia"/>
                <w:spacing w:val="-20"/>
                <w:sz w:val="20"/>
                <w:szCs w:val="20"/>
              </w:rPr>
            </w:pPr>
          </w:p>
          <w:p w14:paraId="278A3BB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6829" w:type="dxa"/>
            <w:gridSpan w:val="5"/>
            <w:vAlign w:val="center"/>
          </w:tcPr>
          <w:p w14:paraId="18C050C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4045" w:type="dxa"/>
            <w:gridSpan w:val="2"/>
            <w:vAlign w:val="center"/>
          </w:tcPr>
          <w:p w14:paraId="26C73C7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18CC227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408C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01B6063">
            <w:pPr>
              <w:spacing w:line="240" w:lineRule="atLeast"/>
              <w:jc w:val="left"/>
              <w:rPr>
                <w:rFonts w:ascii="仿宋_GB2312" w:hAnsi="仿宋_GB2312" w:eastAsia="仿宋_GB2312" w:cs="仿宋_GB2312"/>
                <w:sz w:val="20"/>
                <w:szCs w:val="20"/>
              </w:rPr>
            </w:pPr>
          </w:p>
        </w:tc>
        <w:tc>
          <w:tcPr>
            <w:tcW w:w="555" w:type="dxa"/>
            <w:vMerge w:val="continue"/>
          </w:tcPr>
          <w:p w14:paraId="5FCF31C4">
            <w:pPr>
              <w:spacing w:line="240" w:lineRule="atLeast"/>
              <w:jc w:val="left"/>
              <w:rPr>
                <w:rFonts w:ascii="仿宋_GB2312" w:hAnsi="仿宋_GB2312" w:eastAsia="仿宋_GB2312" w:cs="仿宋_GB2312"/>
                <w:sz w:val="20"/>
                <w:szCs w:val="20"/>
              </w:rPr>
            </w:pPr>
          </w:p>
        </w:tc>
        <w:tc>
          <w:tcPr>
            <w:tcW w:w="600" w:type="dxa"/>
            <w:vAlign w:val="center"/>
          </w:tcPr>
          <w:p w14:paraId="6A55F90C">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4243AFE7">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149E4A23">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6138F9C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3970" w:type="dxa"/>
            <w:vAlign w:val="center"/>
          </w:tcPr>
          <w:p w14:paraId="1C934EC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870" w:type="dxa"/>
            <w:vAlign w:val="center"/>
          </w:tcPr>
          <w:p w14:paraId="6F6922B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A57D21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10175" w:type="dxa"/>
            <w:vAlign w:val="center"/>
          </w:tcPr>
          <w:p w14:paraId="31ED576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3929B974">
            <w:pPr>
              <w:spacing w:line="240" w:lineRule="atLeast"/>
              <w:jc w:val="left"/>
              <w:rPr>
                <w:rFonts w:ascii="仿宋_GB2312" w:hAnsi="仿宋_GB2312" w:eastAsia="仿宋_GB2312" w:cs="仿宋_GB2312"/>
                <w:sz w:val="20"/>
                <w:szCs w:val="20"/>
              </w:rPr>
            </w:pPr>
          </w:p>
        </w:tc>
      </w:tr>
      <w:tr w14:paraId="35EE3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03BE7F8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24</w:t>
            </w:r>
          </w:p>
        </w:tc>
        <w:tc>
          <w:tcPr>
            <w:tcW w:w="555" w:type="dxa"/>
            <w:vAlign w:val="center"/>
          </w:tcPr>
          <w:p w14:paraId="1DE7C17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0F2125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E2B6A2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23773FC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对土地复垦义务人未按照规定将土地复垦费用列入生产成本或者建设项目总投资行为的处罚</w:t>
            </w:r>
          </w:p>
        </w:tc>
        <w:tc>
          <w:tcPr>
            <w:tcW w:w="645" w:type="dxa"/>
            <w:vAlign w:val="center"/>
          </w:tcPr>
          <w:p w14:paraId="70FC83A6">
            <w:pPr>
              <w:snapToGrid w:val="0"/>
              <w:spacing w:line="240" w:lineRule="atLeast"/>
              <w:jc w:val="center"/>
              <w:rPr>
                <w:rFonts w:ascii="仿宋_GB2312" w:hAnsi="仿宋_GB2312" w:eastAsia="仿宋_GB2312" w:cs="仿宋_GB2312"/>
                <w:sz w:val="20"/>
                <w:szCs w:val="20"/>
              </w:rPr>
            </w:pPr>
          </w:p>
        </w:tc>
        <w:tc>
          <w:tcPr>
            <w:tcW w:w="585" w:type="dxa"/>
            <w:vAlign w:val="center"/>
          </w:tcPr>
          <w:p w14:paraId="771612A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7245E56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3970" w:type="dxa"/>
            <w:vAlign w:val="center"/>
          </w:tcPr>
          <w:p w14:paraId="0A008CA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土地复垦条例》（2011年国务院第592号令）第三十八条：土地复垦义务人未按照规定将土地复垦费用列入生产成本或者建设项目总投资的，由县级以上地方人民政府国土资源主管部门责令限期改正；逾期不改正的，处10万元以上50万元以下的罚款。</w:t>
            </w:r>
          </w:p>
        </w:tc>
        <w:tc>
          <w:tcPr>
            <w:tcW w:w="3870" w:type="dxa"/>
            <w:vAlign w:val="center"/>
          </w:tcPr>
          <w:p w14:paraId="311A89E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2C2102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D09C4E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566E60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DADCC4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4E122B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CE50AD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38B571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10175" w:type="dxa"/>
            <w:vAlign w:val="center"/>
          </w:tcPr>
          <w:p w14:paraId="0C8FA2E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9574A9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F85C6E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BC4092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7FAAE6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AD76D8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6A7E7B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D7C449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E1050B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43DB07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67DB1C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C3AAE1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8A3222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DA815C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57531E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8107B5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FA4BD8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A6C6B4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C1ED4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1635B4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956D05C">
            <w:pPr>
              <w:snapToGrid w:val="0"/>
              <w:spacing w:line="240" w:lineRule="atLeast"/>
              <w:jc w:val="center"/>
              <w:rPr>
                <w:rFonts w:ascii="仿宋_GB2312" w:hAnsi="仿宋_GB2312" w:eastAsia="仿宋_GB2312" w:cs="仿宋_GB2312"/>
                <w:sz w:val="20"/>
                <w:szCs w:val="20"/>
              </w:rPr>
            </w:pPr>
          </w:p>
        </w:tc>
      </w:tr>
    </w:tbl>
    <w:p w14:paraId="0D7128C4"/>
    <w:p w14:paraId="00C46102"/>
    <w:p w14:paraId="1563C678"/>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4690"/>
        <w:gridCol w:w="3675"/>
        <w:gridCol w:w="9650"/>
        <w:gridCol w:w="330"/>
      </w:tblGrid>
      <w:tr w14:paraId="3A8B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649F6EC">
            <w:pPr>
              <w:snapToGrid w:val="0"/>
              <w:spacing w:line="240" w:lineRule="atLeast"/>
              <w:jc w:val="left"/>
              <w:rPr>
                <w:rFonts w:asciiTheme="majorEastAsia" w:hAnsiTheme="majorEastAsia" w:eastAsiaTheme="majorEastAsia" w:cstheme="majorEastAsia"/>
                <w:spacing w:val="-23"/>
                <w:sz w:val="20"/>
                <w:szCs w:val="20"/>
              </w:rPr>
            </w:pPr>
          </w:p>
          <w:p w14:paraId="36B265F8">
            <w:pPr>
              <w:snapToGrid w:val="0"/>
              <w:spacing w:line="240" w:lineRule="atLeast"/>
              <w:jc w:val="left"/>
              <w:rPr>
                <w:rFonts w:asciiTheme="majorEastAsia" w:hAnsiTheme="majorEastAsia" w:eastAsiaTheme="majorEastAsia" w:cstheme="majorEastAsia"/>
                <w:spacing w:val="-23"/>
                <w:sz w:val="20"/>
                <w:szCs w:val="20"/>
              </w:rPr>
            </w:pPr>
          </w:p>
          <w:p w14:paraId="5503A2D8">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60F7A239">
            <w:pPr>
              <w:spacing w:line="240" w:lineRule="atLeast"/>
              <w:rPr>
                <w:rFonts w:asciiTheme="majorEastAsia" w:hAnsiTheme="majorEastAsia" w:eastAsiaTheme="majorEastAsia" w:cstheme="majorEastAsia"/>
                <w:spacing w:val="-20"/>
                <w:sz w:val="20"/>
                <w:szCs w:val="20"/>
              </w:rPr>
            </w:pPr>
          </w:p>
          <w:p w14:paraId="4F38105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549" w:type="dxa"/>
            <w:gridSpan w:val="5"/>
            <w:vAlign w:val="center"/>
          </w:tcPr>
          <w:p w14:paraId="39E012E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325" w:type="dxa"/>
            <w:gridSpan w:val="2"/>
            <w:vAlign w:val="center"/>
          </w:tcPr>
          <w:p w14:paraId="52244C0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5B60CBF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D4F8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2F87B71">
            <w:pPr>
              <w:spacing w:line="240" w:lineRule="atLeast"/>
              <w:jc w:val="left"/>
              <w:rPr>
                <w:rFonts w:ascii="仿宋_GB2312" w:hAnsi="仿宋_GB2312" w:eastAsia="仿宋_GB2312" w:cs="仿宋_GB2312"/>
                <w:sz w:val="20"/>
                <w:szCs w:val="20"/>
              </w:rPr>
            </w:pPr>
          </w:p>
        </w:tc>
        <w:tc>
          <w:tcPr>
            <w:tcW w:w="555" w:type="dxa"/>
            <w:vMerge w:val="continue"/>
          </w:tcPr>
          <w:p w14:paraId="5A5E2150">
            <w:pPr>
              <w:spacing w:line="240" w:lineRule="atLeast"/>
              <w:jc w:val="left"/>
              <w:rPr>
                <w:rFonts w:ascii="仿宋_GB2312" w:hAnsi="仿宋_GB2312" w:eastAsia="仿宋_GB2312" w:cs="仿宋_GB2312"/>
                <w:sz w:val="20"/>
                <w:szCs w:val="20"/>
              </w:rPr>
            </w:pPr>
          </w:p>
        </w:tc>
        <w:tc>
          <w:tcPr>
            <w:tcW w:w="600" w:type="dxa"/>
            <w:vAlign w:val="center"/>
          </w:tcPr>
          <w:p w14:paraId="3DD14038">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607BBAB8">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6F98E6AD">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7747232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90" w:type="dxa"/>
            <w:vAlign w:val="center"/>
          </w:tcPr>
          <w:p w14:paraId="5A4AEEB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675" w:type="dxa"/>
            <w:vAlign w:val="center"/>
          </w:tcPr>
          <w:p w14:paraId="5B4B197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E0985E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650" w:type="dxa"/>
            <w:vAlign w:val="center"/>
          </w:tcPr>
          <w:p w14:paraId="261591DA">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1A78A50A">
            <w:pPr>
              <w:spacing w:line="240" w:lineRule="atLeast"/>
              <w:jc w:val="left"/>
              <w:rPr>
                <w:rFonts w:ascii="仿宋_GB2312" w:hAnsi="仿宋_GB2312" w:eastAsia="仿宋_GB2312" w:cs="仿宋_GB2312"/>
                <w:sz w:val="20"/>
                <w:szCs w:val="20"/>
              </w:rPr>
            </w:pPr>
          </w:p>
        </w:tc>
      </w:tr>
      <w:tr w14:paraId="063F8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5316B7B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25</w:t>
            </w:r>
          </w:p>
        </w:tc>
        <w:tc>
          <w:tcPr>
            <w:tcW w:w="555" w:type="dxa"/>
            <w:vAlign w:val="center"/>
          </w:tcPr>
          <w:p w14:paraId="20CFA8A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CB6F77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33AA54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5A23143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对土地复垦义务人未按照规定对拟损毁的耕地、林地、牧草地进行表土剥离行为的处罚</w:t>
            </w:r>
          </w:p>
        </w:tc>
        <w:tc>
          <w:tcPr>
            <w:tcW w:w="645" w:type="dxa"/>
            <w:vAlign w:val="center"/>
          </w:tcPr>
          <w:p w14:paraId="7CAFA534">
            <w:pPr>
              <w:snapToGrid w:val="0"/>
              <w:spacing w:line="240" w:lineRule="atLeast"/>
              <w:jc w:val="center"/>
              <w:rPr>
                <w:rFonts w:ascii="仿宋_GB2312" w:hAnsi="仿宋_GB2312" w:eastAsia="仿宋_GB2312" w:cs="仿宋_GB2312"/>
                <w:sz w:val="20"/>
                <w:szCs w:val="20"/>
              </w:rPr>
            </w:pPr>
          </w:p>
        </w:tc>
        <w:tc>
          <w:tcPr>
            <w:tcW w:w="585" w:type="dxa"/>
            <w:vAlign w:val="center"/>
          </w:tcPr>
          <w:p w14:paraId="666388C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2846227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90" w:type="dxa"/>
            <w:vAlign w:val="center"/>
          </w:tcPr>
          <w:p w14:paraId="39FEA70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土地复垦条例》（2011年国务院第592号令）第三十九条：土地复垦义务人未按照规定对拟损毁的耕地、林地、牧草地进行表土剥离，由县级以上地方人民政府国土资源主管部门责令限期改正；逾期不改正的，按照应当进行表土剥离的土地面积处每公顷1万元的罚款。</w:t>
            </w:r>
          </w:p>
        </w:tc>
        <w:tc>
          <w:tcPr>
            <w:tcW w:w="3675" w:type="dxa"/>
            <w:vAlign w:val="center"/>
          </w:tcPr>
          <w:p w14:paraId="190AAA6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D9DAC7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DF51E7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263DAC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936DF4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6B5FFA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5B6908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6427D0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650" w:type="dxa"/>
            <w:vAlign w:val="center"/>
          </w:tcPr>
          <w:p w14:paraId="0F14CB2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4977A6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BDD1AD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EA9FB5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436A77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01FFD4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EFBA25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F312F6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BF0A67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66A92A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B4EE52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DDE132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F09A92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544111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798979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00F86D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7CEE9D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141EDF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3F6C97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FC17A7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BF78B9E">
            <w:pPr>
              <w:snapToGrid w:val="0"/>
              <w:spacing w:line="240" w:lineRule="atLeast"/>
              <w:jc w:val="center"/>
              <w:rPr>
                <w:rFonts w:ascii="仿宋_GB2312" w:hAnsi="仿宋_GB2312" w:eastAsia="仿宋_GB2312" w:cs="仿宋_GB2312"/>
                <w:sz w:val="20"/>
                <w:szCs w:val="20"/>
              </w:rPr>
            </w:pPr>
          </w:p>
        </w:tc>
      </w:tr>
    </w:tbl>
    <w:p w14:paraId="73F011EE"/>
    <w:p w14:paraId="50FF4E48"/>
    <w:p w14:paraId="6DD5A0A6"/>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994"/>
        <w:gridCol w:w="630"/>
        <w:gridCol w:w="600"/>
        <w:gridCol w:w="1020"/>
        <w:gridCol w:w="4365"/>
        <w:gridCol w:w="3885"/>
        <w:gridCol w:w="9380"/>
        <w:gridCol w:w="330"/>
      </w:tblGrid>
      <w:tr w14:paraId="5F0B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D729E66">
            <w:pPr>
              <w:snapToGrid w:val="0"/>
              <w:spacing w:line="240" w:lineRule="atLeast"/>
              <w:jc w:val="left"/>
              <w:rPr>
                <w:rFonts w:asciiTheme="majorEastAsia" w:hAnsiTheme="majorEastAsia" w:eastAsiaTheme="majorEastAsia" w:cstheme="majorEastAsia"/>
                <w:spacing w:val="-23"/>
                <w:sz w:val="20"/>
                <w:szCs w:val="20"/>
              </w:rPr>
            </w:pPr>
          </w:p>
          <w:p w14:paraId="073B1DB2">
            <w:pPr>
              <w:snapToGrid w:val="0"/>
              <w:spacing w:line="240" w:lineRule="atLeast"/>
              <w:jc w:val="left"/>
              <w:rPr>
                <w:rFonts w:asciiTheme="majorEastAsia" w:hAnsiTheme="majorEastAsia" w:eastAsiaTheme="majorEastAsia" w:cstheme="majorEastAsia"/>
                <w:spacing w:val="-23"/>
                <w:sz w:val="20"/>
                <w:szCs w:val="20"/>
              </w:rPr>
            </w:pPr>
          </w:p>
          <w:p w14:paraId="689CB14C">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5C565EE7">
            <w:pPr>
              <w:spacing w:line="240" w:lineRule="atLeast"/>
              <w:rPr>
                <w:rFonts w:asciiTheme="majorEastAsia" w:hAnsiTheme="majorEastAsia" w:eastAsiaTheme="majorEastAsia" w:cstheme="majorEastAsia"/>
                <w:spacing w:val="-20"/>
                <w:sz w:val="20"/>
                <w:szCs w:val="20"/>
              </w:rPr>
            </w:pPr>
          </w:p>
          <w:p w14:paraId="5261F13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609" w:type="dxa"/>
            <w:gridSpan w:val="5"/>
            <w:vAlign w:val="center"/>
          </w:tcPr>
          <w:p w14:paraId="713C8BB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265" w:type="dxa"/>
            <w:gridSpan w:val="2"/>
            <w:vAlign w:val="center"/>
          </w:tcPr>
          <w:p w14:paraId="54C2439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6FBBEA1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C40C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C58A810">
            <w:pPr>
              <w:spacing w:line="240" w:lineRule="atLeast"/>
              <w:jc w:val="left"/>
              <w:rPr>
                <w:rFonts w:ascii="仿宋_GB2312" w:hAnsi="仿宋_GB2312" w:eastAsia="仿宋_GB2312" w:cs="仿宋_GB2312"/>
                <w:sz w:val="20"/>
                <w:szCs w:val="20"/>
              </w:rPr>
            </w:pPr>
          </w:p>
        </w:tc>
        <w:tc>
          <w:tcPr>
            <w:tcW w:w="555" w:type="dxa"/>
            <w:vMerge w:val="continue"/>
          </w:tcPr>
          <w:p w14:paraId="259A9582">
            <w:pPr>
              <w:spacing w:line="240" w:lineRule="atLeast"/>
              <w:jc w:val="left"/>
              <w:rPr>
                <w:rFonts w:ascii="仿宋_GB2312" w:hAnsi="仿宋_GB2312" w:eastAsia="仿宋_GB2312" w:cs="仿宋_GB2312"/>
                <w:sz w:val="20"/>
                <w:szCs w:val="20"/>
              </w:rPr>
            </w:pPr>
          </w:p>
        </w:tc>
        <w:tc>
          <w:tcPr>
            <w:tcW w:w="994" w:type="dxa"/>
            <w:vAlign w:val="center"/>
          </w:tcPr>
          <w:p w14:paraId="32D07D12">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30" w:type="dxa"/>
            <w:vAlign w:val="center"/>
          </w:tcPr>
          <w:p w14:paraId="0D75B552">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00" w:type="dxa"/>
            <w:vAlign w:val="center"/>
          </w:tcPr>
          <w:p w14:paraId="108464E3">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0" w:type="dxa"/>
            <w:vAlign w:val="center"/>
          </w:tcPr>
          <w:p w14:paraId="612953E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365" w:type="dxa"/>
            <w:vAlign w:val="center"/>
          </w:tcPr>
          <w:p w14:paraId="3D9E4CC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885" w:type="dxa"/>
            <w:vAlign w:val="center"/>
          </w:tcPr>
          <w:p w14:paraId="6AB65FF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8BE8EF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380" w:type="dxa"/>
            <w:vAlign w:val="center"/>
          </w:tcPr>
          <w:p w14:paraId="4702ECA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1ACB77D7">
            <w:pPr>
              <w:spacing w:line="240" w:lineRule="atLeast"/>
              <w:jc w:val="left"/>
              <w:rPr>
                <w:rFonts w:ascii="仿宋_GB2312" w:hAnsi="仿宋_GB2312" w:eastAsia="仿宋_GB2312" w:cs="仿宋_GB2312"/>
                <w:sz w:val="20"/>
                <w:szCs w:val="20"/>
              </w:rPr>
            </w:pPr>
          </w:p>
        </w:tc>
      </w:tr>
      <w:tr w14:paraId="77C0E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0170C6E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26</w:t>
            </w:r>
          </w:p>
        </w:tc>
        <w:tc>
          <w:tcPr>
            <w:tcW w:w="555" w:type="dxa"/>
            <w:vAlign w:val="center"/>
          </w:tcPr>
          <w:p w14:paraId="4EAB962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3DB8E1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A04E5E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994" w:type="dxa"/>
            <w:vAlign w:val="center"/>
          </w:tcPr>
          <w:p w14:paraId="64F6A56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对土地复垦义务人未按照规定报告土地损毁情况、土地复垦费用使用情况或者土地复垦工程实施情况行为的处罚</w:t>
            </w:r>
          </w:p>
        </w:tc>
        <w:tc>
          <w:tcPr>
            <w:tcW w:w="630" w:type="dxa"/>
            <w:vAlign w:val="center"/>
          </w:tcPr>
          <w:p w14:paraId="7F471F2F">
            <w:pPr>
              <w:snapToGrid w:val="0"/>
              <w:spacing w:line="240" w:lineRule="atLeast"/>
              <w:jc w:val="center"/>
              <w:rPr>
                <w:rFonts w:ascii="仿宋_GB2312" w:hAnsi="仿宋_GB2312" w:eastAsia="仿宋_GB2312" w:cs="仿宋_GB2312"/>
                <w:sz w:val="20"/>
                <w:szCs w:val="20"/>
              </w:rPr>
            </w:pPr>
          </w:p>
        </w:tc>
        <w:tc>
          <w:tcPr>
            <w:tcW w:w="600" w:type="dxa"/>
            <w:vAlign w:val="center"/>
          </w:tcPr>
          <w:p w14:paraId="5C1F8D8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0" w:type="dxa"/>
            <w:vAlign w:val="center"/>
          </w:tcPr>
          <w:p w14:paraId="7CD2920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365" w:type="dxa"/>
            <w:vAlign w:val="center"/>
          </w:tcPr>
          <w:p w14:paraId="4CD101B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土地复垦条例》（2011年国务院第592号令）第四十一条：土地复垦义务人未按照规定报告土地损毁情况、土地复垦费用使用情况或者土地复垦工程实施情况的，由县级以上地方人民政府国土资源主管部门责令限期改正；逾期不改正的，处2万元以上5万元以下的罚款。</w:t>
            </w:r>
          </w:p>
        </w:tc>
        <w:tc>
          <w:tcPr>
            <w:tcW w:w="3885" w:type="dxa"/>
            <w:vAlign w:val="center"/>
          </w:tcPr>
          <w:p w14:paraId="15EE8E1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6AE9076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E9B04D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4CADBF2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8F406D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407FC9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DB608C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71F32C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380" w:type="dxa"/>
            <w:vAlign w:val="center"/>
          </w:tcPr>
          <w:p w14:paraId="748CF1E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4FB695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A7AE72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BC496B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6A4A0E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161C73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66C706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A6B246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2402DF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BF7CFD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9F3AFF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3DB298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DFFD41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45EAC0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1EAC28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AE5687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0DC492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41B77D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3959D7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81FC51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391E405">
            <w:pPr>
              <w:snapToGrid w:val="0"/>
              <w:spacing w:line="240" w:lineRule="atLeast"/>
              <w:jc w:val="center"/>
              <w:rPr>
                <w:rFonts w:ascii="仿宋_GB2312" w:hAnsi="仿宋_GB2312" w:eastAsia="仿宋_GB2312" w:cs="仿宋_GB2312"/>
                <w:sz w:val="20"/>
                <w:szCs w:val="20"/>
              </w:rPr>
            </w:pPr>
          </w:p>
        </w:tc>
      </w:tr>
    </w:tbl>
    <w:p w14:paraId="1C30C7C3"/>
    <w:p w14:paraId="3D6B8493"/>
    <w:p w14:paraId="11DC1A85"/>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4510"/>
        <w:gridCol w:w="3585"/>
        <w:gridCol w:w="9920"/>
        <w:gridCol w:w="330"/>
      </w:tblGrid>
      <w:tr w14:paraId="42625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5494078">
            <w:pPr>
              <w:snapToGrid w:val="0"/>
              <w:spacing w:line="240" w:lineRule="atLeast"/>
              <w:jc w:val="left"/>
              <w:rPr>
                <w:rFonts w:asciiTheme="majorEastAsia" w:hAnsiTheme="majorEastAsia" w:eastAsiaTheme="majorEastAsia" w:cstheme="majorEastAsia"/>
                <w:spacing w:val="-23"/>
                <w:sz w:val="20"/>
                <w:szCs w:val="20"/>
              </w:rPr>
            </w:pPr>
          </w:p>
          <w:p w14:paraId="0EC5B9E1">
            <w:pPr>
              <w:snapToGrid w:val="0"/>
              <w:spacing w:line="240" w:lineRule="atLeast"/>
              <w:jc w:val="left"/>
              <w:rPr>
                <w:rFonts w:asciiTheme="majorEastAsia" w:hAnsiTheme="majorEastAsia" w:eastAsiaTheme="majorEastAsia" w:cstheme="majorEastAsia"/>
                <w:spacing w:val="-23"/>
                <w:sz w:val="20"/>
                <w:szCs w:val="20"/>
              </w:rPr>
            </w:pPr>
          </w:p>
          <w:p w14:paraId="56A9B8CC">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0E62DAC2">
            <w:pPr>
              <w:spacing w:line="240" w:lineRule="atLeast"/>
              <w:rPr>
                <w:rFonts w:asciiTheme="majorEastAsia" w:hAnsiTheme="majorEastAsia" w:eastAsiaTheme="majorEastAsia" w:cstheme="majorEastAsia"/>
                <w:spacing w:val="-20"/>
                <w:sz w:val="20"/>
                <w:szCs w:val="20"/>
              </w:rPr>
            </w:pPr>
          </w:p>
          <w:p w14:paraId="7FD9FB0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369" w:type="dxa"/>
            <w:gridSpan w:val="5"/>
            <w:vAlign w:val="center"/>
          </w:tcPr>
          <w:p w14:paraId="6CF286B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505" w:type="dxa"/>
            <w:gridSpan w:val="2"/>
            <w:vAlign w:val="center"/>
          </w:tcPr>
          <w:p w14:paraId="283C5AA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63FBA8B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05E8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B25B320">
            <w:pPr>
              <w:spacing w:line="240" w:lineRule="atLeast"/>
              <w:jc w:val="left"/>
              <w:rPr>
                <w:rFonts w:ascii="仿宋_GB2312" w:hAnsi="仿宋_GB2312" w:eastAsia="仿宋_GB2312" w:cs="仿宋_GB2312"/>
                <w:sz w:val="20"/>
                <w:szCs w:val="20"/>
              </w:rPr>
            </w:pPr>
          </w:p>
        </w:tc>
        <w:tc>
          <w:tcPr>
            <w:tcW w:w="555" w:type="dxa"/>
            <w:vMerge w:val="continue"/>
          </w:tcPr>
          <w:p w14:paraId="41055FB5">
            <w:pPr>
              <w:spacing w:line="240" w:lineRule="atLeast"/>
              <w:jc w:val="left"/>
              <w:rPr>
                <w:rFonts w:ascii="仿宋_GB2312" w:hAnsi="仿宋_GB2312" w:eastAsia="仿宋_GB2312" w:cs="仿宋_GB2312"/>
                <w:sz w:val="20"/>
                <w:szCs w:val="20"/>
              </w:rPr>
            </w:pPr>
          </w:p>
        </w:tc>
        <w:tc>
          <w:tcPr>
            <w:tcW w:w="600" w:type="dxa"/>
            <w:vAlign w:val="center"/>
          </w:tcPr>
          <w:p w14:paraId="25730D00">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209C7CE6">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2BB962FE">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2BD4A9C6">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510" w:type="dxa"/>
            <w:vAlign w:val="center"/>
          </w:tcPr>
          <w:p w14:paraId="404BEE0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4FE56A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4B2A4A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920" w:type="dxa"/>
            <w:vAlign w:val="center"/>
          </w:tcPr>
          <w:p w14:paraId="1FB376F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405DBC7E">
            <w:pPr>
              <w:spacing w:line="240" w:lineRule="atLeast"/>
              <w:jc w:val="left"/>
              <w:rPr>
                <w:rFonts w:ascii="仿宋_GB2312" w:hAnsi="仿宋_GB2312" w:eastAsia="仿宋_GB2312" w:cs="仿宋_GB2312"/>
                <w:sz w:val="20"/>
                <w:szCs w:val="20"/>
              </w:rPr>
            </w:pPr>
          </w:p>
        </w:tc>
      </w:tr>
      <w:tr w14:paraId="7DE25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61E85C1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27</w:t>
            </w:r>
          </w:p>
        </w:tc>
        <w:tc>
          <w:tcPr>
            <w:tcW w:w="555" w:type="dxa"/>
            <w:vAlign w:val="center"/>
          </w:tcPr>
          <w:p w14:paraId="00936E6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2F05D0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CCF817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5691F8F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对土地复垦义务人不依法缴纳土地复垦费行为的处罚</w:t>
            </w:r>
          </w:p>
        </w:tc>
        <w:tc>
          <w:tcPr>
            <w:tcW w:w="645" w:type="dxa"/>
            <w:vAlign w:val="center"/>
          </w:tcPr>
          <w:p w14:paraId="0C9BBCB2">
            <w:pPr>
              <w:snapToGrid w:val="0"/>
              <w:spacing w:line="240" w:lineRule="atLeast"/>
              <w:jc w:val="center"/>
              <w:rPr>
                <w:rFonts w:ascii="仿宋_GB2312" w:hAnsi="仿宋_GB2312" w:eastAsia="仿宋_GB2312" w:cs="仿宋_GB2312"/>
                <w:sz w:val="20"/>
                <w:szCs w:val="20"/>
              </w:rPr>
            </w:pPr>
          </w:p>
        </w:tc>
        <w:tc>
          <w:tcPr>
            <w:tcW w:w="585" w:type="dxa"/>
            <w:vAlign w:val="center"/>
          </w:tcPr>
          <w:p w14:paraId="15A782E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1ED363B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510" w:type="dxa"/>
            <w:vAlign w:val="center"/>
          </w:tcPr>
          <w:p w14:paraId="4750D77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土地复垦条例》（2011年国务院第592号令）第四十二条：土地复垦义务人依照本条例规定应当缴纳土地复垦费而不缴纳的，由县级以上地方人民政府国土资源主管部门责令限期缴纳；逾期不缴纳的，处应缴纳土地复垦费1倍以上2倍以下的罚款，土地复垦义务人为矿山企业的，由颁发采矿许可证的机关吊销采矿许可证。</w:t>
            </w:r>
          </w:p>
        </w:tc>
        <w:tc>
          <w:tcPr>
            <w:tcW w:w="3585" w:type="dxa"/>
            <w:vAlign w:val="center"/>
          </w:tcPr>
          <w:p w14:paraId="07D8B68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AF55DB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4426F1C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AEA466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792C261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D36FE9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9B1952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1EBDCC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920" w:type="dxa"/>
            <w:vAlign w:val="center"/>
          </w:tcPr>
          <w:p w14:paraId="21CC7EDB">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3B23DD6">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38D698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5622C1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845348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8FA4C7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6908C4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8C4767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CBFBE8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3B88E1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AD40EB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C6B1D9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219220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58CD5F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DAF5E4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D95E5B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74DA78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9D8544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FFE035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424397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7713F0F">
            <w:pPr>
              <w:snapToGrid w:val="0"/>
              <w:spacing w:line="240" w:lineRule="atLeast"/>
              <w:jc w:val="center"/>
              <w:rPr>
                <w:rFonts w:ascii="仿宋_GB2312" w:hAnsi="仿宋_GB2312" w:eastAsia="仿宋_GB2312" w:cs="仿宋_GB2312"/>
                <w:sz w:val="20"/>
                <w:szCs w:val="20"/>
              </w:rPr>
            </w:pPr>
          </w:p>
        </w:tc>
      </w:tr>
    </w:tbl>
    <w:p w14:paraId="3C4911A8"/>
    <w:p w14:paraId="0DACA40A"/>
    <w:p w14:paraId="4B3E5AAC"/>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1"/>
        <w:gridCol w:w="631"/>
        <w:gridCol w:w="858"/>
        <w:gridCol w:w="600"/>
        <w:gridCol w:w="630"/>
        <w:gridCol w:w="1020"/>
        <w:gridCol w:w="4077"/>
        <w:gridCol w:w="3555"/>
        <w:gridCol w:w="10058"/>
        <w:gridCol w:w="330"/>
      </w:tblGrid>
      <w:tr w14:paraId="0162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1" w:hRule="atLeast"/>
        </w:trPr>
        <w:tc>
          <w:tcPr>
            <w:tcW w:w="611" w:type="dxa"/>
            <w:vMerge w:val="restart"/>
            <w:vAlign w:val="center"/>
          </w:tcPr>
          <w:p w14:paraId="7B704EE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631" w:type="dxa"/>
            <w:vMerge w:val="restart"/>
            <w:vAlign w:val="center"/>
          </w:tcPr>
          <w:p w14:paraId="0B249952">
            <w:pPr>
              <w:spacing w:line="240" w:lineRule="atLeast"/>
              <w:rPr>
                <w:rFonts w:asciiTheme="majorEastAsia" w:hAnsiTheme="majorEastAsia" w:eastAsiaTheme="majorEastAsia" w:cstheme="majorEastAsia"/>
                <w:spacing w:val="-20"/>
                <w:sz w:val="20"/>
                <w:szCs w:val="20"/>
              </w:rPr>
            </w:pPr>
          </w:p>
          <w:p w14:paraId="1AAB1BE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w:t>
            </w:r>
          </w:p>
          <w:p w14:paraId="398447E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分类</w:t>
            </w:r>
          </w:p>
        </w:tc>
        <w:tc>
          <w:tcPr>
            <w:tcW w:w="7185" w:type="dxa"/>
            <w:gridSpan w:val="5"/>
            <w:vAlign w:val="center"/>
          </w:tcPr>
          <w:p w14:paraId="78E2C1C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613" w:type="dxa"/>
            <w:gridSpan w:val="2"/>
            <w:vAlign w:val="center"/>
          </w:tcPr>
          <w:p w14:paraId="3750457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40DA5FE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1C75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611" w:type="dxa"/>
            <w:vMerge w:val="continue"/>
          </w:tcPr>
          <w:p w14:paraId="7B3AB437">
            <w:pPr>
              <w:spacing w:line="240" w:lineRule="atLeast"/>
              <w:jc w:val="left"/>
              <w:rPr>
                <w:rFonts w:ascii="仿宋_GB2312" w:hAnsi="仿宋_GB2312" w:eastAsia="仿宋_GB2312" w:cs="仿宋_GB2312"/>
                <w:sz w:val="20"/>
                <w:szCs w:val="20"/>
              </w:rPr>
            </w:pPr>
          </w:p>
        </w:tc>
        <w:tc>
          <w:tcPr>
            <w:tcW w:w="631" w:type="dxa"/>
            <w:vMerge w:val="continue"/>
          </w:tcPr>
          <w:p w14:paraId="6BD96B8A">
            <w:pPr>
              <w:spacing w:line="240" w:lineRule="atLeast"/>
              <w:jc w:val="left"/>
              <w:rPr>
                <w:rFonts w:ascii="仿宋_GB2312" w:hAnsi="仿宋_GB2312" w:eastAsia="仿宋_GB2312" w:cs="仿宋_GB2312"/>
                <w:sz w:val="20"/>
                <w:szCs w:val="20"/>
              </w:rPr>
            </w:pPr>
          </w:p>
        </w:tc>
        <w:tc>
          <w:tcPr>
            <w:tcW w:w="858" w:type="dxa"/>
            <w:vAlign w:val="center"/>
          </w:tcPr>
          <w:p w14:paraId="0115358D">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00" w:type="dxa"/>
            <w:vAlign w:val="center"/>
          </w:tcPr>
          <w:p w14:paraId="1D4D7394">
            <w:pPr>
              <w:adjustRightInd w:val="0"/>
              <w:snapToGrid w:val="0"/>
              <w:spacing w:line="240" w:lineRule="exact"/>
              <w:ind w:firstLine="158" w:firstLineChars="100"/>
              <w:rPr>
                <w:rFonts w:asciiTheme="minorEastAsia" w:hAnsiTheme="minorEastAsia" w:cstheme="minorEastAsia"/>
                <w:spacing w:val="-11"/>
                <w:sz w:val="18"/>
                <w:szCs w:val="18"/>
              </w:rPr>
            </w:pPr>
            <w:r>
              <w:rPr>
                <w:rFonts w:hint="eastAsia" w:asciiTheme="minorEastAsia" w:hAnsiTheme="minorEastAsia" w:cstheme="minorEastAsia"/>
                <w:spacing w:val="-11"/>
                <w:sz w:val="18"/>
                <w:szCs w:val="18"/>
              </w:rPr>
              <w:t>子项</w:t>
            </w:r>
          </w:p>
          <w:p w14:paraId="4E45927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名 称</w:t>
            </w:r>
          </w:p>
        </w:tc>
        <w:tc>
          <w:tcPr>
            <w:tcW w:w="630" w:type="dxa"/>
            <w:vAlign w:val="center"/>
          </w:tcPr>
          <w:p w14:paraId="650DC53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w:t>
            </w:r>
          </w:p>
          <w:p w14:paraId="7414BEF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主体</w:t>
            </w:r>
          </w:p>
        </w:tc>
        <w:tc>
          <w:tcPr>
            <w:tcW w:w="1020" w:type="dxa"/>
            <w:vAlign w:val="center"/>
          </w:tcPr>
          <w:p w14:paraId="4B97919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077" w:type="dxa"/>
            <w:vAlign w:val="center"/>
          </w:tcPr>
          <w:p w14:paraId="5558CA2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55" w:type="dxa"/>
            <w:vAlign w:val="center"/>
          </w:tcPr>
          <w:p w14:paraId="1B57496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C989E7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10058" w:type="dxa"/>
            <w:vAlign w:val="center"/>
          </w:tcPr>
          <w:p w14:paraId="5691E31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075C4811">
            <w:pPr>
              <w:spacing w:line="240" w:lineRule="atLeast"/>
              <w:jc w:val="left"/>
              <w:rPr>
                <w:rFonts w:ascii="仿宋_GB2312" w:hAnsi="仿宋_GB2312" w:eastAsia="仿宋_GB2312" w:cs="仿宋_GB2312"/>
                <w:sz w:val="20"/>
                <w:szCs w:val="20"/>
              </w:rPr>
            </w:pPr>
          </w:p>
        </w:tc>
      </w:tr>
      <w:tr w14:paraId="1AAD8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02" w:hRule="atLeast"/>
        </w:trPr>
        <w:tc>
          <w:tcPr>
            <w:tcW w:w="611" w:type="dxa"/>
            <w:vAlign w:val="center"/>
          </w:tcPr>
          <w:p w14:paraId="09FD306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28</w:t>
            </w:r>
          </w:p>
        </w:tc>
        <w:tc>
          <w:tcPr>
            <w:tcW w:w="631" w:type="dxa"/>
            <w:vAlign w:val="center"/>
          </w:tcPr>
          <w:p w14:paraId="40E7214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行政处罚</w:t>
            </w:r>
          </w:p>
        </w:tc>
        <w:tc>
          <w:tcPr>
            <w:tcW w:w="858" w:type="dxa"/>
            <w:vAlign w:val="center"/>
          </w:tcPr>
          <w:p w14:paraId="54B2622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对土地复垦义务人拒绝、阻碍自然资源主管部门监督检查或者在接受监督检查时弄虚作假行为的处罚</w:t>
            </w:r>
          </w:p>
        </w:tc>
        <w:tc>
          <w:tcPr>
            <w:tcW w:w="600" w:type="dxa"/>
            <w:vAlign w:val="center"/>
          </w:tcPr>
          <w:p w14:paraId="49C000DE">
            <w:pPr>
              <w:snapToGrid w:val="0"/>
              <w:spacing w:line="240" w:lineRule="atLeast"/>
              <w:jc w:val="center"/>
              <w:rPr>
                <w:rFonts w:ascii="仿宋_GB2312" w:hAnsi="仿宋_GB2312" w:eastAsia="仿宋_GB2312" w:cs="仿宋_GB2312"/>
                <w:sz w:val="20"/>
                <w:szCs w:val="20"/>
              </w:rPr>
            </w:pPr>
          </w:p>
        </w:tc>
        <w:tc>
          <w:tcPr>
            <w:tcW w:w="630" w:type="dxa"/>
            <w:vAlign w:val="center"/>
          </w:tcPr>
          <w:p w14:paraId="0268399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0" w:type="dxa"/>
            <w:vAlign w:val="center"/>
          </w:tcPr>
          <w:p w14:paraId="4653C05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077" w:type="dxa"/>
            <w:vAlign w:val="center"/>
          </w:tcPr>
          <w:p w14:paraId="16E92A9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土地复垦条例》（2011年国务院第592号令）第四十三条：土地复垦义务人拒绝、阻碍国土资源主管部门监督检查，或者在接受监督检查时弄虚作假的，由国土资源主管部门责令改正，处2万元以上5万元以下的罚款；有关责任人员构成违反治安管理行为的，由公安机关依法予以治安管理处罚；有关责任人员构成犯罪的，依法追究刑事责任。</w:t>
            </w:r>
          </w:p>
          <w:p w14:paraId="17C5BBC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破坏土地复垦工程、设施和设备，构成违反治安管理行为的，由公安机关依法予以治安管理处罚；构成犯罪的，依法追究刑事责任。</w:t>
            </w:r>
          </w:p>
        </w:tc>
        <w:tc>
          <w:tcPr>
            <w:tcW w:w="3555" w:type="dxa"/>
            <w:vAlign w:val="center"/>
          </w:tcPr>
          <w:p w14:paraId="3210E70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0DB6B7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DF0FE5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080EF3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1F7B65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0A1008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96E5D8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1C227A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10058" w:type="dxa"/>
            <w:vAlign w:val="center"/>
          </w:tcPr>
          <w:p w14:paraId="4DEDFA0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9FDDDB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9369D3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BDAD93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7C0664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BB2ED7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C22AB4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172A11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EEB628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2CC2E0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84B807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505B4B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91DF81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DC8EF1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96059E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3ACBF7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18FCA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687447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DDD6D2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AEE743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617521E">
            <w:pPr>
              <w:snapToGrid w:val="0"/>
              <w:spacing w:line="240" w:lineRule="atLeast"/>
              <w:jc w:val="center"/>
              <w:rPr>
                <w:rFonts w:ascii="仿宋_GB2312" w:hAnsi="仿宋_GB2312" w:eastAsia="仿宋_GB2312" w:cs="仿宋_GB2312"/>
                <w:sz w:val="20"/>
                <w:szCs w:val="20"/>
              </w:rPr>
            </w:pPr>
          </w:p>
        </w:tc>
      </w:tr>
    </w:tbl>
    <w:p w14:paraId="01782B2D"/>
    <w:p w14:paraId="0BA15AB4"/>
    <w:p w14:paraId="2D445B4D"/>
    <w:p w14:paraId="73D6F8BB"/>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4735"/>
        <w:gridCol w:w="4050"/>
        <w:gridCol w:w="9230"/>
        <w:gridCol w:w="330"/>
      </w:tblGrid>
      <w:tr w14:paraId="068D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EA6CDEB">
            <w:pPr>
              <w:snapToGrid w:val="0"/>
              <w:spacing w:line="240" w:lineRule="atLeast"/>
              <w:jc w:val="left"/>
              <w:rPr>
                <w:rFonts w:asciiTheme="majorEastAsia" w:hAnsiTheme="majorEastAsia" w:eastAsiaTheme="majorEastAsia" w:cstheme="majorEastAsia"/>
                <w:spacing w:val="-23"/>
                <w:sz w:val="20"/>
                <w:szCs w:val="20"/>
              </w:rPr>
            </w:pPr>
          </w:p>
          <w:p w14:paraId="43C20660">
            <w:pPr>
              <w:snapToGrid w:val="0"/>
              <w:spacing w:line="240" w:lineRule="atLeast"/>
              <w:jc w:val="left"/>
              <w:rPr>
                <w:rFonts w:asciiTheme="majorEastAsia" w:hAnsiTheme="majorEastAsia" w:eastAsiaTheme="majorEastAsia" w:cstheme="majorEastAsia"/>
                <w:spacing w:val="-23"/>
                <w:sz w:val="20"/>
                <w:szCs w:val="20"/>
              </w:rPr>
            </w:pPr>
          </w:p>
          <w:p w14:paraId="4FABBB9E">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46AE1D5A">
            <w:pPr>
              <w:spacing w:line="240" w:lineRule="atLeast"/>
              <w:rPr>
                <w:rFonts w:asciiTheme="majorEastAsia" w:hAnsiTheme="majorEastAsia" w:eastAsiaTheme="majorEastAsia" w:cstheme="majorEastAsia"/>
                <w:spacing w:val="-20"/>
                <w:sz w:val="20"/>
                <w:szCs w:val="20"/>
              </w:rPr>
            </w:pPr>
          </w:p>
          <w:p w14:paraId="2AE1805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594" w:type="dxa"/>
            <w:gridSpan w:val="5"/>
            <w:vAlign w:val="center"/>
          </w:tcPr>
          <w:p w14:paraId="5F73C86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280" w:type="dxa"/>
            <w:gridSpan w:val="2"/>
            <w:vAlign w:val="center"/>
          </w:tcPr>
          <w:p w14:paraId="7A80722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05BE6C0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4F53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57FAC24">
            <w:pPr>
              <w:spacing w:line="240" w:lineRule="atLeast"/>
              <w:jc w:val="left"/>
              <w:rPr>
                <w:rFonts w:ascii="仿宋_GB2312" w:hAnsi="仿宋_GB2312" w:eastAsia="仿宋_GB2312" w:cs="仿宋_GB2312"/>
                <w:sz w:val="20"/>
                <w:szCs w:val="20"/>
              </w:rPr>
            </w:pPr>
          </w:p>
        </w:tc>
        <w:tc>
          <w:tcPr>
            <w:tcW w:w="555" w:type="dxa"/>
            <w:vMerge w:val="continue"/>
          </w:tcPr>
          <w:p w14:paraId="395D9ABD">
            <w:pPr>
              <w:spacing w:line="240" w:lineRule="atLeast"/>
              <w:jc w:val="left"/>
              <w:rPr>
                <w:rFonts w:ascii="仿宋_GB2312" w:hAnsi="仿宋_GB2312" w:eastAsia="仿宋_GB2312" w:cs="仿宋_GB2312"/>
                <w:sz w:val="20"/>
                <w:szCs w:val="20"/>
              </w:rPr>
            </w:pPr>
          </w:p>
        </w:tc>
        <w:tc>
          <w:tcPr>
            <w:tcW w:w="600" w:type="dxa"/>
            <w:vAlign w:val="center"/>
          </w:tcPr>
          <w:p w14:paraId="42E7F3C9">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479F59F1">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18AFEBE9">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647FD5B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735" w:type="dxa"/>
            <w:vAlign w:val="center"/>
          </w:tcPr>
          <w:p w14:paraId="6ECD8CB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050" w:type="dxa"/>
            <w:vAlign w:val="center"/>
          </w:tcPr>
          <w:p w14:paraId="0CC23BD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7E0943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230" w:type="dxa"/>
            <w:vAlign w:val="center"/>
          </w:tcPr>
          <w:p w14:paraId="7FF9399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32952E1A">
            <w:pPr>
              <w:spacing w:line="240" w:lineRule="atLeast"/>
              <w:jc w:val="left"/>
              <w:rPr>
                <w:rFonts w:ascii="仿宋_GB2312" w:hAnsi="仿宋_GB2312" w:eastAsia="仿宋_GB2312" w:cs="仿宋_GB2312"/>
                <w:sz w:val="20"/>
                <w:szCs w:val="20"/>
              </w:rPr>
            </w:pPr>
          </w:p>
        </w:tc>
      </w:tr>
      <w:tr w14:paraId="78C8D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63C2310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29</w:t>
            </w:r>
          </w:p>
        </w:tc>
        <w:tc>
          <w:tcPr>
            <w:tcW w:w="555" w:type="dxa"/>
            <w:vAlign w:val="center"/>
          </w:tcPr>
          <w:p w14:paraId="17E0B48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F49994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EF41E8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49C4F34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对在国土空间规划确定的禁止开垦的范围内从事土地开发活动的处罚</w:t>
            </w:r>
          </w:p>
        </w:tc>
        <w:tc>
          <w:tcPr>
            <w:tcW w:w="645" w:type="dxa"/>
            <w:vAlign w:val="center"/>
          </w:tcPr>
          <w:p w14:paraId="623D6488">
            <w:pPr>
              <w:snapToGrid w:val="0"/>
              <w:spacing w:line="240" w:lineRule="atLeast"/>
              <w:jc w:val="center"/>
              <w:rPr>
                <w:rFonts w:ascii="仿宋_GB2312" w:hAnsi="仿宋_GB2312" w:eastAsia="仿宋_GB2312" w:cs="仿宋_GB2312"/>
                <w:sz w:val="20"/>
                <w:szCs w:val="20"/>
              </w:rPr>
            </w:pPr>
          </w:p>
        </w:tc>
        <w:tc>
          <w:tcPr>
            <w:tcW w:w="585" w:type="dxa"/>
            <w:vAlign w:val="center"/>
          </w:tcPr>
          <w:p w14:paraId="5BFBE71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54659FA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735" w:type="dxa"/>
            <w:vAlign w:val="center"/>
          </w:tcPr>
          <w:p w14:paraId="6A4DDC6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七条：未经批准或者采取欺骗手段骗取批准，非法占用土地的，由县级以上人民政府自然资源主管部门责令退还非法占用的土地，对违反土地利用总体规划擅自将农用地改为建设用地的，限期拆除在非法占用的土地上新建的建筑物和其他设施，恢复土地原状，对符合土地利用总体规划的，没收在非法占用的土地上新建的建筑物和其他设施，可以并处罚款；对非法占用土地单位的直接负责的主管人员和其他直接责任人员，依法给予处分；构成犯罪的，依法追究刑事责任。</w:t>
            </w:r>
          </w:p>
          <w:p w14:paraId="23683B9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七条：依照《土地管理法》第七十七条的规定处以罚款的，罚款额为非法占用土地每平方米100元以上1000元以下。</w:t>
            </w:r>
          </w:p>
          <w:p w14:paraId="2FF96D7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违反本条例规定，在国土空间规划确定的禁止开垦的范围内从事土地开发活动的，由县级以上人民政府自然资源主管部门责令限期改正，并依照《土地管理法》第七十七条的规定处罚。</w:t>
            </w:r>
          </w:p>
        </w:tc>
        <w:tc>
          <w:tcPr>
            <w:tcW w:w="4050" w:type="dxa"/>
            <w:vAlign w:val="center"/>
          </w:tcPr>
          <w:p w14:paraId="0F845FA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530BE7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9C5B94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12BDB6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459D01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91C962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CBAE32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BF446C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230" w:type="dxa"/>
            <w:vAlign w:val="center"/>
          </w:tcPr>
          <w:p w14:paraId="343AAFC0">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AAE0F90">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1F7F5D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F059E2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595C43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1D15CD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B29E80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22FD38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74611A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79C3B4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86DCCC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49488C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7E181A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1C2CCE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FE9736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02359D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7540C0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9F9377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4CBD5C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AB80B0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61B4D39">
            <w:pPr>
              <w:snapToGrid w:val="0"/>
              <w:spacing w:line="240" w:lineRule="atLeast"/>
              <w:jc w:val="center"/>
              <w:rPr>
                <w:rFonts w:ascii="仿宋_GB2312" w:hAnsi="仿宋_GB2312" w:eastAsia="仿宋_GB2312" w:cs="仿宋_GB2312"/>
                <w:sz w:val="20"/>
                <w:szCs w:val="20"/>
              </w:rPr>
            </w:pPr>
          </w:p>
        </w:tc>
      </w:tr>
    </w:tbl>
    <w:p w14:paraId="670836E7"/>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844"/>
        <w:gridCol w:w="615"/>
        <w:gridCol w:w="660"/>
        <w:gridCol w:w="1020"/>
        <w:gridCol w:w="4845"/>
        <w:gridCol w:w="3720"/>
        <w:gridCol w:w="9170"/>
        <w:gridCol w:w="330"/>
      </w:tblGrid>
      <w:tr w14:paraId="0B9DD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6821907">
            <w:pPr>
              <w:snapToGrid w:val="0"/>
              <w:spacing w:line="240" w:lineRule="atLeast"/>
              <w:jc w:val="left"/>
              <w:rPr>
                <w:rFonts w:asciiTheme="majorEastAsia" w:hAnsiTheme="majorEastAsia" w:eastAsiaTheme="majorEastAsia" w:cstheme="majorEastAsia"/>
                <w:spacing w:val="-23"/>
                <w:sz w:val="20"/>
                <w:szCs w:val="20"/>
              </w:rPr>
            </w:pPr>
          </w:p>
          <w:p w14:paraId="2BEFA610">
            <w:pPr>
              <w:snapToGrid w:val="0"/>
              <w:spacing w:line="240" w:lineRule="atLeast"/>
              <w:jc w:val="left"/>
              <w:rPr>
                <w:rFonts w:asciiTheme="majorEastAsia" w:hAnsiTheme="majorEastAsia" w:eastAsiaTheme="majorEastAsia" w:cstheme="majorEastAsia"/>
                <w:spacing w:val="-23"/>
                <w:sz w:val="20"/>
                <w:szCs w:val="20"/>
              </w:rPr>
            </w:pPr>
          </w:p>
          <w:p w14:paraId="34D0B522">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17BF7E09">
            <w:pPr>
              <w:spacing w:line="240" w:lineRule="atLeast"/>
              <w:rPr>
                <w:rFonts w:asciiTheme="majorEastAsia" w:hAnsiTheme="majorEastAsia" w:eastAsiaTheme="majorEastAsia" w:cstheme="majorEastAsia"/>
                <w:spacing w:val="-20"/>
                <w:sz w:val="20"/>
                <w:szCs w:val="20"/>
              </w:rPr>
            </w:pPr>
          </w:p>
          <w:p w14:paraId="2E9E357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984" w:type="dxa"/>
            <w:gridSpan w:val="5"/>
            <w:vAlign w:val="center"/>
          </w:tcPr>
          <w:p w14:paraId="7BB23BC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2890" w:type="dxa"/>
            <w:gridSpan w:val="2"/>
            <w:vAlign w:val="center"/>
          </w:tcPr>
          <w:p w14:paraId="008297A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2BEAE1A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A0A4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9A0A193">
            <w:pPr>
              <w:spacing w:line="240" w:lineRule="atLeast"/>
              <w:jc w:val="left"/>
              <w:rPr>
                <w:rFonts w:ascii="仿宋_GB2312" w:hAnsi="仿宋_GB2312" w:eastAsia="仿宋_GB2312" w:cs="仿宋_GB2312"/>
                <w:sz w:val="20"/>
                <w:szCs w:val="20"/>
              </w:rPr>
            </w:pPr>
          </w:p>
        </w:tc>
        <w:tc>
          <w:tcPr>
            <w:tcW w:w="555" w:type="dxa"/>
            <w:vMerge w:val="continue"/>
          </w:tcPr>
          <w:p w14:paraId="1D795673">
            <w:pPr>
              <w:spacing w:line="240" w:lineRule="atLeast"/>
              <w:jc w:val="left"/>
              <w:rPr>
                <w:rFonts w:ascii="仿宋_GB2312" w:hAnsi="仿宋_GB2312" w:eastAsia="仿宋_GB2312" w:cs="仿宋_GB2312"/>
                <w:sz w:val="20"/>
                <w:szCs w:val="20"/>
              </w:rPr>
            </w:pPr>
          </w:p>
        </w:tc>
        <w:tc>
          <w:tcPr>
            <w:tcW w:w="844" w:type="dxa"/>
            <w:vAlign w:val="center"/>
          </w:tcPr>
          <w:p w14:paraId="017A5EC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16FE01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15" w:type="dxa"/>
            <w:vAlign w:val="center"/>
          </w:tcPr>
          <w:p w14:paraId="6927676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60" w:type="dxa"/>
            <w:vAlign w:val="center"/>
          </w:tcPr>
          <w:p w14:paraId="1A6F7E4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0" w:type="dxa"/>
            <w:vAlign w:val="center"/>
          </w:tcPr>
          <w:p w14:paraId="49303CF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845" w:type="dxa"/>
            <w:vAlign w:val="center"/>
          </w:tcPr>
          <w:p w14:paraId="413E3C8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720" w:type="dxa"/>
            <w:vAlign w:val="center"/>
          </w:tcPr>
          <w:p w14:paraId="414AC2A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A325AD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170" w:type="dxa"/>
            <w:vAlign w:val="center"/>
          </w:tcPr>
          <w:p w14:paraId="32111E1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4680D4F6">
            <w:pPr>
              <w:spacing w:line="240" w:lineRule="atLeast"/>
              <w:jc w:val="left"/>
              <w:rPr>
                <w:rFonts w:ascii="仿宋_GB2312" w:hAnsi="仿宋_GB2312" w:eastAsia="仿宋_GB2312" w:cs="仿宋_GB2312"/>
                <w:sz w:val="20"/>
                <w:szCs w:val="20"/>
              </w:rPr>
            </w:pPr>
          </w:p>
        </w:tc>
      </w:tr>
      <w:tr w14:paraId="24915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5090102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30</w:t>
            </w:r>
          </w:p>
        </w:tc>
        <w:tc>
          <w:tcPr>
            <w:tcW w:w="555" w:type="dxa"/>
            <w:vAlign w:val="center"/>
          </w:tcPr>
          <w:p w14:paraId="57836F1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2DDE1A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9E078D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844" w:type="dxa"/>
            <w:vAlign w:val="center"/>
          </w:tcPr>
          <w:p w14:paraId="4D09773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对在国土空间规划确定的开垦的范围内，未经批准擅自开发土地行为的处罚</w:t>
            </w:r>
          </w:p>
        </w:tc>
        <w:tc>
          <w:tcPr>
            <w:tcW w:w="615" w:type="dxa"/>
            <w:vAlign w:val="center"/>
          </w:tcPr>
          <w:p w14:paraId="30084011">
            <w:pPr>
              <w:snapToGrid w:val="0"/>
              <w:spacing w:line="240" w:lineRule="atLeast"/>
              <w:jc w:val="center"/>
              <w:rPr>
                <w:rFonts w:ascii="仿宋_GB2312" w:hAnsi="仿宋_GB2312" w:eastAsia="仿宋_GB2312" w:cs="仿宋_GB2312"/>
                <w:sz w:val="20"/>
                <w:szCs w:val="20"/>
              </w:rPr>
            </w:pPr>
          </w:p>
        </w:tc>
        <w:tc>
          <w:tcPr>
            <w:tcW w:w="660" w:type="dxa"/>
            <w:vAlign w:val="center"/>
          </w:tcPr>
          <w:p w14:paraId="539BF72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0" w:type="dxa"/>
            <w:vAlign w:val="center"/>
          </w:tcPr>
          <w:p w14:paraId="13782EE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845" w:type="dxa"/>
            <w:vAlign w:val="center"/>
          </w:tcPr>
          <w:p w14:paraId="390294F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七条：未经批准或者采取欺骗手段骗取批准，非法占用土地的，由县级以上人民政府自然资源主管部门责令退还非法占用的土地，对违反土地利用总体规划擅自将农用地改为建设用地的，限期拆除在非法占用的土地上新建的建筑物和其他设施，恢复土地原状，对符合土地利用总体规划的，没收在非法占用的土地上新建的建筑物和其他设施，可以并处罚款；对非法占用土地单位的直接负责的主管人员和其他直接责任人员，依法给予处分；构成犯罪的，依法追究刑事责任。</w:t>
            </w:r>
          </w:p>
          <w:p w14:paraId="63DB7E2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七条：依照《土地管理法》第七十七条的规定处以罚款的，罚款额为非法占用土地每平方米100元以上1000元以下。</w:t>
            </w:r>
          </w:p>
          <w:p w14:paraId="22E3612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违反本条例规定，在国土空间规划确定的禁止开垦的范围内从事土地开发活动的，由县级以上人民政府自然资源主管部门责令限期改正，并依照《土地管理法》第七十七条的规定处罚。</w:t>
            </w:r>
          </w:p>
          <w:p w14:paraId="0D7FC3F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地方性法规】《广西壮族自治区实施〈中华人民共和国土地管理法〉办法》（2001年广西壮族自治区第九届人民代表大会常务委员会第二十五次会议通过施行，2019年修正）第三十条：单位和个人在土地利用总体规划确定的土地开垦区内，开发未确定使用权的国有荒山、荒地、荒滩等未利用地从事种植业、林业、畜牧业、渔业生产的，应当向设区的市、县（市）人民政府自然资源行政主管部门提出申请，并按下列权限报经批准后方可进行开发：（一）一次性开发不超过50公顷的，由县（市）人民政府批准；（二）一次性开发超过50公顷的，由设区的市人民政府批准。</w:t>
            </w:r>
          </w:p>
          <w:p w14:paraId="065D7B3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五条：违反本办法第三十条规定，在土地利用总体规划确定的土地开垦区内，未经批准擅自开发土地的，由县级以上人民政府自然资源行政主管部门责令其限期办理报批手续；逾期不办理的，责令其停止开发，可以并处非法开发土地每平方米1元以上3元以下的罚款。</w:t>
            </w:r>
          </w:p>
        </w:tc>
        <w:tc>
          <w:tcPr>
            <w:tcW w:w="3720" w:type="dxa"/>
            <w:vAlign w:val="center"/>
          </w:tcPr>
          <w:p w14:paraId="1152006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EB0693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0BDD06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718DAB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717A44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911511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3BE258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1C45AEF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170" w:type="dxa"/>
            <w:vAlign w:val="center"/>
          </w:tcPr>
          <w:p w14:paraId="20E6473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6A6B8A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226A29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302D3E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2F45D5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DBB4BC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16A5F6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F14DB1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1A3720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3A7D6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36161B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2323E9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E3A481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B6D51B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8AABEF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8F20DF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4DC3E3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843ADD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77AC98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006495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DDD5A1E">
            <w:pPr>
              <w:snapToGrid w:val="0"/>
              <w:spacing w:line="240" w:lineRule="atLeast"/>
              <w:jc w:val="center"/>
              <w:rPr>
                <w:rFonts w:ascii="仿宋_GB2312" w:hAnsi="仿宋_GB2312" w:eastAsia="仿宋_GB2312" w:cs="仿宋_GB2312"/>
                <w:sz w:val="20"/>
                <w:szCs w:val="20"/>
              </w:rPr>
            </w:pPr>
          </w:p>
        </w:tc>
      </w:tr>
    </w:tbl>
    <w:p w14:paraId="2A97E512"/>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39"/>
        <w:gridCol w:w="630"/>
        <w:gridCol w:w="705"/>
        <w:gridCol w:w="1035"/>
        <w:gridCol w:w="4110"/>
        <w:gridCol w:w="4170"/>
        <w:gridCol w:w="9485"/>
        <w:gridCol w:w="330"/>
      </w:tblGrid>
      <w:tr w14:paraId="75B14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D836A5B">
            <w:pPr>
              <w:snapToGrid w:val="0"/>
              <w:spacing w:line="240" w:lineRule="atLeast"/>
              <w:jc w:val="left"/>
              <w:rPr>
                <w:rFonts w:asciiTheme="majorEastAsia" w:hAnsiTheme="majorEastAsia" w:eastAsiaTheme="majorEastAsia" w:cstheme="majorEastAsia"/>
                <w:spacing w:val="-23"/>
                <w:sz w:val="20"/>
                <w:szCs w:val="20"/>
              </w:rPr>
            </w:pPr>
          </w:p>
          <w:p w14:paraId="75AA9306">
            <w:pPr>
              <w:snapToGrid w:val="0"/>
              <w:spacing w:line="240" w:lineRule="atLeast"/>
              <w:jc w:val="left"/>
              <w:rPr>
                <w:rFonts w:asciiTheme="majorEastAsia" w:hAnsiTheme="majorEastAsia" w:eastAsiaTheme="majorEastAsia" w:cstheme="majorEastAsia"/>
                <w:spacing w:val="-23"/>
                <w:sz w:val="20"/>
                <w:szCs w:val="20"/>
              </w:rPr>
            </w:pPr>
          </w:p>
          <w:p w14:paraId="602B6247">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7B9B562E">
            <w:pPr>
              <w:spacing w:line="240" w:lineRule="atLeast"/>
              <w:rPr>
                <w:rFonts w:asciiTheme="majorEastAsia" w:hAnsiTheme="majorEastAsia" w:eastAsiaTheme="majorEastAsia" w:cstheme="majorEastAsia"/>
                <w:spacing w:val="-20"/>
                <w:sz w:val="20"/>
                <w:szCs w:val="20"/>
              </w:rPr>
            </w:pPr>
          </w:p>
          <w:p w14:paraId="4446008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219" w:type="dxa"/>
            <w:gridSpan w:val="5"/>
            <w:vAlign w:val="center"/>
          </w:tcPr>
          <w:p w14:paraId="17B30ED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655" w:type="dxa"/>
            <w:gridSpan w:val="2"/>
            <w:vAlign w:val="center"/>
          </w:tcPr>
          <w:p w14:paraId="3B5FD21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1535D17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960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8320512">
            <w:pPr>
              <w:spacing w:line="240" w:lineRule="atLeast"/>
              <w:jc w:val="left"/>
              <w:rPr>
                <w:rFonts w:ascii="仿宋_GB2312" w:hAnsi="仿宋_GB2312" w:eastAsia="仿宋_GB2312" w:cs="仿宋_GB2312"/>
                <w:sz w:val="20"/>
                <w:szCs w:val="20"/>
              </w:rPr>
            </w:pPr>
          </w:p>
        </w:tc>
        <w:tc>
          <w:tcPr>
            <w:tcW w:w="555" w:type="dxa"/>
            <w:vMerge w:val="continue"/>
          </w:tcPr>
          <w:p w14:paraId="6EFC6832">
            <w:pPr>
              <w:spacing w:line="240" w:lineRule="atLeast"/>
              <w:jc w:val="left"/>
              <w:rPr>
                <w:rFonts w:ascii="仿宋_GB2312" w:hAnsi="仿宋_GB2312" w:eastAsia="仿宋_GB2312" w:cs="仿宋_GB2312"/>
                <w:sz w:val="20"/>
                <w:szCs w:val="20"/>
              </w:rPr>
            </w:pPr>
          </w:p>
        </w:tc>
        <w:tc>
          <w:tcPr>
            <w:tcW w:w="739" w:type="dxa"/>
            <w:vAlign w:val="center"/>
          </w:tcPr>
          <w:p w14:paraId="7D8FDA2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181B15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30" w:type="dxa"/>
            <w:vAlign w:val="center"/>
          </w:tcPr>
          <w:p w14:paraId="5460F60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705" w:type="dxa"/>
            <w:vAlign w:val="center"/>
          </w:tcPr>
          <w:p w14:paraId="5E81270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35" w:type="dxa"/>
            <w:vAlign w:val="center"/>
          </w:tcPr>
          <w:p w14:paraId="3BD5CF9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110" w:type="dxa"/>
            <w:vAlign w:val="center"/>
          </w:tcPr>
          <w:p w14:paraId="2C9014C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170" w:type="dxa"/>
            <w:vAlign w:val="center"/>
          </w:tcPr>
          <w:p w14:paraId="64A37DE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063596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485" w:type="dxa"/>
            <w:vAlign w:val="center"/>
          </w:tcPr>
          <w:p w14:paraId="61C7037D">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453D32FF">
            <w:pPr>
              <w:spacing w:line="240" w:lineRule="atLeast"/>
              <w:jc w:val="left"/>
              <w:rPr>
                <w:rFonts w:ascii="仿宋_GB2312" w:hAnsi="仿宋_GB2312" w:eastAsia="仿宋_GB2312" w:cs="仿宋_GB2312"/>
                <w:sz w:val="20"/>
                <w:szCs w:val="20"/>
              </w:rPr>
            </w:pPr>
          </w:p>
        </w:tc>
      </w:tr>
      <w:tr w14:paraId="0D43A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2BD6B4E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31</w:t>
            </w:r>
          </w:p>
        </w:tc>
        <w:tc>
          <w:tcPr>
            <w:tcW w:w="555" w:type="dxa"/>
            <w:vAlign w:val="center"/>
          </w:tcPr>
          <w:p w14:paraId="088F357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E41866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430809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39" w:type="dxa"/>
            <w:vAlign w:val="center"/>
          </w:tcPr>
          <w:p w14:paraId="4242719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对在土地利用总体规划制定前已建的不符合土地利用总体规划确定用途的建筑物、构筑物重建、扩建行为的处罚</w:t>
            </w:r>
          </w:p>
        </w:tc>
        <w:tc>
          <w:tcPr>
            <w:tcW w:w="630" w:type="dxa"/>
            <w:vAlign w:val="center"/>
          </w:tcPr>
          <w:p w14:paraId="2125AB75">
            <w:pPr>
              <w:snapToGrid w:val="0"/>
              <w:spacing w:line="240" w:lineRule="atLeast"/>
              <w:jc w:val="center"/>
              <w:rPr>
                <w:rFonts w:ascii="仿宋_GB2312" w:hAnsi="仿宋_GB2312" w:eastAsia="仿宋_GB2312" w:cs="仿宋_GB2312"/>
                <w:sz w:val="20"/>
                <w:szCs w:val="20"/>
              </w:rPr>
            </w:pPr>
          </w:p>
        </w:tc>
        <w:tc>
          <w:tcPr>
            <w:tcW w:w="705" w:type="dxa"/>
            <w:vAlign w:val="center"/>
          </w:tcPr>
          <w:p w14:paraId="20554A1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35" w:type="dxa"/>
            <w:vAlign w:val="center"/>
          </w:tcPr>
          <w:p w14:paraId="42ACCE9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110" w:type="dxa"/>
            <w:vAlign w:val="center"/>
          </w:tcPr>
          <w:p w14:paraId="49AD5E9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1.【法律】《中华人民共和国土地管理法》第六十五条：在土地利用总体规划制定前已建的不符合土地利用总体规划确定的用途的建筑物、构筑物，不得重建、扩建。</w:t>
            </w:r>
          </w:p>
          <w:p w14:paraId="08EF645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2.【行政法规】《中华人民共和国土地管理法实施条例》（1998年国务院令第256号公布，2021年国务院令第743号第三次修订）第五十三条： 违反《土地管理法》第六十五条的规定，对建筑物、构筑物进行重建、扩建的，由县级以上人民政府自然资源主管部门责令限期拆除；逾期不拆除的，由作出行政决定的机关依法申请人民法院强制执行。</w:t>
            </w:r>
          </w:p>
        </w:tc>
        <w:tc>
          <w:tcPr>
            <w:tcW w:w="4170" w:type="dxa"/>
            <w:vAlign w:val="center"/>
          </w:tcPr>
          <w:p w14:paraId="1F84AD2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1.立案阶段责任：接到举报或相关部门转送、巡查发现该违法行为，及时予以审查，决定是否立案。下达《责令停止违法行为通知书》。</w:t>
            </w:r>
          </w:p>
          <w:p w14:paraId="43B7292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564B07B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97CB95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1B87B0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F9ACDB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F7D07B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7083CD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485" w:type="dxa"/>
            <w:vAlign w:val="center"/>
          </w:tcPr>
          <w:p w14:paraId="4B4EFCE9">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BC600E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3E68D6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86A3C9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D1A243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BFDA7C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C412E6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FD2CE7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E0E562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171F82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0C00F9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CECA52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38C0A4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C3875A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35DADE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2D0182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72EFF7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0DF4F9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0ECBB9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898C0F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BE3EB84">
            <w:pPr>
              <w:snapToGrid w:val="0"/>
              <w:spacing w:line="240" w:lineRule="atLeast"/>
              <w:jc w:val="center"/>
              <w:rPr>
                <w:rFonts w:ascii="仿宋_GB2312" w:hAnsi="仿宋_GB2312" w:eastAsia="仿宋_GB2312" w:cs="仿宋_GB2312"/>
                <w:sz w:val="20"/>
                <w:szCs w:val="20"/>
              </w:rPr>
            </w:pPr>
          </w:p>
        </w:tc>
      </w:tr>
    </w:tbl>
    <w:p w14:paraId="20699AC0"/>
    <w:p w14:paraId="3DECA34D"/>
    <w:p w14:paraId="35E09CB6"/>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4300"/>
        <w:gridCol w:w="3885"/>
        <w:gridCol w:w="9830"/>
        <w:gridCol w:w="330"/>
      </w:tblGrid>
      <w:tr w14:paraId="5C39A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5387A8F">
            <w:pPr>
              <w:snapToGrid w:val="0"/>
              <w:spacing w:line="240" w:lineRule="atLeast"/>
              <w:jc w:val="left"/>
              <w:rPr>
                <w:rFonts w:asciiTheme="majorEastAsia" w:hAnsiTheme="majorEastAsia" w:eastAsiaTheme="majorEastAsia" w:cstheme="majorEastAsia"/>
                <w:spacing w:val="-23"/>
                <w:sz w:val="20"/>
                <w:szCs w:val="20"/>
              </w:rPr>
            </w:pPr>
          </w:p>
          <w:p w14:paraId="7D4A2359">
            <w:pPr>
              <w:snapToGrid w:val="0"/>
              <w:spacing w:line="240" w:lineRule="atLeast"/>
              <w:jc w:val="left"/>
              <w:rPr>
                <w:rFonts w:asciiTheme="majorEastAsia" w:hAnsiTheme="majorEastAsia" w:eastAsiaTheme="majorEastAsia" w:cstheme="majorEastAsia"/>
                <w:spacing w:val="-23"/>
                <w:sz w:val="20"/>
                <w:szCs w:val="20"/>
              </w:rPr>
            </w:pPr>
          </w:p>
          <w:p w14:paraId="0823298A">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65A32FE3">
            <w:pPr>
              <w:spacing w:line="240" w:lineRule="atLeast"/>
              <w:rPr>
                <w:rFonts w:asciiTheme="majorEastAsia" w:hAnsiTheme="majorEastAsia" w:eastAsiaTheme="majorEastAsia" w:cstheme="majorEastAsia"/>
                <w:spacing w:val="-20"/>
                <w:sz w:val="20"/>
                <w:szCs w:val="20"/>
              </w:rPr>
            </w:pPr>
          </w:p>
          <w:p w14:paraId="0641552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159" w:type="dxa"/>
            <w:gridSpan w:val="5"/>
            <w:vAlign w:val="center"/>
          </w:tcPr>
          <w:p w14:paraId="317219D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715" w:type="dxa"/>
            <w:gridSpan w:val="2"/>
            <w:vAlign w:val="center"/>
          </w:tcPr>
          <w:p w14:paraId="75C542F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1C9DB2B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EB53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E0DC0B0">
            <w:pPr>
              <w:spacing w:line="240" w:lineRule="atLeast"/>
              <w:jc w:val="left"/>
              <w:rPr>
                <w:rFonts w:ascii="仿宋_GB2312" w:hAnsi="仿宋_GB2312" w:eastAsia="仿宋_GB2312" w:cs="仿宋_GB2312"/>
                <w:sz w:val="20"/>
                <w:szCs w:val="20"/>
              </w:rPr>
            </w:pPr>
          </w:p>
        </w:tc>
        <w:tc>
          <w:tcPr>
            <w:tcW w:w="555" w:type="dxa"/>
            <w:vMerge w:val="continue"/>
          </w:tcPr>
          <w:p w14:paraId="08A75CCA">
            <w:pPr>
              <w:spacing w:line="240" w:lineRule="atLeast"/>
              <w:jc w:val="left"/>
              <w:rPr>
                <w:rFonts w:ascii="仿宋_GB2312" w:hAnsi="仿宋_GB2312" w:eastAsia="仿宋_GB2312" w:cs="仿宋_GB2312"/>
                <w:sz w:val="20"/>
                <w:szCs w:val="20"/>
              </w:rPr>
            </w:pPr>
          </w:p>
        </w:tc>
        <w:tc>
          <w:tcPr>
            <w:tcW w:w="600" w:type="dxa"/>
            <w:vAlign w:val="center"/>
          </w:tcPr>
          <w:p w14:paraId="07D66D7C">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0D0AE353">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2B46F345">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1561E54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300" w:type="dxa"/>
            <w:vAlign w:val="center"/>
          </w:tcPr>
          <w:p w14:paraId="1543F86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885" w:type="dxa"/>
            <w:vAlign w:val="center"/>
          </w:tcPr>
          <w:p w14:paraId="1B2B37A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E5F904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830" w:type="dxa"/>
            <w:vAlign w:val="center"/>
          </w:tcPr>
          <w:p w14:paraId="2B8C22C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6A421164">
            <w:pPr>
              <w:spacing w:line="240" w:lineRule="atLeast"/>
              <w:jc w:val="left"/>
              <w:rPr>
                <w:rFonts w:ascii="仿宋_GB2312" w:hAnsi="仿宋_GB2312" w:eastAsia="仿宋_GB2312" w:cs="仿宋_GB2312"/>
                <w:sz w:val="20"/>
                <w:szCs w:val="20"/>
              </w:rPr>
            </w:pPr>
          </w:p>
        </w:tc>
      </w:tr>
      <w:tr w14:paraId="12B6B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47AB501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32</w:t>
            </w:r>
          </w:p>
        </w:tc>
        <w:tc>
          <w:tcPr>
            <w:tcW w:w="555" w:type="dxa"/>
            <w:vAlign w:val="center"/>
          </w:tcPr>
          <w:p w14:paraId="1D8DD5B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0E59EC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660797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7CC5132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对超过批准的数量占用土地行为的处罚</w:t>
            </w:r>
          </w:p>
        </w:tc>
        <w:tc>
          <w:tcPr>
            <w:tcW w:w="645" w:type="dxa"/>
            <w:vAlign w:val="center"/>
          </w:tcPr>
          <w:p w14:paraId="3BCC8D64">
            <w:pPr>
              <w:snapToGrid w:val="0"/>
              <w:spacing w:line="240" w:lineRule="atLeast"/>
              <w:jc w:val="center"/>
              <w:rPr>
                <w:rFonts w:ascii="仿宋_GB2312" w:hAnsi="仿宋_GB2312" w:eastAsia="仿宋_GB2312" w:cs="仿宋_GB2312"/>
                <w:sz w:val="20"/>
                <w:szCs w:val="20"/>
              </w:rPr>
            </w:pPr>
          </w:p>
        </w:tc>
        <w:tc>
          <w:tcPr>
            <w:tcW w:w="585" w:type="dxa"/>
            <w:vAlign w:val="center"/>
          </w:tcPr>
          <w:p w14:paraId="45A398E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0250B63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300" w:type="dxa"/>
            <w:vAlign w:val="center"/>
          </w:tcPr>
          <w:p w14:paraId="13428B8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1.【法律】《中华人民共和国土地管理法》第七十七条第二款 ：超过批准的数量占用土地，多占的土地以非法占用土地论处。</w:t>
            </w:r>
          </w:p>
          <w:p w14:paraId="230AB6A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七条：依照《土地管理法》第七十七条的规定处以罚款的，罚款额为非法占用土地每平方米100元以上1000元以下。</w:t>
            </w:r>
          </w:p>
          <w:p w14:paraId="130C992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违反本条例规定，在国土空间规划确定的禁止开垦的范围内从事土地开发活动的，由县级以上人民政府自然资源主管部门责令限期改正，并依照《土地管理法》第七十七条的规定处罚。</w:t>
            </w:r>
          </w:p>
        </w:tc>
        <w:tc>
          <w:tcPr>
            <w:tcW w:w="3885" w:type="dxa"/>
            <w:vAlign w:val="center"/>
          </w:tcPr>
          <w:p w14:paraId="2DA4D17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53B96E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53DF50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F5ACD8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D702E5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C4F751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9DBFF0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128EB15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830" w:type="dxa"/>
            <w:vAlign w:val="center"/>
          </w:tcPr>
          <w:p w14:paraId="21D1464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4D11CA6">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DBF5FA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1860F7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80878D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B183AB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74E435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4242C54">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A80398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1DDBB7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B8B6BC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4D6166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41F442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9CBCFF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6EDC8D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F66E9A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ECC05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36FDB4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E1B91E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9E7F09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0A6D596">
            <w:pPr>
              <w:snapToGrid w:val="0"/>
              <w:spacing w:line="240" w:lineRule="atLeast"/>
              <w:jc w:val="center"/>
              <w:rPr>
                <w:rFonts w:ascii="仿宋_GB2312" w:hAnsi="仿宋_GB2312" w:eastAsia="仿宋_GB2312" w:cs="仿宋_GB2312"/>
                <w:sz w:val="20"/>
                <w:szCs w:val="20"/>
              </w:rPr>
            </w:pPr>
          </w:p>
        </w:tc>
      </w:tr>
    </w:tbl>
    <w:p w14:paraId="7E679BC7"/>
    <w:p w14:paraId="7E4B34F1"/>
    <w:p w14:paraId="6DDB9573"/>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829"/>
        <w:gridCol w:w="645"/>
        <w:gridCol w:w="660"/>
        <w:gridCol w:w="945"/>
        <w:gridCol w:w="4395"/>
        <w:gridCol w:w="3765"/>
        <w:gridCol w:w="9635"/>
        <w:gridCol w:w="330"/>
      </w:tblGrid>
      <w:tr w14:paraId="052FD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3AC8E88">
            <w:pPr>
              <w:snapToGrid w:val="0"/>
              <w:spacing w:line="240" w:lineRule="atLeast"/>
              <w:jc w:val="left"/>
              <w:rPr>
                <w:rFonts w:asciiTheme="majorEastAsia" w:hAnsiTheme="majorEastAsia" w:eastAsiaTheme="majorEastAsia" w:cstheme="majorEastAsia"/>
                <w:spacing w:val="-23"/>
                <w:sz w:val="20"/>
                <w:szCs w:val="20"/>
              </w:rPr>
            </w:pPr>
          </w:p>
          <w:p w14:paraId="74C4F585">
            <w:pPr>
              <w:snapToGrid w:val="0"/>
              <w:spacing w:line="240" w:lineRule="atLeast"/>
              <w:jc w:val="left"/>
              <w:rPr>
                <w:rFonts w:asciiTheme="majorEastAsia" w:hAnsiTheme="majorEastAsia" w:eastAsiaTheme="majorEastAsia" w:cstheme="majorEastAsia"/>
                <w:spacing w:val="-23"/>
                <w:sz w:val="20"/>
                <w:szCs w:val="20"/>
              </w:rPr>
            </w:pPr>
          </w:p>
          <w:p w14:paraId="35510D23">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265B251E">
            <w:pPr>
              <w:spacing w:line="240" w:lineRule="atLeast"/>
              <w:rPr>
                <w:rFonts w:asciiTheme="majorEastAsia" w:hAnsiTheme="majorEastAsia" w:eastAsiaTheme="majorEastAsia" w:cstheme="majorEastAsia"/>
                <w:spacing w:val="-20"/>
                <w:sz w:val="20"/>
                <w:szCs w:val="20"/>
              </w:rPr>
            </w:pPr>
          </w:p>
          <w:p w14:paraId="68F3109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474" w:type="dxa"/>
            <w:gridSpan w:val="5"/>
            <w:vAlign w:val="center"/>
          </w:tcPr>
          <w:p w14:paraId="1BC9690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400" w:type="dxa"/>
            <w:gridSpan w:val="2"/>
            <w:vAlign w:val="center"/>
          </w:tcPr>
          <w:p w14:paraId="6601DE7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1B45B39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957B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E97E562">
            <w:pPr>
              <w:spacing w:line="240" w:lineRule="atLeast"/>
              <w:jc w:val="left"/>
              <w:rPr>
                <w:rFonts w:ascii="仿宋_GB2312" w:hAnsi="仿宋_GB2312" w:eastAsia="仿宋_GB2312" w:cs="仿宋_GB2312"/>
                <w:sz w:val="20"/>
                <w:szCs w:val="20"/>
              </w:rPr>
            </w:pPr>
          </w:p>
        </w:tc>
        <w:tc>
          <w:tcPr>
            <w:tcW w:w="555" w:type="dxa"/>
            <w:vMerge w:val="continue"/>
          </w:tcPr>
          <w:p w14:paraId="35ADC77B">
            <w:pPr>
              <w:spacing w:line="240" w:lineRule="atLeast"/>
              <w:jc w:val="left"/>
              <w:rPr>
                <w:rFonts w:ascii="仿宋_GB2312" w:hAnsi="仿宋_GB2312" w:eastAsia="仿宋_GB2312" w:cs="仿宋_GB2312"/>
                <w:sz w:val="20"/>
                <w:szCs w:val="20"/>
              </w:rPr>
            </w:pPr>
          </w:p>
        </w:tc>
        <w:tc>
          <w:tcPr>
            <w:tcW w:w="829" w:type="dxa"/>
            <w:vAlign w:val="center"/>
          </w:tcPr>
          <w:p w14:paraId="23EE68D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535A89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45" w:type="dxa"/>
            <w:vAlign w:val="center"/>
          </w:tcPr>
          <w:p w14:paraId="26FC65B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60" w:type="dxa"/>
            <w:vAlign w:val="center"/>
          </w:tcPr>
          <w:p w14:paraId="397FC98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945" w:type="dxa"/>
            <w:vAlign w:val="center"/>
          </w:tcPr>
          <w:p w14:paraId="185CD17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395" w:type="dxa"/>
            <w:vAlign w:val="center"/>
          </w:tcPr>
          <w:p w14:paraId="2995EF4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765" w:type="dxa"/>
            <w:vAlign w:val="center"/>
          </w:tcPr>
          <w:p w14:paraId="71EFF16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6ADE73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635" w:type="dxa"/>
            <w:vAlign w:val="center"/>
          </w:tcPr>
          <w:p w14:paraId="183A995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777F9D7C">
            <w:pPr>
              <w:spacing w:line="240" w:lineRule="atLeast"/>
              <w:jc w:val="left"/>
              <w:rPr>
                <w:rFonts w:ascii="仿宋_GB2312" w:hAnsi="仿宋_GB2312" w:eastAsia="仿宋_GB2312" w:cs="仿宋_GB2312"/>
                <w:sz w:val="20"/>
                <w:szCs w:val="20"/>
              </w:rPr>
            </w:pPr>
          </w:p>
        </w:tc>
      </w:tr>
      <w:tr w14:paraId="6E114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6B402AB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33</w:t>
            </w:r>
          </w:p>
        </w:tc>
        <w:tc>
          <w:tcPr>
            <w:tcW w:w="555" w:type="dxa"/>
            <w:vAlign w:val="center"/>
          </w:tcPr>
          <w:p w14:paraId="79A7F16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8AA97F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4709BA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829" w:type="dxa"/>
            <w:vAlign w:val="center"/>
          </w:tcPr>
          <w:p w14:paraId="47EFC15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对未经批准或者采取欺骗手段骗取批准，非法占用土地行为的处罚</w:t>
            </w:r>
          </w:p>
        </w:tc>
        <w:tc>
          <w:tcPr>
            <w:tcW w:w="645" w:type="dxa"/>
            <w:vAlign w:val="center"/>
          </w:tcPr>
          <w:p w14:paraId="65C5A76C">
            <w:pPr>
              <w:snapToGrid w:val="0"/>
              <w:spacing w:line="240" w:lineRule="atLeast"/>
              <w:jc w:val="center"/>
              <w:rPr>
                <w:rFonts w:ascii="仿宋_GB2312" w:hAnsi="仿宋_GB2312" w:eastAsia="仿宋_GB2312" w:cs="仿宋_GB2312"/>
                <w:sz w:val="20"/>
                <w:szCs w:val="20"/>
              </w:rPr>
            </w:pPr>
          </w:p>
        </w:tc>
        <w:tc>
          <w:tcPr>
            <w:tcW w:w="660" w:type="dxa"/>
            <w:vAlign w:val="center"/>
          </w:tcPr>
          <w:p w14:paraId="72610F0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945" w:type="dxa"/>
            <w:vAlign w:val="center"/>
          </w:tcPr>
          <w:p w14:paraId="2360C76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395" w:type="dxa"/>
            <w:vAlign w:val="center"/>
          </w:tcPr>
          <w:p w14:paraId="2734E68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七条第一款：未经批准或者采取欺骗手段骗取批准，非法占用土地的，由县级以上人民政府自然资源主管部门责令退还非法占用的土地，对违反土地利用总体规划擅自将农用地改为建设用地的，限期拆除在非法占用的土地上新建的建筑物和其他设施，恢复土地原状，对符合土地利用总体规划的，没收在非法占用的土地上新建的建筑物和其他设施，可以并处罚款；对非法占用土地单位的直接负责的主管人员和其他直接责任人员，依法给予处分；构成犯罪的，依法追究刑事责任。</w:t>
            </w:r>
          </w:p>
          <w:p w14:paraId="6E3BE1E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七条：依照《土地管理法》第七十七条的规定处以罚款的，罚款额为非法占用土地每平方米100元以上1000元以下。</w:t>
            </w:r>
          </w:p>
          <w:p w14:paraId="519E695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违反本条例规定，在国土空间规划确定的禁止开垦的范围内从事土地开发活动的，由县级以上人民政府自然资源主管部门责令限期改正，并依照《土地管理法》第七十七条的规定处罚。</w:t>
            </w:r>
          </w:p>
        </w:tc>
        <w:tc>
          <w:tcPr>
            <w:tcW w:w="3765" w:type="dxa"/>
            <w:vAlign w:val="center"/>
          </w:tcPr>
          <w:p w14:paraId="1916BFE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607D40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F76A1D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BD85E2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378203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CEEC45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0902CF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076ABF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635" w:type="dxa"/>
            <w:vAlign w:val="center"/>
          </w:tcPr>
          <w:p w14:paraId="11EFA6E7">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B7A3C1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B95A3D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E08B77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136BDC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5B82E6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86FF1F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45DA894">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3E2C74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6C462B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7B9DC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2D7D34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F7FC8F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7DD5F9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839930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4B55EE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3B6E54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A48D49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7A0F3C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5B58DA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AEDDEC2">
            <w:pPr>
              <w:snapToGrid w:val="0"/>
              <w:spacing w:line="240" w:lineRule="atLeast"/>
              <w:jc w:val="center"/>
              <w:rPr>
                <w:rFonts w:ascii="仿宋_GB2312" w:hAnsi="仿宋_GB2312" w:eastAsia="仿宋_GB2312" w:cs="仿宋_GB2312"/>
                <w:sz w:val="20"/>
                <w:szCs w:val="20"/>
              </w:rPr>
            </w:pPr>
          </w:p>
        </w:tc>
      </w:tr>
    </w:tbl>
    <w:p w14:paraId="4F9A09BB"/>
    <w:p w14:paraId="4AED5B23"/>
    <w:p w14:paraId="68522855"/>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69"/>
        <w:gridCol w:w="615"/>
        <w:gridCol w:w="585"/>
        <w:gridCol w:w="1065"/>
        <w:gridCol w:w="4410"/>
        <w:gridCol w:w="3975"/>
        <w:gridCol w:w="9455"/>
        <w:gridCol w:w="330"/>
      </w:tblGrid>
      <w:tr w14:paraId="32280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2DC9A98">
            <w:pPr>
              <w:snapToGrid w:val="0"/>
              <w:spacing w:line="240" w:lineRule="atLeast"/>
              <w:jc w:val="left"/>
              <w:rPr>
                <w:rFonts w:asciiTheme="majorEastAsia" w:hAnsiTheme="majorEastAsia" w:eastAsiaTheme="majorEastAsia" w:cstheme="majorEastAsia"/>
                <w:spacing w:val="-23"/>
                <w:sz w:val="20"/>
                <w:szCs w:val="20"/>
              </w:rPr>
            </w:pPr>
          </w:p>
          <w:p w14:paraId="5CE72F43">
            <w:pPr>
              <w:snapToGrid w:val="0"/>
              <w:spacing w:line="240" w:lineRule="atLeast"/>
              <w:jc w:val="left"/>
              <w:rPr>
                <w:rFonts w:asciiTheme="majorEastAsia" w:hAnsiTheme="majorEastAsia" w:eastAsiaTheme="majorEastAsia" w:cstheme="majorEastAsia"/>
                <w:spacing w:val="-23"/>
                <w:sz w:val="20"/>
                <w:szCs w:val="20"/>
              </w:rPr>
            </w:pPr>
          </w:p>
          <w:p w14:paraId="20B24E97">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1DD4E4A1">
            <w:pPr>
              <w:spacing w:line="240" w:lineRule="atLeast"/>
              <w:rPr>
                <w:rFonts w:asciiTheme="majorEastAsia" w:hAnsiTheme="majorEastAsia" w:eastAsiaTheme="majorEastAsia" w:cstheme="majorEastAsia"/>
                <w:spacing w:val="-20"/>
                <w:sz w:val="20"/>
                <w:szCs w:val="20"/>
              </w:rPr>
            </w:pPr>
          </w:p>
          <w:p w14:paraId="1BDBA4B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444" w:type="dxa"/>
            <w:gridSpan w:val="5"/>
            <w:vAlign w:val="center"/>
          </w:tcPr>
          <w:p w14:paraId="7090C1F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430" w:type="dxa"/>
            <w:gridSpan w:val="2"/>
            <w:vAlign w:val="center"/>
          </w:tcPr>
          <w:p w14:paraId="4DE0540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45C4826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AF81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6634946">
            <w:pPr>
              <w:spacing w:line="240" w:lineRule="atLeast"/>
              <w:jc w:val="left"/>
              <w:rPr>
                <w:rFonts w:ascii="仿宋_GB2312" w:hAnsi="仿宋_GB2312" w:eastAsia="仿宋_GB2312" w:cs="仿宋_GB2312"/>
                <w:sz w:val="20"/>
                <w:szCs w:val="20"/>
              </w:rPr>
            </w:pPr>
          </w:p>
        </w:tc>
        <w:tc>
          <w:tcPr>
            <w:tcW w:w="555" w:type="dxa"/>
            <w:vMerge w:val="continue"/>
          </w:tcPr>
          <w:p w14:paraId="03510E7C">
            <w:pPr>
              <w:spacing w:line="240" w:lineRule="atLeast"/>
              <w:jc w:val="left"/>
              <w:rPr>
                <w:rFonts w:ascii="仿宋_GB2312" w:hAnsi="仿宋_GB2312" w:eastAsia="仿宋_GB2312" w:cs="仿宋_GB2312"/>
                <w:sz w:val="20"/>
                <w:szCs w:val="20"/>
              </w:rPr>
            </w:pPr>
          </w:p>
        </w:tc>
        <w:tc>
          <w:tcPr>
            <w:tcW w:w="769" w:type="dxa"/>
            <w:vAlign w:val="center"/>
          </w:tcPr>
          <w:p w14:paraId="3B7EB894">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C28EF83">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15" w:type="dxa"/>
            <w:vAlign w:val="center"/>
          </w:tcPr>
          <w:p w14:paraId="3DCDFFDF">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2BA35FFD">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65" w:type="dxa"/>
            <w:vAlign w:val="center"/>
          </w:tcPr>
          <w:p w14:paraId="71454A9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410" w:type="dxa"/>
            <w:vAlign w:val="center"/>
          </w:tcPr>
          <w:p w14:paraId="38D32A2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975" w:type="dxa"/>
            <w:vAlign w:val="center"/>
          </w:tcPr>
          <w:p w14:paraId="40E0AEC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7FC1E0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455" w:type="dxa"/>
            <w:vAlign w:val="center"/>
          </w:tcPr>
          <w:p w14:paraId="2A3ED9D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147DE9D0">
            <w:pPr>
              <w:spacing w:line="240" w:lineRule="atLeast"/>
              <w:jc w:val="left"/>
              <w:rPr>
                <w:rFonts w:ascii="仿宋_GB2312" w:hAnsi="仿宋_GB2312" w:eastAsia="仿宋_GB2312" w:cs="仿宋_GB2312"/>
                <w:sz w:val="20"/>
                <w:szCs w:val="20"/>
              </w:rPr>
            </w:pPr>
          </w:p>
        </w:tc>
      </w:tr>
      <w:tr w14:paraId="3672A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26D6D5C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34</w:t>
            </w:r>
          </w:p>
        </w:tc>
        <w:tc>
          <w:tcPr>
            <w:tcW w:w="555" w:type="dxa"/>
            <w:vAlign w:val="center"/>
          </w:tcPr>
          <w:p w14:paraId="29F2BAC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0925DF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D89839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69" w:type="dxa"/>
            <w:vAlign w:val="center"/>
          </w:tcPr>
          <w:p w14:paraId="5610ABC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对有关当事人拒不归还非法批准、使用的土地行为的处罚</w:t>
            </w:r>
          </w:p>
        </w:tc>
        <w:tc>
          <w:tcPr>
            <w:tcW w:w="615" w:type="dxa"/>
            <w:vAlign w:val="center"/>
          </w:tcPr>
          <w:p w14:paraId="66ACF485">
            <w:pPr>
              <w:snapToGrid w:val="0"/>
              <w:spacing w:line="240" w:lineRule="atLeast"/>
              <w:jc w:val="center"/>
              <w:rPr>
                <w:rFonts w:ascii="仿宋_GB2312" w:hAnsi="仿宋_GB2312" w:eastAsia="仿宋_GB2312" w:cs="仿宋_GB2312"/>
                <w:sz w:val="20"/>
                <w:szCs w:val="20"/>
              </w:rPr>
            </w:pPr>
          </w:p>
        </w:tc>
        <w:tc>
          <w:tcPr>
            <w:tcW w:w="585" w:type="dxa"/>
            <w:vAlign w:val="center"/>
          </w:tcPr>
          <w:p w14:paraId="5F056BA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65" w:type="dxa"/>
            <w:vAlign w:val="center"/>
          </w:tcPr>
          <w:p w14:paraId="3E390B6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410" w:type="dxa"/>
            <w:vAlign w:val="center"/>
          </w:tcPr>
          <w:p w14:paraId="1391408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九条：无权批准征收、使用土地的单位或者个人非法批准占用土地的，超越批准权限非法批准占用土地的，不按照土地利用总体规划确定的用途批准用地的，或者违反法律规定的程序批准占用、征收土地的，其批准文件无效，对非法批准征收、使用土地的直接负责的主管人员和其他直接责任人员，依法给予处分；构成犯罪的，依法追究刑事责任。非法批准、使用的土地应当收回，有关当事人拒不归还的，以非法占用土地论处。</w:t>
            </w:r>
          </w:p>
          <w:p w14:paraId="24C74CB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非法批准征收、使用土地，对当事人造成损失的，依法应当承担赔偿责任。</w:t>
            </w:r>
          </w:p>
          <w:p w14:paraId="3DD0707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七十七条：未经批准或者采取欺骗手段骗取批准，非法占用土地的，由县级以上人民政府自然资源主管部门责令退还非法占用的土地，对违反土地利用总体规划擅自将农用地改为建设用地的，限期拆除在非法占用的土地上新建的建筑物和其他设施，恢复土地原状，对符合土地利用总体规划的，没收在非法占用的土地上新建的建筑物和其他设施，可以并处罚款；对非法占用土地单位的直接负责的主管人员和其他直接责任人员，依法给予处分；构成犯罪的，依法追究刑事责任。</w:t>
            </w:r>
          </w:p>
          <w:p w14:paraId="2BB8394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超过批准的数量占用土地，多占的土地以非法占用土地论处。</w:t>
            </w:r>
          </w:p>
          <w:p w14:paraId="67D94E8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七条：依照《土地管理法》第七十七条的规定处以罚款的，罚款额为非法占用土地每平方米100元以上1000元以下。</w:t>
            </w:r>
          </w:p>
          <w:p w14:paraId="20C9B3A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违反本条例规定，在国土空间规划确定的禁止开垦的范围内从事土地开发活动的，由县级以上人民政府自然资源主管部门责令限期改正，并依照《土地管理法》第七十七条的规定处罚。</w:t>
            </w:r>
          </w:p>
        </w:tc>
        <w:tc>
          <w:tcPr>
            <w:tcW w:w="3975" w:type="dxa"/>
            <w:vAlign w:val="center"/>
          </w:tcPr>
          <w:p w14:paraId="6662197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ECC2A5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4A1A5C6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2A3163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42D276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C346A7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1B1CCA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E76028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455" w:type="dxa"/>
            <w:vAlign w:val="center"/>
          </w:tcPr>
          <w:p w14:paraId="076217CD">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B9919B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B891B3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DE2038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61BC47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D07D4D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3E24E5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2E1AFE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928856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8C9D75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785047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15BB4D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DE14E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AC49FE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D3E885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A680C5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0E67D9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56EA0B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E36773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EE4D12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1527986">
            <w:pPr>
              <w:snapToGrid w:val="0"/>
              <w:spacing w:line="240" w:lineRule="atLeast"/>
              <w:jc w:val="center"/>
              <w:rPr>
                <w:rFonts w:ascii="仿宋_GB2312" w:hAnsi="仿宋_GB2312" w:eastAsia="仿宋_GB2312" w:cs="仿宋_GB2312"/>
                <w:sz w:val="20"/>
                <w:szCs w:val="20"/>
              </w:rPr>
            </w:pPr>
          </w:p>
        </w:tc>
      </w:tr>
    </w:tbl>
    <w:p w14:paraId="1E6150F4"/>
    <w:p w14:paraId="195EB919"/>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54"/>
        <w:gridCol w:w="645"/>
        <w:gridCol w:w="660"/>
        <w:gridCol w:w="960"/>
        <w:gridCol w:w="5100"/>
        <w:gridCol w:w="3450"/>
        <w:gridCol w:w="9305"/>
        <w:gridCol w:w="330"/>
      </w:tblGrid>
      <w:tr w14:paraId="2F35E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FB215B5">
            <w:pPr>
              <w:snapToGrid w:val="0"/>
              <w:spacing w:line="240" w:lineRule="atLeast"/>
              <w:jc w:val="left"/>
              <w:rPr>
                <w:rFonts w:asciiTheme="majorEastAsia" w:hAnsiTheme="majorEastAsia" w:eastAsiaTheme="majorEastAsia" w:cstheme="majorEastAsia"/>
                <w:spacing w:val="-23"/>
                <w:sz w:val="20"/>
                <w:szCs w:val="20"/>
              </w:rPr>
            </w:pPr>
          </w:p>
          <w:p w14:paraId="1402952B">
            <w:pPr>
              <w:snapToGrid w:val="0"/>
              <w:spacing w:line="240" w:lineRule="atLeast"/>
              <w:jc w:val="left"/>
              <w:rPr>
                <w:rFonts w:asciiTheme="majorEastAsia" w:hAnsiTheme="majorEastAsia" w:eastAsiaTheme="majorEastAsia" w:cstheme="majorEastAsia"/>
                <w:spacing w:val="-23"/>
                <w:sz w:val="20"/>
                <w:szCs w:val="20"/>
              </w:rPr>
            </w:pPr>
          </w:p>
          <w:p w14:paraId="5988837A">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1FD50B24">
            <w:pPr>
              <w:spacing w:line="240" w:lineRule="atLeast"/>
              <w:rPr>
                <w:rFonts w:asciiTheme="majorEastAsia" w:hAnsiTheme="majorEastAsia" w:eastAsiaTheme="majorEastAsia" w:cstheme="majorEastAsia"/>
                <w:spacing w:val="-20"/>
                <w:sz w:val="20"/>
                <w:szCs w:val="20"/>
              </w:rPr>
            </w:pPr>
          </w:p>
          <w:p w14:paraId="2A20126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119" w:type="dxa"/>
            <w:gridSpan w:val="5"/>
            <w:vAlign w:val="center"/>
          </w:tcPr>
          <w:p w14:paraId="1E05FD2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2755" w:type="dxa"/>
            <w:gridSpan w:val="2"/>
            <w:vAlign w:val="center"/>
          </w:tcPr>
          <w:p w14:paraId="4EDA46B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6E4824C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7C6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59FDA3C">
            <w:pPr>
              <w:spacing w:line="240" w:lineRule="atLeast"/>
              <w:jc w:val="left"/>
              <w:rPr>
                <w:rFonts w:ascii="仿宋_GB2312" w:hAnsi="仿宋_GB2312" w:eastAsia="仿宋_GB2312" w:cs="仿宋_GB2312"/>
                <w:sz w:val="20"/>
                <w:szCs w:val="20"/>
              </w:rPr>
            </w:pPr>
          </w:p>
        </w:tc>
        <w:tc>
          <w:tcPr>
            <w:tcW w:w="555" w:type="dxa"/>
            <w:vMerge w:val="continue"/>
          </w:tcPr>
          <w:p w14:paraId="7DE1616C">
            <w:pPr>
              <w:spacing w:line="240" w:lineRule="atLeast"/>
              <w:jc w:val="left"/>
              <w:rPr>
                <w:rFonts w:ascii="仿宋_GB2312" w:hAnsi="仿宋_GB2312" w:eastAsia="仿宋_GB2312" w:cs="仿宋_GB2312"/>
                <w:sz w:val="20"/>
                <w:szCs w:val="20"/>
              </w:rPr>
            </w:pPr>
          </w:p>
        </w:tc>
        <w:tc>
          <w:tcPr>
            <w:tcW w:w="754" w:type="dxa"/>
            <w:vAlign w:val="center"/>
          </w:tcPr>
          <w:p w14:paraId="50F3B06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235FB7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45" w:type="dxa"/>
            <w:vAlign w:val="center"/>
          </w:tcPr>
          <w:p w14:paraId="7E735EF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60" w:type="dxa"/>
            <w:vAlign w:val="center"/>
          </w:tcPr>
          <w:p w14:paraId="407B161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960" w:type="dxa"/>
            <w:vAlign w:val="center"/>
          </w:tcPr>
          <w:p w14:paraId="10F03F0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5100" w:type="dxa"/>
            <w:vAlign w:val="center"/>
          </w:tcPr>
          <w:p w14:paraId="3405D58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450" w:type="dxa"/>
            <w:vAlign w:val="center"/>
          </w:tcPr>
          <w:p w14:paraId="4501680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1D0FBB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305" w:type="dxa"/>
            <w:vAlign w:val="center"/>
          </w:tcPr>
          <w:p w14:paraId="4CF3523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203E2489">
            <w:pPr>
              <w:spacing w:line="240" w:lineRule="atLeast"/>
              <w:jc w:val="left"/>
              <w:rPr>
                <w:rFonts w:ascii="仿宋_GB2312" w:hAnsi="仿宋_GB2312" w:eastAsia="仿宋_GB2312" w:cs="仿宋_GB2312"/>
                <w:sz w:val="20"/>
                <w:szCs w:val="20"/>
              </w:rPr>
            </w:pPr>
          </w:p>
        </w:tc>
      </w:tr>
      <w:tr w14:paraId="2095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7AFEAD8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35</w:t>
            </w:r>
          </w:p>
        </w:tc>
        <w:tc>
          <w:tcPr>
            <w:tcW w:w="555" w:type="dxa"/>
            <w:vAlign w:val="center"/>
          </w:tcPr>
          <w:p w14:paraId="676B9F8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27D65F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233E6F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54" w:type="dxa"/>
            <w:vAlign w:val="center"/>
          </w:tcPr>
          <w:p w14:paraId="1AB5224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对违规批准占用土地行为的处罚</w:t>
            </w:r>
          </w:p>
        </w:tc>
        <w:tc>
          <w:tcPr>
            <w:tcW w:w="645" w:type="dxa"/>
            <w:vAlign w:val="center"/>
          </w:tcPr>
          <w:p w14:paraId="1D2F85D2">
            <w:pPr>
              <w:snapToGrid w:val="0"/>
              <w:spacing w:line="240" w:lineRule="atLeast"/>
              <w:jc w:val="center"/>
              <w:rPr>
                <w:rFonts w:ascii="仿宋_GB2312" w:hAnsi="仿宋_GB2312" w:eastAsia="仿宋_GB2312" w:cs="仿宋_GB2312"/>
                <w:sz w:val="20"/>
                <w:szCs w:val="20"/>
              </w:rPr>
            </w:pPr>
          </w:p>
        </w:tc>
        <w:tc>
          <w:tcPr>
            <w:tcW w:w="660" w:type="dxa"/>
            <w:vAlign w:val="center"/>
          </w:tcPr>
          <w:p w14:paraId="6FB129B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960" w:type="dxa"/>
            <w:vAlign w:val="center"/>
          </w:tcPr>
          <w:p w14:paraId="0A58303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5100" w:type="dxa"/>
            <w:vAlign w:val="center"/>
          </w:tcPr>
          <w:p w14:paraId="78CF631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九条：无权批准征收、使用土地的单位或者个人非法批准占用土地的，超越批准权限非法批准占用土地的，不按照土地利用总体规划确定的用途批准用地的，或者违反法律规定的程序批准占用、征收土地的，其批准文件无效，对非法批准征收、使用土地的直接负责的主管人员和其他直接责任人员，依法给予处分；构成犯罪的，依法追究刑事责任。非法批准、使用的土地应当收回，有关当事人拒不归还的，以非法占用土地论处。</w:t>
            </w:r>
          </w:p>
          <w:p w14:paraId="1A89496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非法批准征收、使用土地，对当事人造成损失的，依法应当承担赔偿责任。</w:t>
            </w:r>
          </w:p>
          <w:p w14:paraId="0AB7C74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七十七条：未经批准或者采取欺骗手段骗取批准，非法占用土地的，由县级以上人民政府自然资源主管部门责令退还非法占用的土地，对违反土地利用总体规划擅自将农用地改为建设用地的，限期拆除在非法占用的土地上新建的建筑物和其他设施，恢复土地原状，对符合土地利用总体规划的，没收在非法占用的土地上新建的建筑物和其他设施，可以并处罚款；对非法占用土地单位的直接负责的主管人员和其他直接责任人员，依法给予处分；构成犯罪的，依法追究刑事责任。</w:t>
            </w:r>
          </w:p>
          <w:p w14:paraId="51E7217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超过批准的数量占用土地，多占的土地以非法占用土地论处。</w:t>
            </w:r>
          </w:p>
          <w:p w14:paraId="4759AE5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七条：依照《土地管理法》第七十七条的规定处以罚款的，罚款额为非法占用土地每平方米100元以上1000元以下。</w:t>
            </w:r>
          </w:p>
          <w:p w14:paraId="7916FB8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违反本条例规定，在国土空间规划确定的禁止开垦的范围内从事土地开发活动的，由县级以上人民政府自然资源主管部门责令限期改正，并依照《土地管理法》第七十七条的规定处罚。</w:t>
            </w:r>
          </w:p>
          <w:p w14:paraId="6255966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行政法规】《基本农田保护条例》（1998年国务院令第257号发布,2011年国务院令第588号修正）第三十条：违反本条例规定，有下列行为之一的，依照《中华人民共和国土地管理法》和《中华人民共和国土地管理法实施条例》的有关规定，从重给予处罚：</w:t>
            </w:r>
          </w:p>
          <w:p w14:paraId="21DDEC8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（一）未经批准或者采取欺骗手段骗取批准，非法占用基本农田的；</w:t>
            </w:r>
          </w:p>
          <w:p w14:paraId="4E906E0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（二）超过批准数量，非法占用基本农田的；</w:t>
            </w:r>
          </w:p>
          <w:p w14:paraId="7B87841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（三）非法批准占用基本农田的；</w:t>
            </w:r>
          </w:p>
          <w:p w14:paraId="2D4AF08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（四）买卖或者以其他形式非法转让基本农田的。</w:t>
            </w:r>
          </w:p>
        </w:tc>
        <w:tc>
          <w:tcPr>
            <w:tcW w:w="3450" w:type="dxa"/>
            <w:vAlign w:val="center"/>
          </w:tcPr>
          <w:p w14:paraId="2CB820B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8AC426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E9D4DC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6F9859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220D8D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4DA596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EB3790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2DB6C5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305" w:type="dxa"/>
            <w:vAlign w:val="center"/>
          </w:tcPr>
          <w:p w14:paraId="3EFB57A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B37DDB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5DCFF5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43A520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BB8A3F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B403D5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76D877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47D55C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8A2119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B5619D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FBF9E1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FDDAC4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B5D99C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90F398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FBABE8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6AEF50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9C8134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B4F649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9E23C0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4E0AD2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639DCC3">
            <w:pPr>
              <w:snapToGrid w:val="0"/>
              <w:spacing w:line="240" w:lineRule="atLeast"/>
              <w:jc w:val="center"/>
              <w:rPr>
                <w:rFonts w:ascii="仿宋_GB2312" w:hAnsi="仿宋_GB2312" w:eastAsia="仿宋_GB2312" w:cs="仿宋_GB2312"/>
                <w:sz w:val="20"/>
                <w:szCs w:val="20"/>
              </w:rPr>
            </w:pPr>
          </w:p>
        </w:tc>
      </w:tr>
    </w:tbl>
    <w:p w14:paraId="09F5B5E0"/>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99"/>
        <w:gridCol w:w="675"/>
        <w:gridCol w:w="660"/>
        <w:gridCol w:w="1020"/>
        <w:gridCol w:w="4800"/>
        <w:gridCol w:w="3765"/>
        <w:gridCol w:w="9155"/>
        <w:gridCol w:w="330"/>
      </w:tblGrid>
      <w:tr w14:paraId="76230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DB9650D">
            <w:pPr>
              <w:snapToGrid w:val="0"/>
              <w:spacing w:line="240" w:lineRule="atLeast"/>
              <w:jc w:val="left"/>
              <w:rPr>
                <w:rFonts w:asciiTheme="majorEastAsia" w:hAnsiTheme="majorEastAsia" w:eastAsiaTheme="majorEastAsia" w:cstheme="majorEastAsia"/>
                <w:spacing w:val="-23"/>
                <w:sz w:val="20"/>
                <w:szCs w:val="20"/>
              </w:rPr>
            </w:pPr>
          </w:p>
          <w:p w14:paraId="4D2E8995">
            <w:pPr>
              <w:snapToGrid w:val="0"/>
              <w:spacing w:line="240" w:lineRule="atLeast"/>
              <w:jc w:val="left"/>
              <w:rPr>
                <w:rFonts w:asciiTheme="majorEastAsia" w:hAnsiTheme="majorEastAsia" w:eastAsiaTheme="majorEastAsia" w:cstheme="majorEastAsia"/>
                <w:spacing w:val="-23"/>
                <w:sz w:val="20"/>
                <w:szCs w:val="20"/>
              </w:rPr>
            </w:pPr>
          </w:p>
          <w:p w14:paraId="05E941E0">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1F9ACF0A">
            <w:pPr>
              <w:spacing w:line="240" w:lineRule="atLeast"/>
              <w:rPr>
                <w:rFonts w:asciiTheme="majorEastAsia" w:hAnsiTheme="majorEastAsia" w:eastAsiaTheme="majorEastAsia" w:cstheme="majorEastAsia"/>
                <w:spacing w:val="-20"/>
                <w:sz w:val="20"/>
                <w:szCs w:val="20"/>
              </w:rPr>
            </w:pPr>
          </w:p>
          <w:p w14:paraId="4BEE903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954" w:type="dxa"/>
            <w:gridSpan w:val="5"/>
            <w:vAlign w:val="center"/>
          </w:tcPr>
          <w:p w14:paraId="706ECD1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2920" w:type="dxa"/>
            <w:gridSpan w:val="2"/>
            <w:vAlign w:val="center"/>
          </w:tcPr>
          <w:p w14:paraId="4B9AF7A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0068B2F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0EA5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F7A3843">
            <w:pPr>
              <w:spacing w:line="240" w:lineRule="atLeast"/>
              <w:jc w:val="left"/>
              <w:rPr>
                <w:rFonts w:ascii="仿宋_GB2312" w:hAnsi="仿宋_GB2312" w:eastAsia="仿宋_GB2312" w:cs="仿宋_GB2312"/>
                <w:sz w:val="20"/>
                <w:szCs w:val="20"/>
              </w:rPr>
            </w:pPr>
          </w:p>
        </w:tc>
        <w:tc>
          <w:tcPr>
            <w:tcW w:w="555" w:type="dxa"/>
            <w:vMerge w:val="continue"/>
          </w:tcPr>
          <w:p w14:paraId="67A4CBDB">
            <w:pPr>
              <w:spacing w:line="240" w:lineRule="atLeast"/>
              <w:jc w:val="left"/>
              <w:rPr>
                <w:rFonts w:ascii="仿宋_GB2312" w:hAnsi="仿宋_GB2312" w:eastAsia="仿宋_GB2312" w:cs="仿宋_GB2312"/>
                <w:sz w:val="20"/>
                <w:szCs w:val="20"/>
              </w:rPr>
            </w:pPr>
          </w:p>
        </w:tc>
        <w:tc>
          <w:tcPr>
            <w:tcW w:w="799" w:type="dxa"/>
            <w:vAlign w:val="center"/>
          </w:tcPr>
          <w:p w14:paraId="64B09CE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76C914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75" w:type="dxa"/>
            <w:vAlign w:val="center"/>
          </w:tcPr>
          <w:p w14:paraId="1A4F2BC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60" w:type="dxa"/>
            <w:vAlign w:val="center"/>
          </w:tcPr>
          <w:p w14:paraId="73389D8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0" w:type="dxa"/>
            <w:vAlign w:val="center"/>
          </w:tcPr>
          <w:p w14:paraId="4BC01A85">
            <w:pPr>
              <w:widowControl/>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800" w:type="dxa"/>
            <w:vAlign w:val="center"/>
          </w:tcPr>
          <w:p w14:paraId="375BC9F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765" w:type="dxa"/>
            <w:vAlign w:val="center"/>
          </w:tcPr>
          <w:p w14:paraId="27E5F2B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A6CEFB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155" w:type="dxa"/>
            <w:vAlign w:val="center"/>
          </w:tcPr>
          <w:p w14:paraId="4C5D929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6BDA1DFD">
            <w:pPr>
              <w:spacing w:line="240" w:lineRule="atLeast"/>
              <w:jc w:val="left"/>
              <w:rPr>
                <w:rFonts w:ascii="仿宋_GB2312" w:hAnsi="仿宋_GB2312" w:eastAsia="仿宋_GB2312" w:cs="仿宋_GB2312"/>
                <w:sz w:val="20"/>
                <w:szCs w:val="20"/>
              </w:rPr>
            </w:pPr>
          </w:p>
        </w:tc>
      </w:tr>
      <w:tr w14:paraId="21E94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289F707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36</w:t>
            </w:r>
          </w:p>
        </w:tc>
        <w:tc>
          <w:tcPr>
            <w:tcW w:w="555" w:type="dxa"/>
            <w:vAlign w:val="center"/>
          </w:tcPr>
          <w:p w14:paraId="48EFC70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0331F2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D3A6E2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99" w:type="dxa"/>
            <w:vAlign w:val="center"/>
          </w:tcPr>
          <w:p w14:paraId="66A38DD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对依法收回国有土地使用权当事人拒不交出土地的，临时使用土地期满拒不归还土地的，或者不按照批准的用途使用土地行为的处罚</w:t>
            </w:r>
          </w:p>
        </w:tc>
        <w:tc>
          <w:tcPr>
            <w:tcW w:w="675" w:type="dxa"/>
            <w:vAlign w:val="center"/>
          </w:tcPr>
          <w:p w14:paraId="2DA51887">
            <w:pPr>
              <w:snapToGrid w:val="0"/>
              <w:spacing w:line="240" w:lineRule="atLeast"/>
              <w:jc w:val="center"/>
              <w:rPr>
                <w:rFonts w:ascii="仿宋_GB2312" w:hAnsi="仿宋_GB2312" w:eastAsia="仿宋_GB2312" w:cs="仿宋_GB2312"/>
                <w:sz w:val="20"/>
                <w:szCs w:val="20"/>
              </w:rPr>
            </w:pPr>
          </w:p>
        </w:tc>
        <w:tc>
          <w:tcPr>
            <w:tcW w:w="660" w:type="dxa"/>
            <w:vAlign w:val="center"/>
          </w:tcPr>
          <w:p w14:paraId="5BDF338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0" w:type="dxa"/>
            <w:vAlign w:val="center"/>
          </w:tcPr>
          <w:p w14:paraId="6A6AB68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800" w:type="dxa"/>
            <w:vAlign w:val="center"/>
          </w:tcPr>
          <w:p w14:paraId="49164A9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八十一条：依法收回国有土地使用权当事人拒不交出土地的，临时使用土地期满拒不归还的，或者不按照批准的用途使用国有土地的，由县级以上人民政府自然资源主管部门责令交还土地，处以罚款。</w:t>
            </w:r>
          </w:p>
          <w:p w14:paraId="4B50E45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九条：依照《土地管理法》第八十一条的规定处以罚款的，罚款额为非法占用土地每平方米100元以上500元以下。</w:t>
            </w:r>
          </w:p>
        </w:tc>
        <w:tc>
          <w:tcPr>
            <w:tcW w:w="3765" w:type="dxa"/>
            <w:vAlign w:val="center"/>
          </w:tcPr>
          <w:p w14:paraId="5A08470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B2F859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1B1C20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E44771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BD457B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67974F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737908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4DB6D6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155" w:type="dxa"/>
            <w:vAlign w:val="center"/>
          </w:tcPr>
          <w:p w14:paraId="187EBE0E">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6C075DD">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3A1C67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40CEC9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BA8825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F5BE7D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19DD6A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3B3FBB8">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0E723E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B57A5B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9B3619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A0FBC4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454B0A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EC65CA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408706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A76915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A0D896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6ED77B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4DC49D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55D104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2CB5CCC">
            <w:pPr>
              <w:snapToGrid w:val="0"/>
              <w:spacing w:line="240" w:lineRule="atLeast"/>
              <w:jc w:val="center"/>
              <w:rPr>
                <w:rFonts w:ascii="仿宋_GB2312" w:hAnsi="仿宋_GB2312" w:eastAsia="仿宋_GB2312" w:cs="仿宋_GB2312"/>
                <w:sz w:val="20"/>
                <w:szCs w:val="20"/>
              </w:rPr>
            </w:pPr>
          </w:p>
        </w:tc>
      </w:tr>
    </w:tbl>
    <w:p w14:paraId="5B1166ED"/>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829"/>
        <w:gridCol w:w="630"/>
        <w:gridCol w:w="660"/>
        <w:gridCol w:w="1035"/>
        <w:gridCol w:w="4740"/>
        <w:gridCol w:w="3825"/>
        <w:gridCol w:w="9155"/>
        <w:gridCol w:w="330"/>
      </w:tblGrid>
      <w:tr w14:paraId="47462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4DC3C78">
            <w:pPr>
              <w:snapToGrid w:val="0"/>
              <w:spacing w:line="240" w:lineRule="atLeast"/>
              <w:jc w:val="left"/>
              <w:rPr>
                <w:rFonts w:asciiTheme="majorEastAsia" w:hAnsiTheme="majorEastAsia" w:eastAsiaTheme="majorEastAsia" w:cstheme="majorEastAsia"/>
                <w:spacing w:val="-23"/>
                <w:sz w:val="20"/>
                <w:szCs w:val="20"/>
              </w:rPr>
            </w:pPr>
          </w:p>
          <w:p w14:paraId="39E6C13E">
            <w:pPr>
              <w:snapToGrid w:val="0"/>
              <w:spacing w:line="240" w:lineRule="atLeast"/>
              <w:jc w:val="left"/>
              <w:rPr>
                <w:rFonts w:asciiTheme="majorEastAsia" w:hAnsiTheme="majorEastAsia" w:eastAsiaTheme="majorEastAsia" w:cstheme="majorEastAsia"/>
                <w:spacing w:val="-23"/>
                <w:sz w:val="20"/>
                <w:szCs w:val="20"/>
              </w:rPr>
            </w:pPr>
          </w:p>
          <w:p w14:paraId="08C90661">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7B702449">
            <w:pPr>
              <w:spacing w:line="240" w:lineRule="atLeast"/>
              <w:rPr>
                <w:rFonts w:asciiTheme="majorEastAsia" w:hAnsiTheme="majorEastAsia" w:eastAsiaTheme="majorEastAsia" w:cstheme="majorEastAsia"/>
                <w:spacing w:val="-20"/>
                <w:sz w:val="20"/>
                <w:szCs w:val="20"/>
              </w:rPr>
            </w:pPr>
          </w:p>
          <w:p w14:paraId="3D377D4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894" w:type="dxa"/>
            <w:gridSpan w:val="5"/>
            <w:vAlign w:val="center"/>
          </w:tcPr>
          <w:p w14:paraId="76DBE34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2980" w:type="dxa"/>
            <w:gridSpan w:val="2"/>
            <w:vAlign w:val="center"/>
          </w:tcPr>
          <w:p w14:paraId="4631727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51071B4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D8B7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AC9340F">
            <w:pPr>
              <w:spacing w:line="240" w:lineRule="atLeast"/>
              <w:jc w:val="left"/>
              <w:rPr>
                <w:rFonts w:ascii="仿宋_GB2312" w:hAnsi="仿宋_GB2312" w:eastAsia="仿宋_GB2312" w:cs="仿宋_GB2312"/>
                <w:sz w:val="20"/>
                <w:szCs w:val="20"/>
              </w:rPr>
            </w:pPr>
          </w:p>
        </w:tc>
        <w:tc>
          <w:tcPr>
            <w:tcW w:w="555" w:type="dxa"/>
            <w:vMerge w:val="continue"/>
          </w:tcPr>
          <w:p w14:paraId="5845DEC3">
            <w:pPr>
              <w:spacing w:line="240" w:lineRule="atLeast"/>
              <w:jc w:val="left"/>
              <w:rPr>
                <w:rFonts w:ascii="仿宋_GB2312" w:hAnsi="仿宋_GB2312" w:eastAsia="仿宋_GB2312" w:cs="仿宋_GB2312"/>
                <w:sz w:val="20"/>
                <w:szCs w:val="20"/>
              </w:rPr>
            </w:pPr>
          </w:p>
        </w:tc>
        <w:tc>
          <w:tcPr>
            <w:tcW w:w="829" w:type="dxa"/>
            <w:vAlign w:val="center"/>
          </w:tcPr>
          <w:p w14:paraId="532E2CD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70CA3F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30" w:type="dxa"/>
            <w:vAlign w:val="center"/>
          </w:tcPr>
          <w:p w14:paraId="075D8671">
            <w:pPr>
              <w:adjustRightInd w:val="0"/>
              <w:snapToGrid w:val="0"/>
              <w:spacing w:line="240" w:lineRule="exact"/>
              <w:jc w:val="center"/>
              <w:rPr>
                <w:rFonts w:asciiTheme="minorEastAsia" w:hAnsiTheme="minorEastAsia" w:cstheme="minorEastAsia"/>
                <w:spacing w:val="-11"/>
                <w:sz w:val="18"/>
                <w:szCs w:val="18"/>
              </w:rPr>
            </w:pPr>
            <w:r>
              <w:rPr>
                <w:rFonts w:hint="eastAsia" w:asciiTheme="minorEastAsia" w:hAnsiTheme="minorEastAsia" w:cstheme="minorEastAsia"/>
                <w:spacing w:val="-11"/>
                <w:sz w:val="18"/>
                <w:szCs w:val="18"/>
              </w:rPr>
              <w:t>子项</w:t>
            </w:r>
          </w:p>
          <w:p w14:paraId="0B59FAE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名 称</w:t>
            </w:r>
          </w:p>
        </w:tc>
        <w:tc>
          <w:tcPr>
            <w:tcW w:w="660" w:type="dxa"/>
            <w:vAlign w:val="center"/>
          </w:tcPr>
          <w:p w14:paraId="09FA084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35" w:type="dxa"/>
            <w:vAlign w:val="center"/>
          </w:tcPr>
          <w:p w14:paraId="3114329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740" w:type="dxa"/>
            <w:vAlign w:val="center"/>
          </w:tcPr>
          <w:p w14:paraId="5706AF2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825" w:type="dxa"/>
            <w:vAlign w:val="center"/>
          </w:tcPr>
          <w:p w14:paraId="674E3F3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B491FB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155" w:type="dxa"/>
            <w:vAlign w:val="center"/>
          </w:tcPr>
          <w:p w14:paraId="12FD55E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7929A9EF">
            <w:pPr>
              <w:spacing w:line="240" w:lineRule="atLeast"/>
              <w:jc w:val="left"/>
              <w:rPr>
                <w:rFonts w:ascii="仿宋_GB2312" w:hAnsi="仿宋_GB2312" w:eastAsia="仿宋_GB2312" w:cs="仿宋_GB2312"/>
                <w:sz w:val="20"/>
                <w:szCs w:val="20"/>
              </w:rPr>
            </w:pPr>
          </w:p>
        </w:tc>
      </w:tr>
      <w:tr w14:paraId="04E72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6AFF418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37</w:t>
            </w:r>
          </w:p>
        </w:tc>
        <w:tc>
          <w:tcPr>
            <w:tcW w:w="555" w:type="dxa"/>
            <w:vAlign w:val="center"/>
          </w:tcPr>
          <w:p w14:paraId="1C7FEDC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99788D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62100B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829" w:type="dxa"/>
            <w:vAlign w:val="center"/>
          </w:tcPr>
          <w:p w14:paraId="5CF69D8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对擅自将农民集体所有的土地通过出让、转让使用权或者出租等方式用于非农业建设，或者违反《土地管理法》规定，将集体经营性建设用地通过出让、出租等方式交由单位或者个人使用行为的处罚</w:t>
            </w:r>
          </w:p>
        </w:tc>
        <w:tc>
          <w:tcPr>
            <w:tcW w:w="630" w:type="dxa"/>
            <w:vAlign w:val="center"/>
          </w:tcPr>
          <w:p w14:paraId="4C7794CD">
            <w:pPr>
              <w:snapToGrid w:val="0"/>
              <w:spacing w:line="240" w:lineRule="atLeast"/>
              <w:jc w:val="center"/>
              <w:rPr>
                <w:rFonts w:ascii="仿宋_GB2312" w:hAnsi="仿宋_GB2312" w:eastAsia="仿宋_GB2312" w:cs="仿宋_GB2312"/>
                <w:sz w:val="20"/>
                <w:szCs w:val="20"/>
              </w:rPr>
            </w:pPr>
          </w:p>
        </w:tc>
        <w:tc>
          <w:tcPr>
            <w:tcW w:w="660" w:type="dxa"/>
            <w:vAlign w:val="center"/>
          </w:tcPr>
          <w:p w14:paraId="150631F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35" w:type="dxa"/>
            <w:vAlign w:val="center"/>
          </w:tcPr>
          <w:p w14:paraId="5BF4E49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740" w:type="dxa"/>
            <w:vAlign w:val="center"/>
          </w:tcPr>
          <w:p w14:paraId="697E082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八十二条：擅自将农民集体所有的土地通过出让、转让使用权或者出租等方式用于非农业建设，或者违反本法规定，将集体经营性建设用地通过出让、出租等方式交由单位或者个人使用的，由县级以上人民政府自然资源主管部门责令限期改正，没收违法所得，并处罚款。</w:t>
            </w:r>
          </w:p>
          <w:p w14:paraId="1D1D5CB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六十条：依照《土地管理法》第八十二条的规定处以罚款的，罚款额为违法所得的10%以上30%以下。</w:t>
            </w:r>
          </w:p>
        </w:tc>
        <w:tc>
          <w:tcPr>
            <w:tcW w:w="3825" w:type="dxa"/>
            <w:vAlign w:val="center"/>
          </w:tcPr>
          <w:p w14:paraId="52D6535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1.立案阶段责任：接到举报或相关部门转送、巡查发现擅自将农民集体所有土地使用权出让、转让、出租用于非农业建设行为，及时予以审查，决定是否立案。下达《责令停止违法行为通知书》。</w:t>
            </w:r>
          </w:p>
          <w:p w14:paraId="4368B0C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1FD25BC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61BB53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CB4C83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1D3CD1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E52990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E012D2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155" w:type="dxa"/>
            <w:vAlign w:val="center"/>
          </w:tcPr>
          <w:p w14:paraId="6A67E4A0">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FFC225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2667C3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6C209C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989614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B19385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48C86E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021A01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3862CC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C33B80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543FD0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585EA0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8CBD00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792824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34F756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B9FD88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279E19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DC1665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9ECEE3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B18C33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1AA5D24">
            <w:pPr>
              <w:snapToGrid w:val="0"/>
              <w:spacing w:line="240" w:lineRule="atLeast"/>
              <w:jc w:val="center"/>
              <w:rPr>
                <w:rFonts w:ascii="仿宋_GB2312" w:hAnsi="仿宋_GB2312" w:eastAsia="仿宋_GB2312" w:cs="仿宋_GB2312"/>
                <w:sz w:val="20"/>
                <w:szCs w:val="20"/>
              </w:rPr>
            </w:pPr>
          </w:p>
        </w:tc>
      </w:tr>
    </w:tbl>
    <w:p w14:paraId="18E76B53"/>
    <w:p w14:paraId="02E81B4E"/>
    <w:p w14:paraId="44A58EA1"/>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5005"/>
        <w:gridCol w:w="3495"/>
        <w:gridCol w:w="9515"/>
        <w:gridCol w:w="330"/>
      </w:tblGrid>
      <w:tr w14:paraId="1D826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78BADDA">
            <w:pPr>
              <w:snapToGrid w:val="0"/>
              <w:spacing w:line="240" w:lineRule="atLeast"/>
              <w:jc w:val="left"/>
              <w:rPr>
                <w:rFonts w:asciiTheme="majorEastAsia" w:hAnsiTheme="majorEastAsia" w:eastAsiaTheme="majorEastAsia" w:cstheme="majorEastAsia"/>
                <w:spacing w:val="-23"/>
                <w:sz w:val="20"/>
                <w:szCs w:val="20"/>
              </w:rPr>
            </w:pPr>
          </w:p>
          <w:p w14:paraId="52AFDF37">
            <w:pPr>
              <w:snapToGrid w:val="0"/>
              <w:spacing w:line="240" w:lineRule="atLeast"/>
              <w:jc w:val="left"/>
              <w:rPr>
                <w:rFonts w:asciiTheme="majorEastAsia" w:hAnsiTheme="majorEastAsia" w:eastAsiaTheme="majorEastAsia" w:cstheme="majorEastAsia"/>
                <w:spacing w:val="-23"/>
                <w:sz w:val="20"/>
                <w:szCs w:val="20"/>
              </w:rPr>
            </w:pPr>
          </w:p>
          <w:p w14:paraId="20D8ADFC">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3FE9CFD3">
            <w:pPr>
              <w:spacing w:line="240" w:lineRule="atLeast"/>
              <w:rPr>
                <w:rFonts w:asciiTheme="majorEastAsia" w:hAnsiTheme="majorEastAsia" w:eastAsiaTheme="majorEastAsia" w:cstheme="majorEastAsia"/>
                <w:spacing w:val="-20"/>
                <w:sz w:val="20"/>
                <w:szCs w:val="20"/>
              </w:rPr>
            </w:pPr>
          </w:p>
          <w:p w14:paraId="1A1024C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864" w:type="dxa"/>
            <w:gridSpan w:val="5"/>
            <w:vAlign w:val="center"/>
          </w:tcPr>
          <w:p w14:paraId="5E183FF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010" w:type="dxa"/>
            <w:gridSpan w:val="2"/>
            <w:vAlign w:val="center"/>
          </w:tcPr>
          <w:p w14:paraId="340FA67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7B2F508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29A7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AFBAAE7">
            <w:pPr>
              <w:spacing w:line="240" w:lineRule="atLeast"/>
              <w:jc w:val="left"/>
              <w:rPr>
                <w:rFonts w:ascii="仿宋_GB2312" w:hAnsi="仿宋_GB2312" w:eastAsia="仿宋_GB2312" w:cs="仿宋_GB2312"/>
                <w:sz w:val="20"/>
                <w:szCs w:val="20"/>
              </w:rPr>
            </w:pPr>
          </w:p>
        </w:tc>
        <w:tc>
          <w:tcPr>
            <w:tcW w:w="555" w:type="dxa"/>
            <w:vMerge w:val="continue"/>
          </w:tcPr>
          <w:p w14:paraId="081B4B8E">
            <w:pPr>
              <w:spacing w:line="240" w:lineRule="atLeast"/>
              <w:jc w:val="left"/>
              <w:rPr>
                <w:rFonts w:ascii="仿宋_GB2312" w:hAnsi="仿宋_GB2312" w:eastAsia="仿宋_GB2312" w:cs="仿宋_GB2312"/>
                <w:sz w:val="20"/>
                <w:szCs w:val="20"/>
              </w:rPr>
            </w:pPr>
          </w:p>
        </w:tc>
        <w:tc>
          <w:tcPr>
            <w:tcW w:w="600" w:type="dxa"/>
            <w:vAlign w:val="center"/>
          </w:tcPr>
          <w:p w14:paraId="15D1F005">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2E68EFA1">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1E2BF54C">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4F237BE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5005" w:type="dxa"/>
            <w:vAlign w:val="center"/>
          </w:tcPr>
          <w:p w14:paraId="30860F2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495" w:type="dxa"/>
            <w:vAlign w:val="center"/>
          </w:tcPr>
          <w:p w14:paraId="37264BE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4CE2D4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219CC9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75B930C6">
            <w:pPr>
              <w:spacing w:line="240" w:lineRule="atLeast"/>
              <w:jc w:val="left"/>
              <w:rPr>
                <w:rFonts w:ascii="仿宋_GB2312" w:hAnsi="仿宋_GB2312" w:eastAsia="仿宋_GB2312" w:cs="仿宋_GB2312"/>
                <w:sz w:val="20"/>
                <w:szCs w:val="20"/>
              </w:rPr>
            </w:pPr>
          </w:p>
        </w:tc>
      </w:tr>
      <w:tr w14:paraId="718DE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06413C7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38</w:t>
            </w:r>
          </w:p>
        </w:tc>
        <w:tc>
          <w:tcPr>
            <w:tcW w:w="555" w:type="dxa"/>
            <w:vAlign w:val="center"/>
          </w:tcPr>
          <w:p w14:paraId="032831D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59DAEF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3FE54A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720E1A2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对临时用地期满之日起一年内未完成复垦或者未恢复种植条件行为的处罚</w:t>
            </w:r>
          </w:p>
        </w:tc>
        <w:tc>
          <w:tcPr>
            <w:tcW w:w="645" w:type="dxa"/>
            <w:vAlign w:val="center"/>
          </w:tcPr>
          <w:p w14:paraId="3BCDA056">
            <w:pPr>
              <w:snapToGrid w:val="0"/>
              <w:spacing w:line="240" w:lineRule="atLeast"/>
              <w:jc w:val="center"/>
              <w:rPr>
                <w:rFonts w:ascii="仿宋_GB2312" w:hAnsi="仿宋_GB2312" w:eastAsia="仿宋_GB2312" w:cs="仿宋_GB2312"/>
                <w:sz w:val="20"/>
                <w:szCs w:val="20"/>
              </w:rPr>
            </w:pPr>
          </w:p>
        </w:tc>
        <w:tc>
          <w:tcPr>
            <w:tcW w:w="585" w:type="dxa"/>
            <w:vAlign w:val="center"/>
          </w:tcPr>
          <w:p w14:paraId="2E5AD18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07680CF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5005" w:type="dxa"/>
            <w:vAlign w:val="center"/>
          </w:tcPr>
          <w:p w14:paraId="1807AAA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六条：违反本法规定，拒不履行土地复垦义务的，由县级以上人民政府自然资源主管部门责令限期改正；逾期不改正的，责令缴纳复垦费，专项用于土地复垦，可以处以罚款。</w:t>
            </w:r>
          </w:p>
          <w:p w14:paraId="147D0ED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六条：依照《土地管理法》第七十六条的规定处以罚款的，罚款额为土地复垦费的2倍以上5倍以下。</w:t>
            </w:r>
          </w:p>
        </w:tc>
        <w:tc>
          <w:tcPr>
            <w:tcW w:w="3495" w:type="dxa"/>
            <w:vAlign w:val="center"/>
          </w:tcPr>
          <w:p w14:paraId="0298A67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6B95CBF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87B992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F2C8C0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BF3BDA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8885F0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E73493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9D27FD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05EC9C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186BAF0">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1D36FF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4393F7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911B9F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4708BD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1E2B04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A853D95">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4FF99D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B92C9D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92DDE3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B12539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18EB27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ECA7C1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AF04D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8FD1D6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EEBEAD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0894D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A805AE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4957A6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14B6CD9">
            <w:pPr>
              <w:snapToGrid w:val="0"/>
              <w:spacing w:line="240" w:lineRule="atLeast"/>
              <w:jc w:val="center"/>
              <w:rPr>
                <w:rFonts w:ascii="仿宋_GB2312" w:hAnsi="仿宋_GB2312" w:eastAsia="仿宋_GB2312" w:cs="仿宋_GB2312"/>
                <w:sz w:val="20"/>
                <w:szCs w:val="20"/>
              </w:rPr>
            </w:pPr>
          </w:p>
        </w:tc>
      </w:tr>
    </w:tbl>
    <w:p w14:paraId="22712A0F"/>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4975"/>
        <w:gridCol w:w="3540"/>
        <w:gridCol w:w="9500"/>
        <w:gridCol w:w="330"/>
      </w:tblGrid>
      <w:tr w14:paraId="1DE2C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308BFFC">
            <w:pPr>
              <w:snapToGrid w:val="0"/>
              <w:spacing w:line="240" w:lineRule="atLeast"/>
              <w:jc w:val="left"/>
              <w:rPr>
                <w:rFonts w:asciiTheme="majorEastAsia" w:hAnsiTheme="majorEastAsia" w:eastAsiaTheme="majorEastAsia" w:cstheme="majorEastAsia"/>
                <w:spacing w:val="-23"/>
                <w:sz w:val="20"/>
                <w:szCs w:val="20"/>
              </w:rPr>
            </w:pPr>
          </w:p>
          <w:p w14:paraId="2CAEBF54">
            <w:pPr>
              <w:snapToGrid w:val="0"/>
              <w:spacing w:line="240" w:lineRule="atLeast"/>
              <w:jc w:val="left"/>
              <w:rPr>
                <w:rFonts w:asciiTheme="majorEastAsia" w:hAnsiTheme="majorEastAsia" w:eastAsiaTheme="majorEastAsia" w:cstheme="majorEastAsia"/>
                <w:spacing w:val="-23"/>
                <w:sz w:val="20"/>
                <w:szCs w:val="20"/>
              </w:rPr>
            </w:pPr>
          </w:p>
          <w:p w14:paraId="073FB178">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53486ADD">
            <w:pPr>
              <w:spacing w:line="240" w:lineRule="atLeast"/>
              <w:rPr>
                <w:rFonts w:asciiTheme="majorEastAsia" w:hAnsiTheme="majorEastAsia" w:eastAsiaTheme="majorEastAsia" w:cstheme="majorEastAsia"/>
                <w:spacing w:val="-20"/>
                <w:sz w:val="20"/>
                <w:szCs w:val="20"/>
              </w:rPr>
            </w:pPr>
          </w:p>
          <w:p w14:paraId="0222DB6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834" w:type="dxa"/>
            <w:gridSpan w:val="5"/>
            <w:vAlign w:val="center"/>
          </w:tcPr>
          <w:p w14:paraId="4276DAF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040" w:type="dxa"/>
            <w:gridSpan w:val="2"/>
            <w:vAlign w:val="center"/>
          </w:tcPr>
          <w:p w14:paraId="3AFD6F4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38058E7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D807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DC5C440">
            <w:pPr>
              <w:spacing w:line="240" w:lineRule="atLeast"/>
              <w:jc w:val="left"/>
              <w:rPr>
                <w:rFonts w:ascii="仿宋_GB2312" w:hAnsi="仿宋_GB2312" w:eastAsia="仿宋_GB2312" w:cs="仿宋_GB2312"/>
                <w:sz w:val="20"/>
                <w:szCs w:val="20"/>
              </w:rPr>
            </w:pPr>
          </w:p>
        </w:tc>
        <w:tc>
          <w:tcPr>
            <w:tcW w:w="555" w:type="dxa"/>
            <w:vMerge w:val="continue"/>
          </w:tcPr>
          <w:p w14:paraId="7925112C">
            <w:pPr>
              <w:spacing w:line="240" w:lineRule="atLeast"/>
              <w:jc w:val="left"/>
              <w:rPr>
                <w:rFonts w:ascii="仿宋_GB2312" w:hAnsi="仿宋_GB2312" w:eastAsia="仿宋_GB2312" w:cs="仿宋_GB2312"/>
                <w:sz w:val="20"/>
                <w:szCs w:val="20"/>
              </w:rPr>
            </w:pPr>
          </w:p>
        </w:tc>
        <w:tc>
          <w:tcPr>
            <w:tcW w:w="600" w:type="dxa"/>
            <w:vAlign w:val="center"/>
          </w:tcPr>
          <w:p w14:paraId="300E8105">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03302418">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15C93CAF">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41615CC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975" w:type="dxa"/>
            <w:vAlign w:val="center"/>
          </w:tcPr>
          <w:p w14:paraId="72AE1B4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40" w:type="dxa"/>
            <w:vAlign w:val="center"/>
          </w:tcPr>
          <w:p w14:paraId="0D67337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1B8BAF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00" w:type="dxa"/>
            <w:vAlign w:val="center"/>
          </w:tcPr>
          <w:p w14:paraId="45BEED1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4C090509">
            <w:pPr>
              <w:spacing w:line="240" w:lineRule="atLeast"/>
              <w:jc w:val="left"/>
              <w:rPr>
                <w:rFonts w:ascii="仿宋_GB2312" w:hAnsi="仿宋_GB2312" w:eastAsia="仿宋_GB2312" w:cs="仿宋_GB2312"/>
                <w:sz w:val="20"/>
                <w:szCs w:val="20"/>
              </w:rPr>
            </w:pPr>
          </w:p>
        </w:tc>
      </w:tr>
      <w:tr w14:paraId="4080E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3918DEC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39</w:t>
            </w:r>
          </w:p>
        </w:tc>
        <w:tc>
          <w:tcPr>
            <w:tcW w:w="555" w:type="dxa"/>
            <w:vAlign w:val="center"/>
          </w:tcPr>
          <w:p w14:paraId="084C899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E73447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0740DD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6208CF8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对在临时使用的土地上修建永久性建筑物、构筑物行为的处罚</w:t>
            </w:r>
          </w:p>
        </w:tc>
        <w:tc>
          <w:tcPr>
            <w:tcW w:w="645" w:type="dxa"/>
            <w:vAlign w:val="center"/>
          </w:tcPr>
          <w:p w14:paraId="3DB47C99">
            <w:pPr>
              <w:snapToGrid w:val="0"/>
              <w:spacing w:line="240" w:lineRule="atLeast"/>
              <w:jc w:val="center"/>
              <w:rPr>
                <w:rFonts w:ascii="仿宋_GB2312" w:hAnsi="仿宋_GB2312" w:eastAsia="仿宋_GB2312" w:cs="仿宋_GB2312"/>
                <w:sz w:val="20"/>
                <w:szCs w:val="20"/>
              </w:rPr>
            </w:pPr>
          </w:p>
        </w:tc>
        <w:tc>
          <w:tcPr>
            <w:tcW w:w="585" w:type="dxa"/>
            <w:vAlign w:val="center"/>
          </w:tcPr>
          <w:p w14:paraId="0543657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2FD74BB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975" w:type="dxa"/>
            <w:vAlign w:val="center"/>
          </w:tcPr>
          <w:p w14:paraId="1EA09E2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五十七条：建设项目施工和地质勘查需要临时使用国有土地或者农民集体所有的土地的，由县级以上人民政府自然资源主管部门批准。其中，在城市规划区内的临时用地，在报批前，应当先经有关城市规划行政主管部门同意。土地使用者应当根据土地权属，与有关自然资源主管部门或者农村集体经济组织、村民委员会签订临时使用土地合同，并按照合同的约定支付临时使用土地补偿费。</w:t>
            </w:r>
          </w:p>
          <w:p w14:paraId="72F053D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临时使用土地的使用者应当按照临时使用土地合同约定的用途使用土地，并不得修建永久性建筑物。</w:t>
            </w:r>
          </w:p>
          <w:p w14:paraId="4EB6311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临时使用土地期限一般不超过二年。</w:t>
            </w:r>
          </w:p>
          <w:p w14:paraId="0BC27B8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二条：违反《土地管理法》第五十七条的规定，在临时使用的土地上修建永久性建筑物的，由县级以上人民政府自然资源主管部门责令限期拆除，按占用面积处土地复垦费5倍以上10倍以下的罚款；逾期不拆除的，由作出行政决定的机关依法申请人民法院强制执行。</w:t>
            </w:r>
          </w:p>
        </w:tc>
        <w:tc>
          <w:tcPr>
            <w:tcW w:w="3540" w:type="dxa"/>
            <w:vAlign w:val="center"/>
          </w:tcPr>
          <w:p w14:paraId="1730B47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1.立案阶段责任：接到举报或相关部门转送、巡查发现该违法行为，及时予以审查，决定是否立案。下达《责令停止违法行为通知书》。</w:t>
            </w:r>
          </w:p>
          <w:p w14:paraId="4B6EFE4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3CFC48A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3B5D5B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F830BB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4C5D1D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BE9450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14EEF58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00" w:type="dxa"/>
            <w:vAlign w:val="center"/>
          </w:tcPr>
          <w:p w14:paraId="4959772A">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93EA456">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8648A3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194482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A433FA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21597E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279882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A04B12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52E483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0B7FDA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DC5851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8F40D2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4DBFCD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3675DB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FB576E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AF4683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82FAFD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0EC9CA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4072B3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42C545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1FD2732">
            <w:pPr>
              <w:snapToGrid w:val="0"/>
              <w:spacing w:line="240" w:lineRule="atLeast"/>
              <w:jc w:val="center"/>
              <w:rPr>
                <w:rFonts w:ascii="仿宋_GB2312" w:hAnsi="仿宋_GB2312" w:eastAsia="仿宋_GB2312" w:cs="仿宋_GB2312"/>
                <w:sz w:val="20"/>
                <w:szCs w:val="20"/>
              </w:rPr>
            </w:pPr>
          </w:p>
        </w:tc>
      </w:tr>
    </w:tbl>
    <w:p w14:paraId="1E35D156"/>
    <w:p w14:paraId="26D44A66"/>
    <w:p w14:paraId="54C4A43D"/>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829"/>
        <w:gridCol w:w="570"/>
        <w:gridCol w:w="630"/>
        <w:gridCol w:w="975"/>
        <w:gridCol w:w="4815"/>
        <w:gridCol w:w="3585"/>
        <w:gridCol w:w="9470"/>
        <w:gridCol w:w="330"/>
      </w:tblGrid>
      <w:tr w14:paraId="0AB5F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9003A6B">
            <w:pPr>
              <w:snapToGrid w:val="0"/>
              <w:spacing w:line="240" w:lineRule="atLeast"/>
              <w:jc w:val="left"/>
              <w:rPr>
                <w:rFonts w:asciiTheme="majorEastAsia" w:hAnsiTheme="majorEastAsia" w:eastAsiaTheme="majorEastAsia" w:cstheme="majorEastAsia"/>
                <w:spacing w:val="-23"/>
                <w:sz w:val="20"/>
                <w:szCs w:val="20"/>
              </w:rPr>
            </w:pPr>
          </w:p>
          <w:p w14:paraId="71323054">
            <w:pPr>
              <w:snapToGrid w:val="0"/>
              <w:spacing w:line="240" w:lineRule="atLeast"/>
              <w:jc w:val="left"/>
              <w:rPr>
                <w:rFonts w:asciiTheme="majorEastAsia" w:hAnsiTheme="majorEastAsia" w:eastAsiaTheme="majorEastAsia" w:cstheme="majorEastAsia"/>
                <w:spacing w:val="-23"/>
                <w:sz w:val="20"/>
                <w:szCs w:val="20"/>
              </w:rPr>
            </w:pPr>
          </w:p>
          <w:p w14:paraId="221C067B">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3985A78D">
            <w:pPr>
              <w:spacing w:line="240" w:lineRule="atLeast"/>
              <w:rPr>
                <w:rFonts w:asciiTheme="majorEastAsia" w:hAnsiTheme="majorEastAsia" w:eastAsiaTheme="majorEastAsia" w:cstheme="majorEastAsia"/>
                <w:spacing w:val="-20"/>
                <w:sz w:val="20"/>
                <w:szCs w:val="20"/>
              </w:rPr>
            </w:pPr>
          </w:p>
          <w:p w14:paraId="7EF760E8">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819" w:type="dxa"/>
            <w:gridSpan w:val="5"/>
            <w:vAlign w:val="center"/>
          </w:tcPr>
          <w:p w14:paraId="2FE314F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055" w:type="dxa"/>
            <w:gridSpan w:val="2"/>
            <w:vAlign w:val="center"/>
          </w:tcPr>
          <w:p w14:paraId="4947C45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74E1D41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337A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2661B5B">
            <w:pPr>
              <w:spacing w:line="240" w:lineRule="atLeast"/>
              <w:jc w:val="left"/>
              <w:rPr>
                <w:rFonts w:ascii="仿宋_GB2312" w:hAnsi="仿宋_GB2312" w:eastAsia="仿宋_GB2312" w:cs="仿宋_GB2312"/>
                <w:sz w:val="20"/>
                <w:szCs w:val="20"/>
              </w:rPr>
            </w:pPr>
          </w:p>
        </w:tc>
        <w:tc>
          <w:tcPr>
            <w:tcW w:w="555" w:type="dxa"/>
            <w:vMerge w:val="continue"/>
          </w:tcPr>
          <w:p w14:paraId="355196DF">
            <w:pPr>
              <w:spacing w:line="240" w:lineRule="atLeast"/>
              <w:jc w:val="left"/>
              <w:rPr>
                <w:rFonts w:ascii="仿宋_GB2312" w:hAnsi="仿宋_GB2312" w:eastAsia="仿宋_GB2312" w:cs="仿宋_GB2312"/>
                <w:sz w:val="20"/>
                <w:szCs w:val="20"/>
              </w:rPr>
            </w:pPr>
          </w:p>
        </w:tc>
        <w:tc>
          <w:tcPr>
            <w:tcW w:w="829" w:type="dxa"/>
            <w:vAlign w:val="center"/>
          </w:tcPr>
          <w:p w14:paraId="32FD5A99">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570" w:type="dxa"/>
            <w:vAlign w:val="center"/>
          </w:tcPr>
          <w:p w14:paraId="6F7E9387">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子项名称</w:t>
            </w:r>
          </w:p>
        </w:tc>
        <w:tc>
          <w:tcPr>
            <w:tcW w:w="630" w:type="dxa"/>
            <w:vAlign w:val="center"/>
          </w:tcPr>
          <w:p w14:paraId="40234864">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975" w:type="dxa"/>
            <w:vAlign w:val="center"/>
          </w:tcPr>
          <w:p w14:paraId="533522C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815" w:type="dxa"/>
            <w:vAlign w:val="center"/>
          </w:tcPr>
          <w:p w14:paraId="05AD495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A1145C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259343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470" w:type="dxa"/>
            <w:vAlign w:val="center"/>
          </w:tcPr>
          <w:p w14:paraId="4DF10A4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452C27A8">
            <w:pPr>
              <w:spacing w:line="240" w:lineRule="atLeast"/>
              <w:jc w:val="left"/>
              <w:rPr>
                <w:rFonts w:ascii="仿宋_GB2312" w:hAnsi="仿宋_GB2312" w:eastAsia="仿宋_GB2312" w:cs="仿宋_GB2312"/>
                <w:sz w:val="20"/>
                <w:szCs w:val="20"/>
              </w:rPr>
            </w:pPr>
          </w:p>
        </w:tc>
      </w:tr>
      <w:tr w14:paraId="46ED1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20C94E7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40</w:t>
            </w:r>
          </w:p>
        </w:tc>
        <w:tc>
          <w:tcPr>
            <w:tcW w:w="555" w:type="dxa"/>
            <w:vAlign w:val="center"/>
          </w:tcPr>
          <w:p w14:paraId="0C38A10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470A8F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54021E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829" w:type="dxa"/>
            <w:vAlign w:val="center"/>
          </w:tcPr>
          <w:p w14:paraId="776E75E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对违法占用永久基本农田建窑、建房、建坟、挖砂、采石、采矿、取土、堆放固体废弃物或者从事其他活动破坏基本农田，毁坏种植条件行为的处罚</w:t>
            </w:r>
          </w:p>
        </w:tc>
        <w:tc>
          <w:tcPr>
            <w:tcW w:w="570" w:type="dxa"/>
            <w:vAlign w:val="center"/>
          </w:tcPr>
          <w:p w14:paraId="3AAEB807">
            <w:pPr>
              <w:snapToGrid w:val="0"/>
              <w:spacing w:line="240" w:lineRule="atLeast"/>
              <w:jc w:val="center"/>
              <w:rPr>
                <w:rFonts w:ascii="仿宋_GB2312" w:hAnsi="仿宋_GB2312" w:eastAsia="仿宋_GB2312" w:cs="仿宋_GB2312"/>
                <w:sz w:val="20"/>
                <w:szCs w:val="20"/>
              </w:rPr>
            </w:pPr>
          </w:p>
        </w:tc>
        <w:tc>
          <w:tcPr>
            <w:tcW w:w="630" w:type="dxa"/>
            <w:vAlign w:val="center"/>
          </w:tcPr>
          <w:p w14:paraId="62AEC59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975" w:type="dxa"/>
            <w:vAlign w:val="center"/>
          </w:tcPr>
          <w:p w14:paraId="0326658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815" w:type="dxa"/>
            <w:vAlign w:val="center"/>
          </w:tcPr>
          <w:p w14:paraId="4AAAF53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基本农田保护条例》（1998年国务院令第257号发布，2011年国务院令第588号修正）第三十条：违反本条例规定，有下列行为之一的，依照《中华人民共和国土地管理法》和《中华人民共和国土地管理法实施条例》的有关规定，从重给予处罚：</w:t>
            </w:r>
          </w:p>
          <w:p w14:paraId="2E7B4E6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（一）未经批准或者采取欺骗手段骗取批准，非法占用基本农田的；</w:t>
            </w:r>
          </w:p>
          <w:p w14:paraId="28B9EB4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（二）超过批准数量，非法占用基本农田的；</w:t>
            </w:r>
          </w:p>
          <w:p w14:paraId="2A4F096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（三）非法批准占用基本农田的；</w:t>
            </w:r>
          </w:p>
          <w:p w14:paraId="0D36C30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（四）买卖或者以其他形式非法转让基本农田的。</w:t>
            </w:r>
          </w:p>
          <w:p w14:paraId="50205A6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三条：违反本条例规定，占用基本农田建窑、建房、建坟、挖砂、采石、采矿、取土、堆放固体废弃物或者从事其他活动破坏基本农田，毁坏种植条件的，由县级以上人民政府土地行政主管部门责令改正或者治理，恢复原种植条件，处占用基本农田的耕地开垦费１倍以上２倍以下的罚款；构成犯罪的，依法追究刑事责任。</w:t>
            </w:r>
          </w:p>
        </w:tc>
        <w:tc>
          <w:tcPr>
            <w:tcW w:w="3585" w:type="dxa"/>
            <w:vAlign w:val="center"/>
          </w:tcPr>
          <w:p w14:paraId="229DF11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73D7EE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64A9B7E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CC40F8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AD3BF0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2FC4CD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2297D6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47C161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470" w:type="dxa"/>
            <w:vAlign w:val="center"/>
          </w:tcPr>
          <w:p w14:paraId="436DB086">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A36338F">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0246AA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D15518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0DAAC8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9B6601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D0D68B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C8F2DE1">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8F34DD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65727D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6929DE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92E172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DB7E12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50D613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ACD5DE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240777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2F250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53FDE2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BE2D95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6A3A12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87564B9">
            <w:pPr>
              <w:snapToGrid w:val="0"/>
              <w:spacing w:line="240" w:lineRule="atLeast"/>
              <w:jc w:val="center"/>
              <w:rPr>
                <w:rFonts w:ascii="仿宋_GB2312" w:hAnsi="仿宋_GB2312" w:eastAsia="仿宋_GB2312" w:cs="仿宋_GB2312"/>
                <w:sz w:val="20"/>
                <w:szCs w:val="20"/>
              </w:rPr>
            </w:pPr>
          </w:p>
        </w:tc>
      </w:tr>
    </w:tbl>
    <w:p w14:paraId="664F1526"/>
    <w:p w14:paraId="266556F4"/>
    <w:p w14:paraId="29473091"/>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814"/>
        <w:gridCol w:w="600"/>
        <w:gridCol w:w="600"/>
        <w:gridCol w:w="975"/>
        <w:gridCol w:w="4800"/>
        <w:gridCol w:w="3615"/>
        <w:gridCol w:w="9470"/>
        <w:gridCol w:w="330"/>
      </w:tblGrid>
      <w:tr w14:paraId="7FFE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236A6ED">
            <w:pPr>
              <w:snapToGrid w:val="0"/>
              <w:spacing w:line="240" w:lineRule="atLeast"/>
              <w:jc w:val="left"/>
              <w:rPr>
                <w:rFonts w:asciiTheme="majorEastAsia" w:hAnsiTheme="majorEastAsia" w:eastAsiaTheme="majorEastAsia" w:cstheme="majorEastAsia"/>
                <w:spacing w:val="-23"/>
                <w:sz w:val="20"/>
                <w:szCs w:val="20"/>
              </w:rPr>
            </w:pPr>
          </w:p>
          <w:p w14:paraId="58C478F5">
            <w:pPr>
              <w:snapToGrid w:val="0"/>
              <w:spacing w:line="240" w:lineRule="atLeast"/>
              <w:jc w:val="left"/>
              <w:rPr>
                <w:rFonts w:asciiTheme="majorEastAsia" w:hAnsiTheme="majorEastAsia" w:eastAsiaTheme="majorEastAsia" w:cstheme="majorEastAsia"/>
                <w:spacing w:val="-23"/>
                <w:sz w:val="20"/>
                <w:szCs w:val="20"/>
              </w:rPr>
            </w:pPr>
          </w:p>
          <w:p w14:paraId="6C5F899B">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2DDA677D">
            <w:pPr>
              <w:spacing w:line="240" w:lineRule="atLeast"/>
              <w:rPr>
                <w:rFonts w:asciiTheme="majorEastAsia" w:hAnsiTheme="majorEastAsia" w:eastAsiaTheme="majorEastAsia" w:cstheme="majorEastAsia"/>
                <w:spacing w:val="-20"/>
                <w:sz w:val="20"/>
                <w:szCs w:val="20"/>
              </w:rPr>
            </w:pPr>
          </w:p>
          <w:p w14:paraId="5AE0263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89" w:type="dxa"/>
            <w:gridSpan w:val="5"/>
            <w:vAlign w:val="center"/>
          </w:tcPr>
          <w:p w14:paraId="2DBEE39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085" w:type="dxa"/>
            <w:gridSpan w:val="2"/>
            <w:vAlign w:val="center"/>
          </w:tcPr>
          <w:p w14:paraId="716520D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619EF338">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CBEB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BF364E2">
            <w:pPr>
              <w:spacing w:line="240" w:lineRule="atLeast"/>
              <w:jc w:val="left"/>
              <w:rPr>
                <w:rFonts w:ascii="仿宋_GB2312" w:hAnsi="仿宋_GB2312" w:eastAsia="仿宋_GB2312" w:cs="仿宋_GB2312"/>
                <w:sz w:val="20"/>
                <w:szCs w:val="20"/>
              </w:rPr>
            </w:pPr>
          </w:p>
        </w:tc>
        <w:tc>
          <w:tcPr>
            <w:tcW w:w="555" w:type="dxa"/>
            <w:vMerge w:val="continue"/>
          </w:tcPr>
          <w:p w14:paraId="4D2F0A90">
            <w:pPr>
              <w:spacing w:line="240" w:lineRule="atLeast"/>
              <w:jc w:val="left"/>
              <w:rPr>
                <w:rFonts w:ascii="仿宋_GB2312" w:hAnsi="仿宋_GB2312" w:eastAsia="仿宋_GB2312" w:cs="仿宋_GB2312"/>
                <w:sz w:val="20"/>
                <w:szCs w:val="20"/>
              </w:rPr>
            </w:pPr>
          </w:p>
        </w:tc>
        <w:tc>
          <w:tcPr>
            <w:tcW w:w="814" w:type="dxa"/>
            <w:vAlign w:val="center"/>
          </w:tcPr>
          <w:p w14:paraId="17F9081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2C11AC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00" w:type="dxa"/>
            <w:vAlign w:val="center"/>
          </w:tcPr>
          <w:p w14:paraId="368A14D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00" w:type="dxa"/>
            <w:vAlign w:val="center"/>
          </w:tcPr>
          <w:p w14:paraId="69AF693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975" w:type="dxa"/>
            <w:vAlign w:val="center"/>
          </w:tcPr>
          <w:p w14:paraId="08C8FCC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800" w:type="dxa"/>
            <w:vAlign w:val="center"/>
          </w:tcPr>
          <w:p w14:paraId="07E8CD7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615" w:type="dxa"/>
            <w:vAlign w:val="center"/>
          </w:tcPr>
          <w:p w14:paraId="279696D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2915DF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470" w:type="dxa"/>
            <w:vAlign w:val="center"/>
          </w:tcPr>
          <w:p w14:paraId="0B72C72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66FF17D7">
            <w:pPr>
              <w:spacing w:line="240" w:lineRule="atLeast"/>
              <w:jc w:val="left"/>
              <w:rPr>
                <w:rFonts w:ascii="仿宋_GB2312" w:hAnsi="仿宋_GB2312" w:eastAsia="仿宋_GB2312" w:cs="仿宋_GB2312"/>
                <w:sz w:val="20"/>
                <w:szCs w:val="20"/>
              </w:rPr>
            </w:pPr>
          </w:p>
        </w:tc>
      </w:tr>
      <w:tr w14:paraId="2F7C4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18949EA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41</w:t>
            </w:r>
          </w:p>
        </w:tc>
        <w:tc>
          <w:tcPr>
            <w:tcW w:w="555" w:type="dxa"/>
            <w:vAlign w:val="center"/>
          </w:tcPr>
          <w:p w14:paraId="1A53399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AE2380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DFF9BA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814" w:type="dxa"/>
            <w:vAlign w:val="center"/>
          </w:tcPr>
          <w:p w14:paraId="31D153A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对破坏或者擅自改变永久基本农田标志行为的处罚</w:t>
            </w:r>
          </w:p>
        </w:tc>
        <w:tc>
          <w:tcPr>
            <w:tcW w:w="600" w:type="dxa"/>
            <w:vAlign w:val="center"/>
          </w:tcPr>
          <w:p w14:paraId="1B136474">
            <w:pPr>
              <w:snapToGrid w:val="0"/>
              <w:spacing w:line="240" w:lineRule="atLeast"/>
              <w:jc w:val="center"/>
              <w:rPr>
                <w:rFonts w:ascii="仿宋_GB2312" w:hAnsi="仿宋_GB2312" w:eastAsia="仿宋_GB2312" w:cs="仿宋_GB2312"/>
                <w:sz w:val="20"/>
                <w:szCs w:val="20"/>
              </w:rPr>
            </w:pPr>
          </w:p>
        </w:tc>
        <w:tc>
          <w:tcPr>
            <w:tcW w:w="600" w:type="dxa"/>
            <w:vAlign w:val="center"/>
          </w:tcPr>
          <w:p w14:paraId="3A2DD64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975" w:type="dxa"/>
            <w:vAlign w:val="center"/>
          </w:tcPr>
          <w:p w14:paraId="2A23426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800" w:type="dxa"/>
            <w:vAlign w:val="center"/>
          </w:tcPr>
          <w:p w14:paraId="0F8DDEB2">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【行政法规】《基本农田保护条例》（</w:t>
            </w:r>
            <w:r>
              <w:rPr>
                <w:rFonts w:hint="eastAsia" w:eastAsia="仿宋_GB2312"/>
                <w:snapToGrid w:val="0"/>
                <w:color w:val="000000"/>
                <w:sz w:val="20"/>
                <w:szCs w:val="20"/>
              </w:rPr>
              <w:t>1998</w:t>
            </w:r>
            <w:r>
              <w:rPr>
                <w:rFonts w:hint="eastAsia" w:eastAsia="仿宋_GB2312" w:cs="宋体"/>
                <w:snapToGrid w:val="0"/>
                <w:color w:val="000000"/>
                <w:sz w:val="20"/>
                <w:szCs w:val="20"/>
              </w:rPr>
              <w:t>年国务院令第</w:t>
            </w:r>
            <w:r>
              <w:rPr>
                <w:rFonts w:hint="eastAsia" w:eastAsia="仿宋_GB2312"/>
                <w:snapToGrid w:val="0"/>
                <w:color w:val="000000"/>
                <w:sz w:val="20"/>
                <w:szCs w:val="20"/>
              </w:rPr>
              <w:t>257</w:t>
            </w:r>
            <w:r>
              <w:rPr>
                <w:rFonts w:hint="eastAsia" w:eastAsia="仿宋_GB2312" w:cs="宋体"/>
                <w:snapToGrid w:val="0"/>
                <w:color w:val="000000"/>
                <w:sz w:val="20"/>
                <w:szCs w:val="20"/>
              </w:rPr>
              <w:t>号发布，</w:t>
            </w:r>
            <w:r>
              <w:rPr>
                <w:rFonts w:hint="eastAsia" w:eastAsia="仿宋_GB2312"/>
                <w:snapToGrid w:val="0"/>
                <w:color w:val="000000"/>
                <w:sz w:val="20"/>
                <w:szCs w:val="20"/>
              </w:rPr>
              <w:t>2011</w:t>
            </w:r>
            <w:r>
              <w:rPr>
                <w:rFonts w:hint="eastAsia" w:eastAsia="仿宋_GB2312" w:cs="宋体"/>
                <w:snapToGrid w:val="0"/>
                <w:color w:val="000000"/>
                <w:sz w:val="20"/>
                <w:szCs w:val="20"/>
              </w:rPr>
              <w:t>年国务院令第</w:t>
            </w:r>
            <w:r>
              <w:rPr>
                <w:rFonts w:hint="eastAsia" w:eastAsia="仿宋_GB2312"/>
                <w:snapToGrid w:val="0"/>
                <w:color w:val="000000"/>
                <w:sz w:val="20"/>
                <w:szCs w:val="20"/>
              </w:rPr>
              <w:t>588</w:t>
            </w:r>
            <w:r>
              <w:rPr>
                <w:rFonts w:hint="eastAsia" w:eastAsia="仿宋_GB2312" w:cs="宋体"/>
                <w:snapToGrid w:val="0"/>
                <w:color w:val="000000"/>
                <w:sz w:val="20"/>
                <w:szCs w:val="20"/>
              </w:rPr>
              <w:t>号修正）第三十二条：违反本条例规定，破坏或者擅自改变基本农田保护区标志的，由县级以上地方人民政府土地行政主管部门或者农业行政主管部门责令恢复原状，可以处</w:t>
            </w:r>
            <w:r>
              <w:rPr>
                <w:rFonts w:hint="eastAsia" w:eastAsia="仿宋_GB2312"/>
                <w:snapToGrid w:val="0"/>
                <w:color w:val="000000"/>
                <w:sz w:val="20"/>
                <w:szCs w:val="20"/>
              </w:rPr>
              <w:t>1000</w:t>
            </w:r>
            <w:r>
              <w:rPr>
                <w:rFonts w:hint="eastAsia" w:eastAsia="仿宋_GB2312" w:cs="宋体"/>
                <w:snapToGrid w:val="0"/>
                <w:color w:val="000000"/>
                <w:sz w:val="20"/>
                <w:szCs w:val="20"/>
              </w:rPr>
              <w:t>元以下罚款。</w:t>
            </w:r>
          </w:p>
        </w:tc>
        <w:tc>
          <w:tcPr>
            <w:tcW w:w="3615" w:type="dxa"/>
            <w:vAlign w:val="center"/>
          </w:tcPr>
          <w:p w14:paraId="65EA2CD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856601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500BB8B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8096C1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EA5460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F6D860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562F5FC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4E4AFB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470" w:type="dxa"/>
            <w:vAlign w:val="center"/>
          </w:tcPr>
          <w:p w14:paraId="599D61B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57F52FA">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5267D2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47277F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376502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96ADA9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58665F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DC92044">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5E5FBE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824B4B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0701A0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34DFAA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B551A3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0BF2A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4A95F3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9621DB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836F90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EEAC7C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A0D2FB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225A6F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3A926F4">
            <w:pPr>
              <w:snapToGrid w:val="0"/>
              <w:spacing w:line="240" w:lineRule="atLeast"/>
              <w:jc w:val="center"/>
              <w:rPr>
                <w:rFonts w:ascii="仿宋_GB2312" w:hAnsi="仿宋_GB2312" w:eastAsia="仿宋_GB2312" w:cs="仿宋_GB2312"/>
                <w:sz w:val="20"/>
                <w:szCs w:val="20"/>
              </w:rPr>
            </w:pPr>
          </w:p>
        </w:tc>
      </w:tr>
    </w:tbl>
    <w:p w14:paraId="1B564873"/>
    <w:p w14:paraId="56375A48"/>
    <w:p w14:paraId="4448CD4E"/>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99"/>
        <w:gridCol w:w="600"/>
        <w:gridCol w:w="615"/>
        <w:gridCol w:w="975"/>
        <w:gridCol w:w="4830"/>
        <w:gridCol w:w="3585"/>
        <w:gridCol w:w="9470"/>
        <w:gridCol w:w="330"/>
      </w:tblGrid>
      <w:tr w14:paraId="38C0F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9B47543">
            <w:pPr>
              <w:snapToGrid w:val="0"/>
              <w:spacing w:line="240" w:lineRule="atLeast"/>
              <w:jc w:val="left"/>
              <w:rPr>
                <w:rFonts w:asciiTheme="majorEastAsia" w:hAnsiTheme="majorEastAsia" w:eastAsiaTheme="majorEastAsia" w:cstheme="majorEastAsia"/>
                <w:spacing w:val="-23"/>
                <w:sz w:val="20"/>
                <w:szCs w:val="20"/>
              </w:rPr>
            </w:pPr>
          </w:p>
          <w:p w14:paraId="133C6BE8">
            <w:pPr>
              <w:snapToGrid w:val="0"/>
              <w:spacing w:line="240" w:lineRule="atLeast"/>
              <w:jc w:val="left"/>
              <w:rPr>
                <w:rFonts w:asciiTheme="majorEastAsia" w:hAnsiTheme="majorEastAsia" w:eastAsiaTheme="majorEastAsia" w:cstheme="majorEastAsia"/>
                <w:spacing w:val="-23"/>
                <w:sz w:val="20"/>
                <w:szCs w:val="20"/>
              </w:rPr>
            </w:pPr>
          </w:p>
          <w:p w14:paraId="0F490957">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58223B1C">
            <w:pPr>
              <w:spacing w:line="240" w:lineRule="atLeast"/>
              <w:rPr>
                <w:rFonts w:asciiTheme="majorEastAsia" w:hAnsiTheme="majorEastAsia" w:eastAsiaTheme="majorEastAsia" w:cstheme="majorEastAsia"/>
                <w:spacing w:val="-20"/>
                <w:sz w:val="20"/>
                <w:szCs w:val="20"/>
              </w:rPr>
            </w:pPr>
          </w:p>
          <w:p w14:paraId="0E6F4D3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819" w:type="dxa"/>
            <w:gridSpan w:val="5"/>
            <w:vAlign w:val="center"/>
          </w:tcPr>
          <w:p w14:paraId="091A825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055" w:type="dxa"/>
            <w:gridSpan w:val="2"/>
            <w:vAlign w:val="center"/>
          </w:tcPr>
          <w:p w14:paraId="4ABE7BC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49BEAE0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185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A1D7D25">
            <w:pPr>
              <w:spacing w:line="240" w:lineRule="atLeast"/>
              <w:jc w:val="left"/>
              <w:rPr>
                <w:rFonts w:ascii="仿宋_GB2312" w:hAnsi="仿宋_GB2312" w:eastAsia="仿宋_GB2312" w:cs="仿宋_GB2312"/>
                <w:sz w:val="20"/>
                <w:szCs w:val="20"/>
              </w:rPr>
            </w:pPr>
          </w:p>
        </w:tc>
        <w:tc>
          <w:tcPr>
            <w:tcW w:w="555" w:type="dxa"/>
            <w:vMerge w:val="continue"/>
          </w:tcPr>
          <w:p w14:paraId="370B6437">
            <w:pPr>
              <w:spacing w:line="240" w:lineRule="atLeast"/>
              <w:jc w:val="left"/>
              <w:rPr>
                <w:rFonts w:ascii="仿宋_GB2312" w:hAnsi="仿宋_GB2312" w:eastAsia="仿宋_GB2312" w:cs="仿宋_GB2312"/>
                <w:sz w:val="20"/>
                <w:szCs w:val="20"/>
              </w:rPr>
            </w:pPr>
          </w:p>
        </w:tc>
        <w:tc>
          <w:tcPr>
            <w:tcW w:w="799" w:type="dxa"/>
            <w:vAlign w:val="center"/>
          </w:tcPr>
          <w:p w14:paraId="6249778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76DAFE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00" w:type="dxa"/>
            <w:vAlign w:val="center"/>
          </w:tcPr>
          <w:p w14:paraId="10A154C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2B0AC3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975" w:type="dxa"/>
            <w:vAlign w:val="center"/>
          </w:tcPr>
          <w:p w14:paraId="53BF6BE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830" w:type="dxa"/>
            <w:vAlign w:val="center"/>
          </w:tcPr>
          <w:p w14:paraId="55BBA37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7DA814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896834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470" w:type="dxa"/>
            <w:vAlign w:val="center"/>
          </w:tcPr>
          <w:p w14:paraId="2251D6F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6031E228">
            <w:pPr>
              <w:spacing w:line="240" w:lineRule="atLeast"/>
              <w:jc w:val="left"/>
              <w:rPr>
                <w:rFonts w:ascii="仿宋_GB2312" w:hAnsi="仿宋_GB2312" w:eastAsia="仿宋_GB2312" w:cs="仿宋_GB2312"/>
                <w:sz w:val="20"/>
                <w:szCs w:val="20"/>
              </w:rPr>
            </w:pPr>
          </w:p>
        </w:tc>
      </w:tr>
      <w:tr w14:paraId="5EB78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1D33F27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42</w:t>
            </w:r>
          </w:p>
        </w:tc>
        <w:tc>
          <w:tcPr>
            <w:tcW w:w="555" w:type="dxa"/>
            <w:vAlign w:val="center"/>
          </w:tcPr>
          <w:p w14:paraId="2454D69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D803C1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CB01E8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99" w:type="dxa"/>
            <w:vAlign w:val="center"/>
          </w:tcPr>
          <w:p w14:paraId="5A31D1C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对接受土地调查的单位和个人无正当理由不履行现场指界义务行为的处罚</w:t>
            </w:r>
          </w:p>
        </w:tc>
        <w:tc>
          <w:tcPr>
            <w:tcW w:w="600" w:type="dxa"/>
            <w:vAlign w:val="center"/>
          </w:tcPr>
          <w:p w14:paraId="391517C8">
            <w:pPr>
              <w:snapToGrid w:val="0"/>
              <w:spacing w:line="240" w:lineRule="atLeast"/>
              <w:jc w:val="center"/>
              <w:rPr>
                <w:rFonts w:ascii="仿宋_GB2312" w:hAnsi="仿宋_GB2312" w:eastAsia="仿宋_GB2312" w:cs="仿宋_GB2312"/>
                <w:sz w:val="20"/>
                <w:szCs w:val="20"/>
              </w:rPr>
            </w:pPr>
          </w:p>
        </w:tc>
        <w:tc>
          <w:tcPr>
            <w:tcW w:w="615" w:type="dxa"/>
            <w:vAlign w:val="center"/>
          </w:tcPr>
          <w:p w14:paraId="2DDFAD1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975" w:type="dxa"/>
            <w:vAlign w:val="center"/>
          </w:tcPr>
          <w:p w14:paraId="47DE156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830" w:type="dxa"/>
            <w:vAlign w:val="center"/>
          </w:tcPr>
          <w:p w14:paraId="4D12120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土地调查条例》（2008年国务院令第518号公布，2018年国务院令第698号修正）第十七条：接受调查的有关单位和个人应当如实回答询问，履行现场指界义务，按照要求提供相关资料，不得转移、隐匿、篡改、毁弃原始记录和土地登记簿等相关资料。</w:t>
            </w:r>
          </w:p>
          <w:p w14:paraId="3893613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接受调查的单位和个人有下列行为之一的，由县级以上人民政府国土资源主管部门责令限期改正，可以处5万元以下的罚款；构成违反治安管理行为的，由公安机关依法给予治安管理处罚；构成犯罪的，依法追究刑事责任：</w:t>
            </w:r>
          </w:p>
          <w:p w14:paraId="158FBE8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（一）拒绝或者阻挠土地调查人员依法进行调查的；</w:t>
            </w:r>
          </w:p>
          <w:p w14:paraId="0BFB9A0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（二）提供虚假调查资料的；</w:t>
            </w:r>
          </w:p>
          <w:p w14:paraId="34F376A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（三）拒绝提供调查资料的；</w:t>
            </w:r>
          </w:p>
          <w:p w14:paraId="4F714E7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（四）转移、隐匿、篡改、毁弃原始记录、土地登记簿等相关资料的。</w:t>
            </w:r>
          </w:p>
          <w:p w14:paraId="33A3097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土地调查条例实施办法》（2009年国土资源部第45号令公布，2019年自然资源部令第5号修正）第二十九条：接受土地调查的单位和个人违反条例第十七条的规定，无正当理由不履行现场指界义务的，由县级以上人民政府自然资源主管部门责令限期改正，逾期不改正的，依照条例第三十二条的规定进行处罚。</w:t>
            </w:r>
          </w:p>
          <w:p w14:paraId="223E434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一条：承担土地调查任务的单位不符合条例第十三条和本办法第十条规定的相关条件，弄虚作假，骗取土地调查任务的，县级以上自然资源主管部门应当终止该单位承担的土地调查任务，并不再将该单位列入土地调查单位名录。</w:t>
            </w:r>
          </w:p>
          <w:p w14:paraId="28F9B87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第三十二条：土地调查人员违反条例第三十一条规定的，由自然资源部注销土地调查员工作证，不得再次参加土地调查人员考核。</w:t>
            </w:r>
          </w:p>
        </w:tc>
        <w:tc>
          <w:tcPr>
            <w:tcW w:w="3585" w:type="dxa"/>
            <w:vAlign w:val="center"/>
          </w:tcPr>
          <w:p w14:paraId="5F24C03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61C7CBE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2479B59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4AB38F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2666E6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47B01E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14CCDB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6D7D1F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470" w:type="dxa"/>
            <w:vAlign w:val="center"/>
          </w:tcPr>
          <w:p w14:paraId="41390866">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EA66D00">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6B551D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6326AF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B5E10F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14746D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0DF137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7C4BEA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E7B1B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867DBD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F0BB45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551439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253581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1C03D5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0F348A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E6F195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02C29D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7BB1C0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C7B29E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FE2EB7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3930964">
            <w:pPr>
              <w:snapToGrid w:val="0"/>
              <w:spacing w:line="240" w:lineRule="atLeast"/>
              <w:jc w:val="center"/>
              <w:rPr>
                <w:rFonts w:ascii="仿宋_GB2312" w:hAnsi="仿宋_GB2312" w:eastAsia="仿宋_GB2312" w:cs="仿宋_GB2312"/>
                <w:sz w:val="20"/>
                <w:szCs w:val="20"/>
              </w:rPr>
            </w:pPr>
          </w:p>
        </w:tc>
      </w:tr>
    </w:tbl>
    <w:p w14:paraId="7A81F42C"/>
    <w:p w14:paraId="4F405733"/>
    <w:p w14:paraId="421A3977"/>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814"/>
        <w:gridCol w:w="615"/>
        <w:gridCol w:w="600"/>
        <w:gridCol w:w="960"/>
        <w:gridCol w:w="4770"/>
        <w:gridCol w:w="3615"/>
        <w:gridCol w:w="9500"/>
        <w:gridCol w:w="330"/>
      </w:tblGrid>
      <w:tr w14:paraId="07B5C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F07E9A1">
            <w:pPr>
              <w:snapToGrid w:val="0"/>
              <w:spacing w:line="240" w:lineRule="atLeast"/>
              <w:jc w:val="left"/>
              <w:rPr>
                <w:rFonts w:asciiTheme="majorEastAsia" w:hAnsiTheme="majorEastAsia" w:eastAsiaTheme="majorEastAsia" w:cstheme="majorEastAsia"/>
                <w:spacing w:val="-23"/>
                <w:sz w:val="20"/>
                <w:szCs w:val="20"/>
              </w:rPr>
            </w:pPr>
          </w:p>
          <w:p w14:paraId="0072A34F">
            <w:pPr>
              <w:snapToGrid w:val="0"/>
              <w:spacing w:line="240" w:lineRule="atLeast"/>
              <w:jc w:val="left"/>
              <w:rPr>
                <w:rFonts w:asciiTheme="majorEastAsia" w:hAnsiTheme="majorEastAsia" w:eastAsiaTheme="majorEastAsia" w:cstheme="majorEastAsia"/>
                <w:spacing w:val="-23"/>
                <w:sz w:val="20"/>
                <w:szCs w:val="20"/>
              </w:rPr>
            </w:pPr>
          </w:p>
          <w:p w14:paraId="09544352">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2E033801">
            <w:pPr>
              <w:spacing w:line="240" w:lineRule="atLeast"/>
              <w:rPr>
                <w:rFonts w:asciiTheme="majorEastAsia" w:hAnsiTheme="majorEastAsia" w:eastAsiaTheme="majorEastAsia" w:cstheme="majorEastAsia"/>
                <w:spacing w:val="-20"/>
                <w:sz w:val="20"/>
                <w:szCs w:val="20"/>
              </w:rPr>
            </w:pPr>
          </w:p>
          <w:p w14:paraId="2550D3F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59" w:type="dxa"/>
            <w:gridSpan w:val="5"/>
            <w:vAlign w:val="center"/>
          </w:tcPr>
          <w:p w14:paraId="1667758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15" w:type="dxa"/>
            <w:gridSpan w:val="2"/>
            <w:vAlign w:val="center"/>
          </w:tcPr>
          <w:p w14:paraId="0746D69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0D204FD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7802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060C70B">
            <w:pPr>
              <w:spacing w:line="240" w:lineRule="atLeast"/>
              <w:jc w:val="left"/>
              <w:rPr>
                <w:rFonts w:ascii="仿宋_GB2312" w:hAnsi="仿宋_GB2312" w:eastAsia="仿宋_GB2312" w:cs="仿宋_GB2312"/>
                <w:sz w:val="20"/>
                <w:szCs w:val="20"/>
              </w:rPr>
            </w:pPr>
          </w:p>
        </w:tc>
        <w:tc>
          <w:tcPr>
            <w:tcW w:w="555" w:type="dxa"/>
            <w:vMerge w:val="continue"/>
          </w:tcPr>
          <w:p w14:paraId="311C34BC">
            <w:pPr>
              <w:spacing w:line="240" w:lineRule="atLeast"/>
              <w:jc w:val="left"/>
              <w:rPr>
                <w:rFonts w:ascii="仿宋_GB2312" w:hAnsi="仿宋_GB2312" w:eastAsia="仿宋_GB2312" w:cs="仿宋_GB2312"/>
                <w:sz w:val="20"/>
                <w:szCs w:val="20"/>
              </w:rPr>
            </w:pPr>
          </w:p>
        </w:tc>
        <w:tc>
          <w:tcPr>
            <w:tcW w:w="814" w:type="dxa"/>
            <w:vAlign w:val="center"/>
          </w:tcPr>
          <w:p w14:paraId="515FA95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26F7D2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15" w:type="dxa"/>
            <w:vAlign w:val="center"/>
          </w:tcPr>
          <w:p w14:paraId="159ED55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00" w:type="dxa"/>
            <w:vAlign w:val="center"/>
          </w:tcPr>
          <w:p w14:paraId="5194068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960" w:type="dxa"/>
            <w:vAlign w:val="center"/>
          </w:tcPr>
          <w:p w14:paraId="569C760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770" w:type="dxa"/>
            <w:vAlign w:val="center"/>
          </w:tcPr>
          <w:p w14:paraId="325C63E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615" w:type="dxa"/>
            <w:vAlign w:val="center"/>
          </w:tcPr>
          <w:p w14:paraId="0847B84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2B35DA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00" w:type="dxa"/>
            <w:vAlign w:val="center"/>
          </w:tcPr>
          <w:p w14:paraId="7AC8014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2B0B86C4">
            <w:pPr>
              <w:spacing w:line="240" w:lineRule="atLeast"/>
              <w:jc w:val="left"/>
              <w:rPr>
                <w:rFonts w:ascii="仿宋_GB2312" w:hAnsi="仿宋_GB2312" w:eastAsia="仿宋_GB2312" w:cs="仿宋_GB2312"/>
                <w:sz w:val="20"/>
                <w:szCs w:val="20"/>
              </w:rPr>
            </w:pPr>
          </w:p>
        </w:tc>
      </w:tr>
      <w:tr w14:paraId="36A51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6449CCC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43</w:t>
            </w:r>
          </w:p>
        </w:tc>
        <w:tc>
          <w:tcPr>
            <w:tcW w:w="555" w:type="dxa"/>
            <w:vAlign w:val="center"/>
          </w:tcPr>
          <w:p w14:paraId="726D2FB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DC3B2D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8C6BF3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814" w:type="dxa"/>
            <w:vAlign w:val="center"/>
          </w:tcPr>
          <w:p w14:paraId="24AF4CE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对接受调查的单位和个人拒绝或者阻挠土地调查人员依法进行调查行为的处罚</w:t>
            </w:r>
          </w:p>
        </w:tc>
        <w:tc>
          <w:tcPr>
            <w:tcW w:w="615" w:type="dxa"/>
            <w:vAlign w:val="center"/>
          </w:tcPr>
          <w:p w14:paraId="3401C180">
            <w:pPr>
              <w:snapToGrid w:val="0"/>
              <w:spacing w:line="240" w:lineRule="atLeast"/>
              <w:jc w:val="center"/>
              <w:rPr>
                <w:rFonts w:ascii="仿宋_GB2312" w:hAnsi="仿宋_GB2312" w:eastAsia="仿宋_GB2312" w:cs="仿宋_GB2312"/>
                <w:sz w:val="20"/>
                <w:szCs w:val="20"/>
              </w:rPr>
            </w:pPr>
          </w:p>
        </w:tc>
        <w:tc>
          <w:tcPr>
            <w:tcW w:w="600" w:type="dxa"/>
            <w:vAlign w:val="center"/>
          </w:tcPr>
          <w:p w14:paraId="609331A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960" w:type="dxa"/>
            <w:vAlign w:val="center"/>
          </w:tcPr>
          <w:p w14:paraId="361744F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770" w:type="dxa"/>
            <w:vAlign w:val="center"/>
          </w:tcPr>
          <w:p w14:paraId="343F0A86">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【行政法规】《土地调查条例》（</w:t>
            </w:r>
            <w:r>
              <w:rPr>
                <w:rFonts w:hint="eastAsia" w:eastAsia="仿宋_GB2312"/>
                <w:snapToGrid w:val="0"/>
                <w:color w:val="000000"/>
                <w:sz w:val="20"/>
                <w:szCs w:val="20"/>
              </w:rPr>
              <w:t>2008</w:t>
            </w:r>
            <w:r>
              <w:rPr>
                <w:rFonts w:hint="eastAsia" w:eastAsia="仿宋_GB2312" w:cs="宋体"/>
                <w:snapToGrid w:val="0"/>
                <w:color w:val="000000"/>
                <w:sz w:val="20"/>
                <w:szCs w:val="20"/>
              </w:rPr>
              <w:t>年国务院令第</w:t>
            </w:r>
            <w:r>
              <w:rPr>
                <w:rFonts w:hint="eastAsia" w:eastAsia="仿宋_GB2312"/>
                <w:snapToGrid w:val="0"/>
                <w:color w:val="000000"/>
                <w:sz w:val="20"/>
                <w:szCs w:val="20"/>
              </w:rPr>
              <w:t>518</w:t>
            </w:r>
            <w:r>
              <w:rPr>
                <w:rFonts w:hint="eastAsia" w:eastAsia="仿宋_GB2312" w:cs="宋体"/>
                <w:snapToGrid w:val="0"/>
                <w:color w:val="000000"/>
                <w:sz w:val="20"/>
                <w:szCs w:val="20"/>
              </w:rPr>
              <w:t>号公布，</w:t>
            </w:r>
            <w:r>
              <w:rPr>
                <w:rFonts w:hint="eastAsia" w:eastAsia="仿宋_GB2312"/>
                <w:snapToGrid w:val="0"/>
                <w:color w:val="000000"/>
                <w:sz w:val="20"/>
                <w:szCs w:val="20"/>
              </w:rPr>
              <w:t>2018</w:t>
            </w:r>
            <w:r>
              <w:rPr>
                <w:rFonts w:hint="eastAsia" w:eastAsia="仿宋_GB2312" w:cs="宋体"/>
                <w:snapToGrid w:val="0"/>
                <w:color w:val="000000"/>
                <w:sz w:val="20"/>
                <w:szCs w:val="20"/>
              </w:rPr>
              <w:t>年国务院令第</w:t>
            </w:r>
            <w:r>
              <w:rPr>
                <w:rFonts w:hint="eastAsia" w:eastAsia="仿宋_GB2312"/>
                <w:snapToGrid w:val="0"/>
                <w:color w:val="000000"/>
                <w:sz w:val="20"/>
                <w:szCs w:val="20"/>
              </w:rPr>
              <w:t>698</w:t>
            </w:r>
            <w:r>
              <w:rPr>
                <w:rFonts w:hint="eastAsia" w:eastAsia="仿宋_GB2312" w:cs="宋体"/>
                <w:snapToGrid w:val="0"/>
                <w:color w:val="000000"/>
                <w:sz w:val="20"/>
                <w:szCs w:val="20"/>
              </w:rPr>
              <w:t>号修正）第三十二条：接受调查的单位和个人有下列行为之一的，由县级以上人民政府国土资源主管部门责令限期改正，可以处</w:t>
            </w:r>
            <w:r>
              <w:rPr>
                <w:rFonts w:hint="eastAsia" w:eastAsia="仿宋_GB2312"/>
                <w:snapToGrid w:val="0"/>
                <w:color w:val="000000"/>
                <w:sz w:val="20"/>
                <w:szCs w:val="20"/>
              </w:rPr>
              <w:t>5</w:t>
            </w:r>
            <w:r>
              <w:rPr>
                <w:rFonts w:hint="eastAsia" w:eastAsia="仿宋_GB2312" w:cs="宋体"/>
                <w:snapToGrid w:val="0"/>
                <w:color w:val="000000"/>
                <w:sz w:val="20"/>
                <w:szCs w:val="20"/>
              </w:rPr>
              <w:t>万元以下的罚款；构成违反治安管理行为的，由公安机关依法给予治安管理处罚；构成犯罪的，依法追究刑事责任：</w:t>
            </w:r>
          </w:p>
          <w:p w14:paraId="39C7B925">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（一）拒绝或者阻挠土地调查人员依法进行调查的。</w:t>
            </w:r>
          </w:p>
        </w:tc>
        <w:tc>
          <w:tcPr>
            <w:tcW w:w="3615" w:type="dxa"/>
            <w:vAlign w:val="center"/>
          </w:tcPr>
          <w:p w14:paraId="31FD59E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58106B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2D4D8F7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DF5DAB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F02B2E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BA919E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B56737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C0DDED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00" w:type="dxa"/>
            <w:vAlign w:val="center"/>
          </w:tcPr>
          <w:p w14:paraId="552426D7">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711A09D">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AB1375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96F1C5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728B21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5AEE2F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873987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AA80D24">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3F55BF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7C8C01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180EA2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D2AA1B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3E099D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51720B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65F7A9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E5E84A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B519E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B38F57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B04FB5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151953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BA63A11">
            <w:pPr>
              <w:snapToGrid w:val="0"/>
              <w:spacing w:line="240" w:lineRule="atLeast"/>
              <w:jc w:val="center"/>
              <w:rPr>
                <w:rFonts w:ascii="仿宋_GB2312" w:hAnsi="仿宋_GB2312" w:eastAsia="仿宋_GB2312" w:cs="仿宋_GB2312"/>
                <w:sz w:val="20"/>
                <w:szCs w:val="20"/>
              </w:rPr>
            </w:pPr>
          </w:p>
        </w:tc>
      </w:tr>
    </w:tbl>
    <w:p w14:paraId="68E5F0D5"/>
    <w:p w14:paraId="248DCB66"/>
    <w:p w14:paraId="38C9C6AC"/>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814"/>
        <w:gridCol w:w="615"/>
        <w:gridCol w:w="585"/>
        <w:gridCol w:w="975"/>
        <w:gridCol w:w="4755"/>
        <w:gridCol w:w="3645"/>
        <w:gridCol w:w="9485"/>
        <w:gridCol w:w="330"/>
      </w:tblGrid>
      <w:tr w14:paraId="5518F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2BCB486">
            <w:pPr>
              <w:snapToGrid w:val="0"/>
              <w:spacing w:line="240" w:lineRule="atLeast"/>
              <w:jc w:val="left"/>
              <w:rPr>
                <w:rFonts w:asciiTheme="majorEastAsia" w:hAnsiTheme="majorEastAsia" w:eastAsiaTheme="majorEastAsia" w:cstheme="majorEastAsia"/>
                <w:spacing w:val="-23"/>
                <w:sz w:val="20"/>
                <w:szCs w:val="20"/>
              </w:rPr>
            </w:pPr>
          </w:p>
          <w:p w14:paraId="3F2FFFAC">
            <w:pPr>
              <w:snapToGrid w:val="0"/>
              <w:spacing w:line="240" w:lineRule="atLeast"/>
              <w:jc w:val="left"/>
              <w:rPr>
                <w:rFonts w:asciiTheme="majorEastAsia" w:hAnsiTheme="majorEastAsia" w:eastAsiaTheme="majorEastAsia" w:cstheme="majorEastAsia"/>
                <w:spacing w:val="-23"/>
                <w:sz w:val="20"/>
                <w:szCs w:val="20"/>
              </w:rPr>
            </w:pPr>
          </w:p>
          <w:p w14:paraId="15FDFE6E">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5B316CCC">
            <w:pPr>
              <w:spacing w:line="240" w:lineRule="atLeast"/>
              <w:rPr>
                <w:rFonts w:asciiTheme="majorEastAsia" w:hAnsiTheme="majorEastAsia" w:eastAsiaTheme="majorEastAsia" w:cstheme="majorEastAsia"/>
                <w:spacing w:val="-20"/>
                <w:sz w:val="20"/>
                <w:szCs w:val="20"/>
              </w:rPr>
            </w:pPr>
          </w:p>
          <w:p w14:paraId="310FD3D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44" w:type="dxa"/>
            <w:gridSpan w:val="5"/>
            <w:vAlign w:val="center"/>
          </w:tcPr>
          <w:p w14:paraId="598B3B0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30" w:type="dxa"/>
            <w:gridSpan w:val="2"/>
            <w:vAlign w:val="center"/>
          </w:tcPr>
          <w:p w14:paraId="2C24020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5DB645E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4788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4891E46">
            <w:pPr>
              <w:spacing w:line="240" w:lineRule="atLeast"/>
              <w:jc w:val="left"/>
              <w:rPr>
                <w:rFonts w:ascii="仿宋_GB2312" w:hAnsi="仿宋_GB2312" w:eastAsia="仿宋_GB2312" w:cs="仿宋_GB2312"/>
                <w:sz w:val="20"/>
                <w:szCs w:val="20"/>
              </w:rPr>
            </w:pPr>
          </w:p>
        </w:tc>
        <w:tc>
          <w:tcPr>
            <w:tcW w:w="555" w:type="dxa"/>
            <w:vMerge w:val="continue"/>
          </w:tcPr>
          <w:p w14:paraId="1ACF587F">
            <w:pPr>
              <w:spacing w:line="240" w:lineRule="atLeast"/>
              <w:jc w:val="left"/>
              <w:rPr>
                <w:rFonts w:ascii="仿宋_GB2312" w:hAnsi="仿宋_GB2312" w:eastAsia="仿宋_GB2312" w:cs="仿宋_GB2312"/>
                <w:sz w:val="20"/>
                <w:szCs w:val="20"/>
              </w:rPr>
            </w:pPr>
          </w:p>
        </w:tc>
        <w:tc>
          <w:tcPr>
            <w:tcW w:w="814" w:type="dxa"/>
            <w:vAlign w:val="center"/>
          </w:tcPr>
          <w:p w14:paraId="39C578A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EAC4CE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15" w:type="dxa"/>
            <w:vAlign w:val="center"/>
          </w:tcPr>
          <w:p w14:paraId="569653C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3FCDBC7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975" w:type="dxa"/>
            <w:vAlign w:val="center"/>
          </w:tcPr>
          <w:p w14:paraId="6F79108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755" w:type="dxa"/>
            <w:vAlign w:val="center"/>
          </w:tcPr>
          <w:p w14:paraId="7A04DB9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645" w:type="dxa"/>
            <w:vAlign w:val="center"/>
          </w:tcPr>
          <w:p w14:paraId="0B8FEC6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B10A3E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485" w:type="dxa"/>
            <w:vAlign w:val="center"/>
          </w:tcPr>
          <w:p w14:paraId="0B94DE8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461C4B48">
            <w:pPr>
              <w:spacing w:line="240" w:lineRule="atLeast"/>
              <w:jc w:val="left"/>
              <w:rPr>
                <w:rFonts w:ascii="仿宋_GB2312" w:hAnsi="仿宋_GB2312" w:eastAsia="仿宋_GB2312" w:cs="仿宋_GB2312"/>
                <w:sz w:val="20"/>
                <w:szCs w:val="20"/>
              </w:rPr>
            </w:pPr>
          </w:p>
        </w:tc>
      </w:tr>
      <w:tr w14:paraId="4F051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00AAEDD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44</w:t>
            </w:r>
          </w:p>
        </w:tc>
        <w:tc>
          <w:tcPr>
            <w:tcW w:w="555" w:type="dxa"/>
            <w:vAlign w:val="center"/>
          </w:tcPr>
          <w:p w14:paraId="0F1C775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56509C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86A0EF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814" w:type="dxa"/>
            <w:vAlign w:val="center"/>
          </w:tcPr>
          <w:p w14:paraId="340D677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对接受调查的单位和个人提供虚假调查资料行为的处罚</w:t>
            </w:r>
          </w:p>
        </w:tc>
        <w:tc>
          <w:tcPr>
            <w:tcW w:w="615" w:type="dxa"/>
            <w:vAlign w:val="center"/>
          </w:tcPr>
          <w:p w14:paraId="61EFCFF4">
            <w:pPr>
              <w:snapToGrid w:val="0"/>
              <w:spacing w:line="240" w:lineRule="atLeast"/>
              <w:jc w:val="center"/>
              <w:rPr>
                <w:rFonts w:ascii="仿宋_GB2312" w:hAnsi="仿宋_GB2312" w:eastAsia="仿宋_GB2312" w:cs="仿宋_GB2312"/>
                <w:sz w:val="20"/>
                <w:szCs w:val="20"/>
              </w:rPr>
            </w:pPr>
          </w:p>
        </w:tc>
        <w:tc>
          <w:tcPr>
            <w:tcW w:w="585" w:type="dxa"/>
            <w:vAlign w:val="center"/>
          </w:tcPr>
          <w:p w14:paraId="77A6E4E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975" w:type="dxa"/>
            <w:vAlign w:val="center"/>
          </w:tcPr>
          <w:p w14:paraId="5989DE4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755" w:type="dxa"/>
            <w:vAlign w:val="center"/>
          </w:tcPr>
          <w:p w14:paraId="742D76C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【行政法规】《土地调查条例》（</w:t>
            </w:r>
            <w:r>
              <w:rPr>
                <w:rFonts w:hint="eastAsia" w:eastAsia="仿宋_GB2312"/>
                <w:snapToGrid w:val="0"/>
                <w:color w:val="000000"/>
                <w:sz w:val="20"/>
                <w:szCs w:val="20"/>
              </w:rPr>
              <w:t>2008</w:t>
            </w:r>
            <w:r>
              <w:rPr>
                <w:rFonts w:hint="eastAsia" w:eastAsia="仿宋_GB2312" w:cs="宋体"/>
                <w:snapToGrid w:val="0"/>
                <w:color w:val="000000"/>
                <w:sz w:val="20"/>
                <w:szCs w:val="20"/>
              </w:rPr>
              <w:t>年国务院令第</w:t>
            </w:r>
            <w:r>
              <w:rPr>
                <w:rFonts w:hint="eastAsia" w:eastAsia="仿宋_GB2312"/>
                <w:snapToGrid w:val="0"/>
                <w:color w:val="000000"/>
                <w:sz w:val="20"/>
                <w:szCs w:val="20"/>
              </w:rPr>
              <w:t>518</w:t>
            </w:r>
            <w:r>
              <w:rPr>
                <w:rFonts w:hint="eastAsia" w:eastAsia="仿宋_GB2312" w:cs="宋体"/>
                <w:snapToGrid w:val="0"/>
                <w:color w:val="000000"/>
                <w:sz w:val="20"/>
                <w:szCs w:val="20"/>
              </w:rPr>
              <w:t>号公布，</w:t>
            </w:r>
            <w:r>
              <w:rPr>
                <w:rFonts w:hint="eastAsia" w:eastAsia="仿宋_GB2312"/>
                <w:snapToGrid w:val="0"/>
                <w:color w:val="000000"/>
                <w:sz w:val="20"/>
                <w:szCs w:val="20"/>
              </w:rPr>
              <w:t>2018</w:t>
            </w:r>
            <w:r>
              <w:rPr>
                <w:rFonts w:hint="eastAsia" w:eastAsia="仿宋_GB2312" w:cs="宋体"/>
                <w:snapToGrid w:val="0"/>
                <w:color w:val="000000"/>
                <w:sz w:val="20"/>
                <w:szCs w:val="20"/>
              </w:rPr>
              <w:t>年国务院令第</w:t>
            </w:r>
            <w:r>
              <w:rPr>
                <w:rFonts w:hint="eastAsia" w:eastAsia="仿宋_GB2312"/>
                <w:snapToGrid w:val="0"/>
                <w:color w:val="000000"/>
                <w:sz w:val="20"/>
                <w:szCs w:val="20"/>
              </w:rPr>
              <w:t>698</w:t>
            </w:r>
            <w:r>
              <w:rPr>
                <w:rFonts w:hint="eastAsia" w:eastAsia="仿宋_GB2312" w:cs="宋体"/>
                <w:snapToGrid w:val="0"/>
                <w:color w:val="000000"/>
                <w:sz w:val="20"/>
                <w:szCs w:val="20"/>
              </w:rPr>
              <w:t>号修正）第三十二条：接受调查的单位和个人有下列行为之一的，由县级以上人民政府国土资源主管部门责令限期改正，可以处</w:t>
            </w:r>
            <w:r>
              <w:rPr>
                <w:rFonts w:hint="eastAsia" w:eastAsia="仿宋_GB2312"/>
                <w:snapToGrid w:val="0"/>
                <w:color w:val="000000"/>
                <w:sz w:val="20"/>
                <w:szCs w:val="20"/>
              </w:rPr>
              <w:t>5</w:t>
            </w:r>
            <w:r>
              <w:rPr>
                <w:rFonts w:hint="eastAsia" w:eastAsia="仿宋_GB2312" w:cs="宋体"/>
                <w:snapToGrid w:val="0"/>
                <w:color w:val="000000"/>
                <w:sz w:val="20"/>
                <w:szCs w:val="20"/>
              </w:rPr>
              <w:t>万元以下的罚款；构成违反治安管理行为的，由公安机关依法给予治安管理处罚；构成犯罪的，依法追究刑事责任：</w:t>
            </w:r>
          </w:p>
          <w:p w14:paraId="1D889141">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（二）提供虚假调查资料的；</w:t>
            </w:r>
          </w:p>
        </w:tc>
        <w:tc>
          <w:tcPr>
            <w:tcW w:w="3645" w:type="dxa"/>
            <w:vAlign w:val="center"/>
          </w:tcPr>
          <w:p w14:paraId="39EC5C0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128F541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4D38539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34DBBC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9AF549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7A2BE7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AAAA4B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0D17E5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485" w:type="dxa"/>
            <w:vAlign w:val="center"/>
          </w:tcPr>
          <w:p w14:paraId="7BE568C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5A4B5E4">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8202DF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0DD8C3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19C253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A8C445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6BFC29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AD7A54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FA50DC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5CCF95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159311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D1074D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D17C95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E9082E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05C6A3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B8AF24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B91B7D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D22EAA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A559A4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B29A14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A545393">
            <w:pPr>
              <w:snapToGrid w:val="0"/>
              <w:spacing w:line="240" w:lineRule="atLeast"/>
              <w:jc w:val="center"/>
              <w:rPr>
                <w:rFonts w:ascii="仿宋_GB2312" w:hAnsi="仿宋_GB2312" w:eastAsia="仿宋_GB2312" w:cs="仿宋_GB2312"/>
                <w:sz w:val="20"/>
                <w:szCs w:val="20"/>
              </w:rPr>
            </w:pPr>
          </w:p>
        </w:tc>
      </w:tr>
    </w:tbl>
    <w:p w14:paraId="167C6EC9"/>
    <w:p w14:paraId="2A88C721"/>
    <w:p w14:paraId="70C3D6C2"/>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99"/>
        <w:gridCol w:w="645"/>
        <w:gridCol w:w="615"/>
        <w:gridCol w:w="990"/>
        <w:gridCol w:w="4695"/>
        <w:gridCol w:w="3630"/>
        <w:gridCol w:w="9500"/>
        <w:gridCol w:w="330"/>
      </w:tblGrid>
      <w:tr w14:paraId="04D21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126EA37">
            <w:pPr>
              <w:snapToGrid w:val="0"/>
              <w:spacing w:line="240" w:lineRule="atLeast"/>
              <w:jc w:val="left"/>
              <w:rPr>
                <w:rFonts w:asciiTheme="majorEastAsia" w:hAnsiTheme="majorEastAsia" w:eastAsiaTheme="majorEastAsia" w:cstheme="majorEastAsia"/>
                <w:spacing w:val="-23"/>
                <w:sz w:val="20"/>
                <w:szCs w:val="20"/>
              </w:rPr>
            </w:pPr>
          </w:p>
          <w:p w14:paraId="1821E9C9">
            <w:pPr>
              <w:snapToGrid w:val="0"/>
              <w:spacing w:line="240" w:lineRule="atLeast"/>
              <w:jc w:val="left"/>
              <w:rPr>
                <w:rFonts w:asciiTheme="majorEastAsia" w:hAnsiTheme="majorEastAsia" w:eastAsiaTheme="majorEastAsia" w:cstheme="majorEastAsia"/>
                <w:spacing w:val="-23"/>
                <w:sz w:val="20"/>
                <w:szCs w:val="20"/>
              </w:rPr>
            </w:pPr>
          </w:p>
          <w:p w14:paraId="12292534">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21AB1348">
            <w:pPr>
              <w:spacing w:line="240" w:lineRule="atLeast"/>
              <w:rPr>
                <w:rFonts w:asciiTheme="majorEastAsia" w:hAnsiTheme="majorEastAsia" w:eastAsiaTheme="majorEastAsia" w:cstheme="majorEastAsia"/>
                <w:spacing w:val="-20"/>
                <w:sz w:val="20"/>
                <w:szCs w:val="20"/>
              </w:rPr>
            </w:pPr>
          </w:p>
          <w:p w14:paraId="6A5F4D0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44" w:type="dxa"/>
            <w:gridSpan w:val="5"/>
            <w:vAlign w:val="center"/>
          </w:tcPr>
          <w:p w14:paraId="381F23C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30" w:type="dxa"/>
            <w:gridSpan w:val="2"/>
            <w:vAlign w:val="center"/>
          </w:tcPr>
          <w:p w14:paraId="4DE87B4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20D03BE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BEED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71C9083">
            <w:pPr>
              <w:spacing w:line="240" w:lineRule="atLeast"/>
              <w:jc w:val="left"/>
              <w:rPr>
                <w:rFonts w:ascii="仿宋_GB2312" w:hAnsi="仿宋_GB2312" w:eastAsia="仿宋_GB2312" w:cs="仿宋_GB2312"/>
                <w:sz w:val="20"/>
                <w:szCs w:val="20"/>
              </w:rPr>
            </w:pPr>
          </w:p>
        </w:tc>
        <w:tc>
          <w:tcPr>
            <w:tcW w:w="555" w:type="dxa"/>
            <w:vMerge w:val="continue"/>
          </w:tcPr>
          <w:p w14:paraId="514D2338">
            <w:pPr>
              <w:spacing w:line="240" w:lineRule="atLeast"/>
              <w:jc w:val="left"/>
              <w:rPr>
                <w:rFonts w:ascii="仿宋_GB2312" w:hAnsi="仿宋_GB2312" w:eastAsia="仿宋_GB2312" w:cs="仿宋_GB2312"/>
                <w:sz w:val="20"/>
                <w:szCs w:val="20"/>
              </w:rPr>
            </w:pPr>
          </w:p>
        </w:tc>
        <w:tc>
          <w:tcPr>
            <w:tcW w:w="799" w:type="dxa"/>
            <w:vAlign w:val="center"/>
          </w:tcPr>
          <w:p w14:paraId="352D007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41AAFA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45" w:type="dxa"/>
            <w:vAlign w:val="center"/>
          </w:tcPr>
          <w:p w14:paraId="4E2FAD3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17FBBA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990" w:type="dxa"/>
            <w:vAlign w:val="center"/>
          </w:tcPr>
          <w:p w14:paraId="5821D38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95" w:type="dxa"/>
            <w:vAlign w:val="center"/>
          </w:tcPr>
          <w:p w14:paraId="5D8456F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630" w:type="dxa"/>
            <w:vAlign w:val="center"/>
          </w:tcPr>
          <w:p w14:paraId="01F23E0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654330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00" w:type="dxa"/>
            <w:vAlign w:val="center"/>
          </w:tcPr>
          <w:p w14:paraId="1648A21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1216A626">
            <w:pPr>
              <w:spacing w:line="240" w:lineRule="atLeast"/>
              <w:jc w:val="left"/>
              <w:rPr>
                <w:rFonts w:ascii="仿宋_GB2312" w:hAnsi="仿宋_GB2312" w:eastAsia="仿宋_GB2312" w:cs="仿宋_GB2312"/>
                <w:sz w:val="20"/>
                <w:szCs w:val="20"/>
              </w:rPr>
            </w:pPr>
          </w:p>
        </w:tc>
      </w:tr>
      <w:tr w14:paraId="66F02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70EA7A5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45</w:t>
            </w:r>
          </w:p>
        </w:tc>
        <w:tc>
          <w:tcPr>
            <w:tcW w:w="555" w:type="dxa"/>
            <w:vAlign w:val="center"/>
          </w:tcPr>
          <w:p w14:paraId="7FA8FBA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7EC3FD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6BE137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99" w:type="dxa"/>
            <w:vAlign w:val="center"/>
          </w:tcPr>
          <w:p w14:paraId="2E4C053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对接受调查的单位和个人转移、隐匿、篡改、毁弃原始记录、土地登记簿等相关资料行为的处罚</w:t>
            </w:r>
          </w:p>
        </w:tc>
        <w:tc>
          <w:tcPr>
            <w:tcW w:w="645" w:type="dxa"/>
            <w:vAlign w:val="center"/>
          </w:tcPr>
          <w:p w14:paraId="3F6D9DF3">
            <w:pPr>
              <w:snapToGrid w:val="0"/>
              <w:spacing w:line="240" w:lineRule="atLeast"/>
              <w:jc w:val="center"/>
              <w:rPr>
                <w:rFonts w:ascii="仿宋_GB2312" w:hAnsi="仿宋_GB2312" w:eastAsia="仿宋_GB2312" w:cs="仿宋_GB2312"/>
                <w:sz w:val="20"/>
                <w:szCs w:val="20"/>
              </w:rPr>
            </w:pPr>
          </w:p>
        </w:tc>
        <w:tc>
          <w:tcPr>
            <w:tcW w:w="615" w:type="dxa"/>
            <w:vAlign w:val="center"/>
          </w:tcPr>
          <w:p w14:paraId="284EC87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990" w:type="dxa"/>
            <w:vAlign w:val="center"/>
          </w:tcPr>
          <w:p w14:paraId="5839A28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95" w:type="dxa"/>
            <w:vAlign w:val="center"/>
          </w:tcPr>
          <w:p w14:paraId="22535DE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土地调查条例》（2008年国务院令第518号公布，2018年国务院令第698号修正）第三十二条：接受调查的单位和个人有下列行为之一的，由县级以上人民政府国土资源主管部门责令限期改正，可以处5万元以下的罚款；构成违反治安管理行为的，由公安机关依法给予治安管理处罚；构成犯罪的，依法追究刑事责任：</w:t>
            </w:r>
          </w:p>
          <w:p w14:paraId="648FBFD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（四）转移、隐匿、篡改、毁弃原始记录、土地登记簿等相关资料的。</w:t>
            </w:r>
          </w:p>
        </w:tc>
        <w:tc>
          <w:tcPr>
            <w:tcW w:w="3630" w:type="dxa"/>
            <w:vAlign w:val="center"/>
          </w:tcPr>
          <w:p w14:paraId="63F7C8D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1BDE2D7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043CD0B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0ED4AD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BE740E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099B36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4BFE3C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C85A64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00" w:type="dxa"/>
            <w:vAlign w:val="center"/>
          </w:tcPr>
          <w:p w14:paraId="4257127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66B1E5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E57B6D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1F9023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DFFDDD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F52710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46A438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9AF041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40842B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735358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FBB4DA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884244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A72CCB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6E6018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8BB537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F45C64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B908D7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7FDDFD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4F77E5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91739E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92F6AB4">
            <w:pPr>
              <w:snapToGrid w:val="0"/>
              <w:spacing w:line="240" w:lineRule="atLeast"/>
              <w:jc w:val="center"/>
              <w:rPr>
                <w:rFonts w:ascii="仿宋_GB2312" w:hAnsi="仿宋_GB2312" w:eastAsia="仿宋_GB2312" w:cs="仿宋_GB2312"/>
                <w:sz w:val="20"/>
                <w:szCs w:val="20"/>
              </w:rPr>
            </w:pPr>
          </w:p>
        </w:tc>
      </w:tr>
    </w:tbl>
    <w:p w14:paraId="17EB3828"/>
    <w:p w14:paraId="7F3069AE"/>
    <w:p w14:paraId="4717107B"/>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16AA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1073667">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EEE9915">
            <w:pPr>
              <w:spacing w:line="240" w:lineRule="atLeast"/>
              <w:rPr>
                <w:rFonts w:asciiTheme="majorEastAsia" w:hAnsiTheme="majorEastAsia" w:eastAsiaTheme="majorEastAsia" w:cstheme="majorEastAsia"/>
                <w:spacing w:val="-20"/>
                <w:sz w:val="20"/>
                <w:szCs w:val="20"/>
              </w:rPr>
            </w:pPr>
          </w:p>
          <w:p w14:paraId="73A3365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EA50F4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670E1E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4016B7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73B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F647E5C">
            <w:pPr>
              <w:spacing w:line="240" w:lineRule="atLeast"/>
              <w:jc w:val="left"/>
              <w:rPr>
                <w:rFonts w:ascii="仿宋_GB2312" w:hAnsi="仿宋_GB2312" w:eastAsia="仿宋_GB2312" w:cs="仿宋_GB2312"/>
                <w:sz w:val="20"/>
                <w:szCs w:val="20"/>
              </w:rPr>
            </w:pPr>
          </w:p>
        </w:tc>
        <w:tc>
          <w:tcPr>
            <w:tcW w:w="555" w:type="dxa"/>
            <w:vMerge w:val="continue"/>
          </w:tcPr>
          <w:p w14:paraId="7868D8F7">
            <w:pPr>
              <w:spacing w:line="240" w:lineRule="atLeast"/>
              <w:jc w:val="left"/>
              <w:rPr>
                <w:rFonts w:ascii="仿宋_GB2312" w:hAnsi="仿宋_GB2312" w:eastAsia="仿宋_GB2312" w:cs="仿宋_GB2312"/>
                <w:sz w:val="20"/>
                <w:szCs w:val="20"/>
              </w:rPr>
            </w:pPr>
          </w:p>
        </w:tc>
        <w:tc>
          <w:tcPr>
            <w:tcW w:w="784" w:type="dxa"/>
            <w:vAlign w:val="center"/>
          </w:tcPr>
          <w:p w14:paraId="298AA95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B411D7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DA6FA7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9DC61E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0F997F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D894F8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7192AB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304E68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474AA5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FCC931F">
            <w:pPr>
              <w:spacing w:line="240" w:lineRule="atLeast"/>
              <w:jc w:val="left"/>
              <w:rPr>
                <w:rFonts w:ascii="仿宋_GB2312" w:hAnsi="仿宋_GB2312" w:eastAsia="仿宋_GB2312" w:cs="仿宋_GB2312"/>
                <w:sz w:val="20"/>
                <w:szCs w:val="20"/>
              </w:rPr>
            </w:pPr>
          </w:p>
        </w:tc>
      </w:tr>
      <w:tr w14:paraId="64DA0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028099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46</w:t>
            </w:r>
          </w:p>
        </w:tc>
        <w:tc>
          <w:tcPr>
            <w:tcW w:w="555" w:type="dxa"/>
            <w:vAlign w:val="center"/>
          </w:tcPr>
          <w:p w14:paraId="2D38209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DD4C09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A388E7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8AE2AA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对未按照规定期限和条件开发利用土地行为的处罚</w:t>
            </w:r>
          </w:p>
        </w:tc>
        <w:tc>
          <w:tcPr>
            <w:tcW w:w="660" w:type="dxa"/>
            <w:vAlign w:val="center"/>
          </w:tcPr>
          <w:p w14:paraId="715993CF">
            <w:pPr>
              <w:snapToGrid w:val="0"/>
              <w:spacing w:line="240" w:lineRule="atLeast"/>
              <w:jc w:val="center"/>
              <w:rPr>
                <w:rFonts w:ascii="仿宋_GB2312" w:hAnsi="仿宋_GB2312" w:eastAsia="仿宋_GB2312" w:cs="仿宋_GB2312"/>
                <w:sz w:val="20"/>
                <w:szCs w:val="20"/>
              </w:rPr>
            </w:pPr>
          </w:p>
        </w:tc>
        <w:tc>
          <w:tcPr>
            <w:tcW w:w="615" w:type="dxa"/>
            <w:vAlign w:val="center"/>
          </w:tcPr>
          <w:p w14:paraId="3773BA2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306CAB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6AE95D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中华人民共和国城镇国有土地使用权出让和转让暂行条例》（1990年国务院令第55号发布，2020年修订）第十七条：土地使用者应当按照土地使用权出让合同的规定和城市规划的要求，开发、利用、经营土地。</w:t>
            </w:r>
          </w:p>
          <w:p w14:paraId="2C2CACE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未按合同规定的期限和条件开发、利用土地的，市、县人民政府土地管理部门应当予以纠正，并根据情节可以给予警告、罚款直至无偿收回土地使用权行为的处罚。</w:t>
            </w:r>
          </w:p>
        </w:tc>
        <w:tc>
          <w:tcPr>
            <w:tcW w:w="3585" w:type="dxa"/>
            <w:vAlign w:val="center"/>
          </w:tcPr>
          <w:p w14:paraId="13202AC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1.立案阶段责任：接到举报或相关部门转送、巡查发现该违法行为，及时予以审查，决定是否立案。下达《责令停止违法行为通知书》。</w:t>
            </w:r>
          </w:p>
          <w:p w14:paraId="05A328D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1053C89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46E823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B3A92F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C7F0B8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336F0E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6345B2F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3F94D5C">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40C0A3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85358D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A2D024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9AC09D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3A0E61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D48771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5B683F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2E4814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C6A4E7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CE2D5D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349B2B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244EFD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C0592D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54FEDD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21DAE8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A0BF37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E597C6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A4ACDC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1B879F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807D1FB">
            <w:pPr>
              <w:snapToGrid w:val="0"/>
              <w:spacing w:line="240" w:lineRule="atLeast"/>
              <w:jc w:val="center"/>
              <w:rPr>
                <w:rFonts w:ascii="仿宋_GB2312" w:hAnsi="仿宋_GB2312" w:eastAsia="仿宋_GB2312" w:cs="仿宋_GB2312"/>
                <w:sz w:val="20"/>
                <w:szCs w:val="20"/>
              </w:rPr>
            </w:pPr>
          </w:p>
        </w:tc>
      </w:tr>
    </w:tbl>
    <w:p w14:paraId="2DD1F1D3"/>
    <w:p w14:paraId="70928025"/>
    <w:p w14:paraId="6D602AFD"/>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D569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00686A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BF23C55">
            <w:pPr>
              <w:spacing w:line="240" w:lineRule="atLeast"/>
              <w:rPr>
                <w:rFonts w:asciiTheme="majorEastAsia" w:hAnsiTheme="majorEastAsia" w:eastAsiaTheme="majorEastAsia" w:cstheme="majorEastAsia"/>
                <w:spacing w:val="-20"/>
                <w:sz w:val="20"/>
                <w:szCs w:val="20"/>
              </w:rPr>
            </w:pPr>
          </w:p>
          <w:p w14:paraId="11248BC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7D23EB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A58843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5C8D7C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AA92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E82B814">
            <w:pPr>
              <w:spacing w:line="240" w:lineRule="atLeast"/>
              <w:jc w:val="left"/>
              <w:rPr>
                <w:rFonts w:ascii="仿宋_GB2312" w:hAnsi="仿宋_GB2312" w:eastAsia="仿宋_GB2312" w:cs="仿宋_GB2312"/>
                <w:sz w:val="20"/>
                <w:szCs w:val="20"/>
              </w:rPr>
            </w:pPr>
          </w:p>
        </w:tc>
        <w:tc>
          <w:tcPr>
            <w:tcW w:w="555" w:type="dxa"/>
            <w:vMerge w:val="continue"/>
          </w:tcPr>
          <w:p w14:paraId="6D026527">
            <w:pPr>
              <w:spacing w:line="240" w:lineRule="atLeast"/>
              <w:jc w:val="left"/>
              <w:rPr>
                <w:rFonts w:ascii="仿宋_GB2312" w:hAnsi="仿宋_GB2312" w:eastAsia="仿宋_GB2312" w:cs="仿宋_GB2312"/>
                <w:sz w:val="20"/>
                <w:szCs w:val="20"/>
              </w:rPr>
            </w:pPr>
          </w:p>
        </w:tc>
        <w:tc>
          <w:tcPr>
            <w:tcW w:w="784" w:type="dxa"/>
            <w:vAlign w:val="center"/>
          </w:tcPr>
          <w:p w14:paraId="5E9DB3B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C036AF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5F6E70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7C09E0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FE3A3C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38F144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94BC13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FF2808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651EC6A">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229D91F">
            <w:pPr>
              <w:spacing w:line="240" w:lineRule="atLeast"/>
              <w:jc w:val="left"/>
              <w:rPr>
                <w:rFonts w:ascii="仿宋_GB2312" w:hAnsi="仿宋_GB2312" w:eastAsia="仿宋_GB2312" w:cs="仿宋_GB2312"/>
                <w:sz w:val="20"/>
                <w:szCs w:val="20"/>
              </w:rPr>
            </w:pPr>
          </w:p>
        </w:tc>
      </w:tr>
      <w:tr w14:paraId="4EFC3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47EDC9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47</w:t>
            </w:r>
          </w:p>
        </w:tc>
        <w:tc>
          <w:tcPr>
            <w:tcW w:w="555" w:type="dxa"/>
            <w:vAlign w:val="center"/>
          </w:tcPr>
          <w:p w14:paraId="58D232B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8D3A07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960773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C06435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对伪造不动产权属证书、不动产登记证明，或者买卖、使用伪造、变造的不动产权属证书、不动产登记证明行为的处罚</w:t>
            </w:r>
          </w:p>
        </w:tc>
        <w:tc>
          <w:tcPr>
            <w:tcW w:w="660" w:type="dxa"/>
            <w:vAlign w:val="center"/>
          </w:tcPr>
          <w:p w14:paraId="2D38D23F">
            <w:pPr>
              <w:snapToGrid w:val="0"/>
              <w:spacing w:line="240" w:lineRule="atLeast"/>
              <w:jc w:val="center"/>
              <w:rPr>
                <w:rFonts w:ascii="仿宋_GB2312" w:hAnsi="仿宋_GB2312" w:eastAsia="仿宋_GB2312" w:cs="仿宋_GB2312"/>
                <w:sz w:val="20"/>
                <w:szCs w:val="20"/>
              </w:rPr>
            </w:pPr>
          </w:p>
        </w:tc>
        <w:tc>
          <w:tcPr>
            <w:tcW w:w="615" w:type="dxa"/>
            <w:vAlign w:val="center"/>
          </w:tcPr>
          <w:p w14:paraId="59B15A1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51AD8A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55C5B5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【行政法规】《不动产登记暂行条例》（2014年国务院令第656号公布，2019年国务院令第710号修订）第六条：国务院国土资源主管部门负责指导、监督全国不动产登记工作。</w:t>
            </w:r>
          </w:p>
          <w:p w14:paraId="2040E43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县级以上地方人民政府应当确定一个部门为本行政区域的不动产登记机构，负责不动产登记工作，并接受上级人民政府不动产登记主管部门的指导、监督。</w:t>
            </w:r>
          </w:p>
          <w:p w14:paraId="612408C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一条：伪造、变造不动产权属证书、不动产登记证明，或者买卖、使用伪造、变造的不动产权属证书、不动产登记证明的，由不动产登记机构或者公安机关依法予以收缴；有违法所得的，没收违法所得；给他人造成损害的，依法承担赔偿责任；构成违反治安管理行为的，依法给予治安管理处罚；构成犯罪的，依法追究刑事责任。</w:t>
            </w:r>
          </w:p>
        </w:tc>
        <w:tc>
          <w:tcPr>
            <w:tcW w:w="3585" w:type="dxa"/>
            <w:vAlign w:val="center"/>
          </w:tcPr>
          <w:p w14:paraId="5110FD6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1.立案阶段责任：接到举报或相关部门转送、巡查发现该违法行为，及时予以审查，决定是否立案。下达《责令停止违法行为通知书》。</w:t>
            </w:r>
          </w:p>
          <w:p w14:paraId="5812090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430087E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A71455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06A8FA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41CB4E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4AA9C6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3D960A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6CF4A37">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C87893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E3AB76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4745EA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596635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5C492E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3F0ABB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20AEF9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E44851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FCF0C5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E4D266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83206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DD050E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342434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D0A544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F74629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58BBDA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FFC793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9DAC11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D58ABC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BE92103">
            <w:pPr>
              <w:snapToGrid w:val="0"/>
              <w:spacing w:line="240" w:lineRule="atLeast"/>
              <w:jc w:val="center"/>
              <w:rPr>
                <w:rFonts w:ascii="仿宋_GB2312" w:hAnsi="仿宋_GB2312" w:eastAsia="仿宋_GB2312" w:cs="仿宋_GB2312"/>
                <w:sz w:val="20"/>
                <w:szCs w:val="20"/>
              </w:rPr>
            </w:pPr>
          </w:p>
        </w:tc>
      </w:tr>
    </w:tbl>
    <w:p w14:paraId="403F424C"/>
    <w:p w14:paraId="2DDD0B66"/>
    <w:p w14:paraId="061311EB"/>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34EB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4DE6858">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DBC8454">
            <w:pPr>
              <w:spacing w:line="240" w:lineRule="atLeast"/>
              <w:rPr>
                <w:rFonts w:asciiTheme="majorEastAsia" w:hAnsiTheme="majorEastAsia" w:eastAsiaTheme="majorEastAsia" w:cstheme="majorEastAsia"/>
                <w:spacing w:val="-20"/>
                <w:sz w:val="20"/>
                <w:szCs w:val="20"/>
              </w:rPr>
            </w:pPr>
          </w:p>
          <w:p w14:paraId="5613467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334746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B3207F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59055C8">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EB94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75C5C52">
            <w:pPr>
              <w:spacing w:line="240" w:lineRule="atLeast"/>
              <w:jc w:val="left"/>
              <w:rPr>
                <w:rFonts w:ascii="仿宋_GB2312" w:hAnsi="仿宋_GB2312" w:eastAsia="仿宋_GB2312" w:cs="仿宋_GB2312"/>
                <w:sz w:val="20"/>
                <w:szCs w:val="20"/>
              </w:rPr>
            </w:pPr>
          </w:p>
        </w:tc>
        <w:tc>
          <w:tcPr>
            <w:tcW w:w="555" w:type="dxa"/>
            <w:vMerge w:val="continue"/>
          </w:tcPr>
          <w:p w14:paraId="2889C59F">
            <w:pPr>
              <w:spacing w:line="240" w:lineRule="atLeast"/>
              <w:jc w:val="left"/>
              <w:rPr>
                <w:rFonts w:ascii="仿宋_GB2312" w:hAnsi="仿宋_GB2312" w:eastAsia="仿宋_GB2312" w:cs="仿宋_GB2312"/>
                <w:sz w:val="20"/>
                <w:szCs w:val="20"/>
              </w:rPr>
            </w:pPr>
          </w:p>
        </w:tc>
        <w:tc>
          <w:tcPr>
            <w:tcW w:w="784" w:type="dxa"/>
            <w:vAlign w:val="center"/>
          </w:tcPr>
          <w:p w14:paraId="59DA761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02C1A7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C93A1C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3F5E50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7F0067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AC26CB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470E26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A42990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41E97B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BAC5585">
            <w:pPr>
              <w:spacing w:line="240" w:lineRule="atLeast"/>
              <w:jc w:val="left"/>
              <w:rPr>
                <w:rFonts w:ascii="仿宋_GB2312" w:hAnsi="仿宋_GB2312" w:eastAsia="仿宋_GB2312" w:cs="仿宋_GB2312"/>
                <w:sz w:val="20"/>
                <w:szCs w:val="20"/>
              </w:rPr>
            </w:pPr>
          </w:p>
        </w:tc>
      </w:tr>
      <w:tr w14:paraId="042A4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F7F1A9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48</w:t>
            </w:r>
          </w:p>
        </w:tc>
        <w:tc>
          <w:tcPr>
            <w:tcW w:w="555" w:type="dxa"/>
            <w:vAlign w:val="center"/>
          </w:tcPr>
          <w:p w14:paraId="5A81E68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EA2928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04C28C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DC17DD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对转让房地产时，不符合法律规定的条件，非法转让以出让方式取得的土地使用权行为的处罚</w:t>
            </w:r>
          </w:p>
        </w:tc>
        <w:tc>
          <w:tcPr>
            <w:tcW w:w="660" w:type="dxa"/>
            <w:vAlign w:val="center"/>
          </w:tcPr>
          <w:p w14:paraId="1FC2E098">
            <w:pPr>
              <w:snapToGrid w:val="0"/>
              <w:spacing w:line="240" w:lineRule="atLeast"/>
              <w:jc w:val="center"/>
              <w:rPr>
                <w:rFonts w:ascii="仿宋_GB2312" w:hAnsi="仿宋_GB2312" w:eastAsia="仿宋_GB2312" w:cs="仿宋_GB2312"/>
                <w:sz w:val="20"/>
                <w:szCs w:val="20"/>
              </w:rPr>
            </w:pPr>
          </w:p>
        </w:tc>
        <w:tc>
          <w:tcPr>
            <w:tcW w:w="615" w:type="dxa"/>
            <w:vAlign w:val="center"/>
          </w:tcPr>
          <w:p w14:paraId="7618CCC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B909D1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E7EA92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1.【法律】《中华人民共和国城市房地产管理法》第三十九条：以出让方式取得土地使用权的，转让房地产时，应当符合下列条件：</w:t>
            </w:r>
          </w:p>
          <w:p w14:paraId="0896660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（一）按照出让合同约定已经支付全部土地使用权出让金，并取得土地使用权证书；</w:t>
            </w:r>
          </w:p>
          <w:p w14:paraId="2DE8CD5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第六十六条：违反本法第三十九条第一款的规定转让土地使用权的，由县级以上人民政府土地管理部门没收违法所得，可以并处罚款。</w:t>
            </w:r>
          </w:p>
          <w:p w14:paraId="176F54C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土地管理法》第七十四条：买卖或者以其他形式非法转让土地的，由县级以上人民政府自然资源主管部门没收违法所得；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直接负责的主管人员和其他直接责任人员，依法给予处分；构成犯罪的，依法追究刑事责任。</w:t>
            </w:r>
          </w:p>
          <w:p w14:paraId="1E98888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行政法规】《中华人民共和国土地管理法实施条例》（1998年国务院令第256号公布，2021年国务院令第743号第三次修订）第五十四条：依照《土地管理法》第七十四条的规定处以罚款的，罚款额为违法所得的10%以上50%以下。</w:t>
            </w:r>
          </w:p>
        </w:tc>
        <w:tc>
          <w:tcPr>
            <w:tcW w:w="3585" w:type="dxa"/>
            <w:vAlign w:val="center"/>
          </w:tcPr>
          <w:p w14:paraId="5994512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E66903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D94063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42FE586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576362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20E8F4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DB8724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6035EA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FFE3F5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BE36CE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621970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53CC93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1C3CB1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6E86FE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D0EB1B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BAA5FD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F1FEFE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4362C7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4580E4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BB35E6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BBA236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478FA3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A7CE99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E84BFD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075BE3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7558F0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3EE0ED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9793F8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CF1B946">
            <w:pPr>
              <w:snapToGrid w:val="0"/>
              <w:spacing w:line="240" w:lineRule="atLeast"/>
              <w:jc w:val="center"/>
              <w:rPr>
                <w:rFonts w:ascii="仿宋_GB2312" w:hAnsi="仿宋_GB2312" w:eastAsia="仿宋_GB2312" w:cs="仿宋_GB2312"/>
                <w:sz w:val="20"/>
                <w:szCs w:val="20"/>
              </w:rPr>
            </w:pPr>
          </w:p>
        </w:tc>
      </w:tr>
    </w:tbl>
    <w:p w14:paraId="32E8BB1A"/>
    <w:p w14:paraId="70CEFE16"/>
    <w:p w14:paraId="32EFBDF9"/>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ACD2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5C93F7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07FAAD8">
            <w:pPr>
              <w:spacing w:line="240" w:lineRule="atLeast"/>
              <w:rPr>
                <w:rFonts w:asciiTheme="majorEastAsia" w:hAnsiTheme="majorEastAsia" w:eastAsiaTheme="majorEastAsia" w:cstheme="majorEastAsia"/>
                <w:spacing w:val="-20"/>
                <w:sz w:val="20"/>
                <w:szCs w:val="20"/>
              </w:rPr>
            </w:pPr>
          </w:p>
          <w:p w14:paraId="3CB6465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78EB2C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58CA8B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89886E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445D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A63C1CD">
            <w:pPr>
              <w:spacing w:line="240" w:lineRule="atLeast"/>
              <w:jc w:val="left"/>
              <w:rPr>
                <w:rFonts w:ascii="仿宋_GB2312" w:hAnsi="仿宋_GB2312" w:eastAsia="仿宋_GB2312" w:cs="仿宋_GB2312"/>
                <w:sz w:val="20"/>
                <w:szCs w:val="20"/>
              </w:rPr>
            </w:pPr>
          </w:p>
        </w:tc>
        <w:tc>
          <w:tcPr>
            <w:tcW w:w="555" w:type="dxa"/>
            <w:vMerge w:val="continue"/>
          </w:tcPr>
          <w:p w14:paraId="5B65BAAA">
            <w:pPr>
              <w:spacing w:line="240" w:lineRule="atLeast"/>
              <w:jc w:val="left"/>
              <w:rPr>
                <w:rFonts w:ascii="仿宋_GB2312" w:hAnsi="仿宋_GB2312" w:eastAsia="仿宋_GB2312" w:cs="仿宋_GB2312"/>
                <w:sz w:val="20"/>
                <w:szCs w:val="20"/>
              </w:rPr>
            </w:pPr>
          </w:p>
        </w:tc>
        <w:tc>
          <w:tcPr>
            <w:tcW w:w="784" w:type="dxa"/>
            <w:vAlign w:val="center"/>
          </w:tcPr>
          <w:p w14:paraId="1A3064B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2DDB79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312751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283BEF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87DEBE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3212FE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B66683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85F03A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BC0E6F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BA9E8A1">
            <w:pPr>
              <w:spacing w:line="240" w:lineRule="atLeast"/>
              <w:jc w:val="left"/>
              <w:rPr>
                <w:rFonts w:ascii="仿宋_GB2312" w:hAnsi="仿宋_GB2312" w:eastAsia="仿宋_GB2312" w:cs="仿宋_GB2312"/>
                <w:sz w:val="20"/>
                <w:szCs w:val="20"/>
              </w:rPr>
            </w:pPr>
          </w:p>
        </w:tc>
      </w:tr>
      <w:tr w14:paraId="14651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2A9AF0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49</w:t>
            </w:r>
          </w:p>
        </w:tc>
        <w:tc>
          <w:tcPr>
            <w:tcW w:w="555" w:type="dxa"/>
            <w:vAlign w:val="center"/>
          </w:tcPr>
          <w:p w14:paraId="0F28489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390BF6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31941A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FBBD6C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对转让房地产时未经批准，非法转让以划拨方式取得的土地使用权的，或者经过批准转让以划拨方式取得的土地使用权，但未按规定缴纳土地使用权出让金行为的处罚</w:t>
            </w:r>
          </w:p>
        </w:tc>
        <w:tc>
          <w:tcPr>
            <w:tcW w:w="660" w:type="dxa"/>
            <w:vAlign w:val="center"/>
          </w:tcPr>
          <w:p w14:paraId="76F02B00">
            <w:pPr>
              <w:snapToGrid w:val="0"/>
              <w:spacing w:line="240" w:lineRule="atLeast"/>
              <w:jc w:val="center"/>
              <w:rPr>
                <w:rFonts w:ascii="仿宋_GB2312" w:hAnsi="仿宋_GB2312" w:eastAsia="仿宋_GB2312" w:cs="仿宋_GB2312"/>
                <w:sz w:val="20"/>
                <w:szCs w:val="20"/>
              </w:rPr>
            </w:pPr>
          </w:p>
        </w:tc>
        <w:tc>
          <w:tcPr>
            <w:tcW w:w="615" w:type="dxa"/>
            <w:vAlign w:val="center"/>
          </w:tcPr>
          <w:p w14:paraId="499B958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F62CBD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42E811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城市房地产管理法》第四十条第一款：以划拨方式取得土地使用权的，转让房地产时，应当按照国务院规定，报有批准权的人民政府审批。有批准权的人民政府准予转让的，应当由受让方办理土地使用权出让手续，并依照国家有关规定缴纳土地使用权出让金。</w:t>
            </w:r>
          </w:p>
          <w:p w14:paraId="12D0D55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第六十七条：违反本法第四十条第一款的规定转让房地产的，由县级以上人民政府土地管理部门责令缴纳土地使用权出让金，没收违法所得，可以并处罚款。</w:t>
            </w:r>
          </w:p>
          <w:p w14:paraId="6E8E7F4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 【法律】《中华人民共和国土地管理法》第七十四条：买卖或者以其他形式非法转让土地的，由县级以上人民政府自然资源主管部门没收违法所得；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直接负责的主管人员和其他直接责任人员，依法给予处分；构成犯罪的，依法追究刑事责任。</w:t>
            </w:r>
          </w:p>
          <w:p w14:paraId="06DAB09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行政法规】《中华人民共和国土地管理法实施条例》（1998年国务院令第256号公布，2021年国务院令第743号第三次修订）第五十四条：依照《土地管理法》第七十四条的规定处以罚款的，罚款额为违法所得的10%以上50%以下。</w:t>
            </w:r>
          </w:p>
        </w:tc>
        <w:tc>
          <w:tcPr>
            <w:tcW w:w="3585" w:type="dxa"/>
            <w:vAlign w:val="center"/>
          </w:tcPr>
          <w:p w14:paraId="66A27E2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1E7FAF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4A3F596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A5505C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72E3D9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7AD7B8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9DD41B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D58CE3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B7FB30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9031114">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1855F0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652349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29F911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8B28DB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E4BB1A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34AAD78">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073A06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27EB53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0F7538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E40725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767DE7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39A347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6BE8BC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07FF8A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B3481A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3B2923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260221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18442B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582660F">
            <w:pPr>
              <w:snapToGrid w:val="0"/>
              <w:spacing w:line="240" w:lineRule="atLeast"/>
              <w:jc w:val="center"/>
              <w:rPr>
                <w:rFonts w:ascii="仿宋_GB2312" w:hAnsi="仿宋_GB2312" w:eastAsia="仿宋_GB2312" w:cs="仿宋_GB2312"/>
                <w:sz w:val="20"/>
                <w:szCs w:val="20"/>
              </w:rPr>
            </w:pPr>
          </w:p>
        </w:tc>
      </w:tr>
    </w:tbl>
    <w:p w14:paraId="1A9C4F52"/>
    <w:p w14:paraId="3F68892A"/>
    <w:p w14:paraId="291A0EAF"/>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DD49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5FC1877">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515A6DE">
            <w:pPr>
              <w:spacing w:line="240" w:lineRule="atLeast"/>
              <w:rPr>
                <w:rFonts w:asciiTheme="majorEastAsia" w:hAnsiTheme="majorEastAsia" w:eastAsiaTheme="majorEastAsia" w:cstheme="majorEastAsia"/>
                <w:spacing w:val="-20"/>
                <w:sz w:val="20"/>
                <w:szCs w:val="20"/>
              </w:rPr>
            </w:pPr>
          </w:p>
          <w:p w14:paraId="0504562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18C339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C914E1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048082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73C1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83837FE">
            <w:pPr>
              <w:spacing w:line="240" w:lineRule="atLeast"/>
              <w:jc w:val="left"/>
              <w:rPr>
                <w:rFonts w:ascii="仿宋_GB2312" w:hAnsi="仿宋_GB2312" w:eastAsia="仿宋_GB2312" w:cs="仿宋_GB2312"/>
                <w:sz w:val="20"/>
                <w:szCs w:val="20"/>
              </w:rPr>
            </w:pPr>
          </w:p>
        </w:tc>
        <w:tc>
          <w:tcPr>
            <w:tcW w:w="555" w:type="dxa"/>
            <w:vMerge w:val="continue"/>
          </w:tcPr>
          <w:p w14:paraId="652DFEC8">
            <w:pPr>
              <w:spacing w:line="240" w:lineRule="atLeast"/>
              <w:jc w:val="left"/>
              <w:rPr>
                <w:rFonts w:ascii="仿宋_GB2312" w:hAnsi="仿宋_GB2312" w:eastAsia="仿宋_GB2312" w:cs="仿宋_GB2312"/>
                <w:sz w:val="20"/>
                <w:szCs w:val="20"/>
              </w:rPr>
            </w:pPr>
          </w:p>
        </w:tc>
        <w:tc>
          <w:tcPr>
            <w:tcW w:w="784" w:type="dxa"/>
            <w:vAlign w:val="center"/>
          </w:tcPr>
          <w:p w14:paraId="381DA0C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874FC7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7D0E3B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6B0F95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60B52E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99388C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ABA90F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65AD95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AEAF43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3E9B889">
            <w:pPr>
              <w:spacing w:line="240" w:lineRule="atLeast"/>
              <w:jc w:val="left"/>
              <w:rPr>
                <w:rFonts w:ascii="仿宋_GB2312" w:hAnsi="仿宋_GB2312" w:eastAsia="仿宋_GB2312" w:cs="仿宋_GB2312"/>
                <w:sz w:val="20"/>
                <w:szCs w:val="20"/>
              </w:rPr>
            </w:pPr>
          </w:p>
        </w:tc>
      </w:tr>
      <w:tr w14:paraId="7226E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A02121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50</w:t>
            </w:r>
          </w:p>
        </w:tc>
        <w:tc>
          <w:tcPr>
            <w:tcW w:w="555" w:type="dxa"/>
            <w:vAlign w:val="center"/>
          </w:tcPr>
          <w:p w14:paraId="354DB83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02BCC5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FC3580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41D7F9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对违反规定伪造、涂改和买卖土地权属证书行为的处罚</w:t>
            </w:r>
          </w:p>
        </w:tc>
        <w:tc>
          <w:tcPr>
            <w:tcW w:w="660" w:type="dxa"/>
            <w:vAlign w:val="center"/>
          </w:tcPr>
          <w:p w14:paraId="32C31B62">
            <w:pPr>
              <w:snapToGrid w:val="0"/>
              <w:spacing w:line="240" w:lineRule="atLeast"/>
              <w:jc w:val="center"/>
              <w:rPr>
                <w:rFonts w:ascii="仿宋_GB2312" w:hAnsi="仿宋_GB2312" w:eastAsia="仿宋_GB2312" w:cs="仿宋_GB2312"/>
                <w:sz w:val="20"/>
                <w:szCs w:val="20"/>
              </w:rPr>
            </w:pPr>
          </w:p>
        </w:tc>
        <w:tc>
          <w:tcPr>
            <w:tcW w:w="615" w:type="dxa"/>
            <w:vAlign w:val="center"/>
          </w:tcPr>
          <w:p w14:paraId="561A6E6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CB0C1D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287CDC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实施〈中华人民共和国土地管理法〉办法》（2001年广西壮族自治区第九届人民代表大会常务委员会公布施行，2019年第二次修正）第十五条：土地权属证书是土地权利人拥有合法土地权利的法律凭证，任何单位和个人不得伪造、涂改和买卖。</w:t>
            </w:r>
          </w:p>
          <w:p w14:paraId="1BA6235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第六十四条：违反本办法第十五条规定，伪造、涂改和买卖土地权属证书的，由县级以上人民政府土地行政主管部门没收违法所得，可以并处500元以上5000元以下的罚款。</w:t>
            </w:r>
          </w:p>
        </w:tc>
        <w:tc>
          <w:tcPr>
            <w:tcW w:w="3585" w:type="dxa"/>
            <w:vAlign w:val="center"/>
          </w:tcPr>
          <w:p w14:paraId="619C0DD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C4768B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4CB7BA8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B2C46B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E2FEEC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3EB14D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3E5D2B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FFB0DF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05C1E89">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E4FA5D0">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11F979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5B2BA4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8B8116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905CA1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8CB9A9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A7E66A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42B79D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3C99B5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83DFF6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ABF82F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B34B72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8E5C66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0BB343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B11B4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96BDD9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693E62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71CE98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310C20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EF80CFB">
            <w:pPr>
              <w:snapToGrid w:val="0"/>
              <w:spacing w:line="240" w:lineRule="atLeast"/>
              <w:jc w:val="center"/>
              <w:rPr>
                <w:rFonts w:ascii="仿宋_GB2312" w:hAnsi="仿宋_GB2312" w:eastAsia="仿宋_GB2312" w:cs="仿宋_GB2312"/>
                <w:sz w:val="20"/>
                <w:szCs w:val="20"/>
              </w:rPr>
            </w:pPr>
          </w:p>
        </w:tc>
      </w:tr>
    </w:tbl>
    <w:p w14:paraId="5D07CF6B"/>
    <w:p w14:paraId="28FC1897"/>
    <w:p w14:paraId="18371D5D"/>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980"/>
        <w:gridCol w:w="3450"/>
        <w:gridCol w:w="9275"/>
        <w:gridCol w:w="330"/>
      </w:tblGrid>
      <w:tr w14:paraId="10806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F103B8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FBFEB78">
            <w:pPr>
              <w:spacing w:line="240" w:lineRule="atLeast"/>
              <w:rPr>
                <w:rFonts w:asciiTheme="majorEastAsia" w:hAnsiTheme="majorEastAsia" w:eastAsiaTheme="majorEastAsia" w:cstheme="majorEastAsia"/>
                <w:spacing w:val="-20"/>
                <w:sz w:val="20"/>
                <w:szCs w:val="20"/>
              </w:rPr>
            </w:pPr>
          </w:p>
          <w:p w14:paraId="6F6853E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149" w:type="dxa"/>
            <w:gridSpan w:val="5"/>
            <w:vAlign w:val="center"/>
          </w:tcPr>
          <w:p w14:paraId="0BD56A6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2725" w:type="dxa"/>
            <w:gridSpan w:val="2"/>
            <w:vAlign w:val="center"/>
          </w:tcPr>
          <w:p w14:paraId="3193361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172BBC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F6C5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618849A">
            <w:pPr>
              <w:spacing w:line="240" w:lineRule="atLeast"/>
              <w:jc w:val="left"/>
              <w:rPr>
                <w:rFonts w:ascii="仿宋_GB2312" w:hAnsi="仿宋_GB2312" w:eastAsia="仿宋_GB2312" w:cs="仿宋_GB2312"/>
                <w:sz w:val="20"/>
                <w:szCs w:val="20"/>
              </w:rPr>
            </w:pPr>
          </w:p>
        </w:tc>
        <w:tc>
          <w:tcPr>
            <w:tcW w:w="555" w:type="dxa"/>
            <w:vMerge w:val="continue"/>
          </w:tcPr>
          <w:p w14:paraId="32FA0F08">
            <w:pPr>
              <w:spacing w:line="240" w:lineRule="atLeast"/>
              <w:jc w:val="left"/>
              <w:rPr>
                <w:rFonts w:ascii="仿宋_GB2312" w:hAnsi="仿宋_GB2312" w:eastAsia="仿宋_GB2312" w:cs="仿宋_GB2312"/>
                <w:sz w:val="20"/>
                <w:szCs w:val="20"/>
              </w:rPr>
            </w:pPr>
          </w:p>
        </w:tc>
        <w:tc>
          <w:tcPr>
            <w:tcW w:w="784" w:type="dxa"/>
            <w:vAlign w:val="center"/>
          </w:tcPr>
          <w:p w14:paraId="3777C77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E7A48F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EDA77A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6DE257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D4C665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980" w:type="dxa"/>
            <w:vAlign w:val="center"/>
          </w:tcPr>
          <w:p w14:paraId="2209CBC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450" w:type="dxa"/>
            <w:vAlign w:val="center"/>
          </w:tcPr>
          <w:p w14:paraId="7C9DCE3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768044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275" w:type="dxa"/>
            <w:vAlign w:val="center"/>
          </w:tcPr>
          <w:p w14:paraId="63981AF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21B9D76">
            <w:pPr>
              <w:spacing w:line="240" w:lineRule="atLeast"/>
              <w:jc w:val="left"/>
              <w:rPr>
                <w:rFonts w:ascii="仿宋_GB2312" w:hAnsi="仿宋_GB2312" w:eastAsia="仿宋_GB2312" w:cs="仿宋_GB2312"/>
                <w:sz w:val="20"/>
                <w:szCs w:val="20"/>
              </w:rPr>
            </w:pPr>
          </w:p>
        </w:tc>
      </w:tr>
      <w:tr w14:paraId="462A3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2F904C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51</w:t>
            </w:r>
          </w:p>
        </w:tc>
        <w:tc>
          <w:tcPr>
            <w:tcW w:w="555" w:type="dxa"/>
            <w:vAlign w:val="center"/>
          </w:tcPr>
          <w:p w14:paraId="121C193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DD5061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8558A3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125437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对未取得采矿许可证擅自采矿，擅自进入国家规划矿区、对国民经济具有重要价值的矿区和他人矿区范围采矿，擅自开采国家规定实行保护性开采特定矿种行为的处罚</w:t>
            </w:r>
          </w:p>
        </w:tc>
        <w:tc>
          <w:tcPr>
            <w:tcW w:w="660" w:type="dxa"/>
            <w:vAlign w:val="center"/>
          </w:tcPr>
          <w:p w14:paraId="443F819B">
            <w:pPr>
              <w:snapToGrid w:val="0"/>
              <w:spacing w:line="240" w:lineRule="atLeast"/>
              <w:jc w:val="center"/>
              <w:rPr>
                <w:rFonts w:ascii="仿宋_GB2312" w:hAnsi="仿宋_GB2312" w:eastAsia="仿宋_GB2312" w:cs="仿宋_GB2312"/>
                <w:sz w:val="20"/>
                <w:szCs w:val="20"/>
              </w:rPr>
            </w:pPr>
          </w:p>
        </w:tc>
        <w:tc>
          <w:tcPr>
            <w:tcW w:w="615" w:type="dxa"/>
            <w:vAlign w:val="center"/>
          </w:tcPr>
          <w:p w14:paraId="5B3F44B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018BDF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980" w:type="dxa"/>
            <w:vAlign w:val="center"/>
          </w:tcPr>
          <w:p w14:paraId="56BA2B3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第三十九条：违反本法规定，未取得采矿许可证擅自采矿的，擅自进入国家规划矿区、对国民经济具有重要价值的矿区范围采矿的，擅自开采国家规定实行保护性开采的特定矿种的，责令停止开采、赔偿损失，没收采出的矿产品和违法所得，可以并处罚款；拒不停止开采，造成矿产资源破坏的，依照刑法第一百五十六条的规定对直接责任人员追究刑事责任。</w:t>
            </w:r>
          </w:p>
          <w:p w14:paraId="35E5574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单位和个人进入他人依法设立的国有矿山企业和其他矿山企业矿区范围内采矿的，依照前款规定处罚。</w:t>
            </w:r>
          </w:p>
          <w:p w14:paraId="37692C7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第四十五条：本法第三十九条、第四十条、第四十二条规定的行政处罚，由县级以上人民政府负责地质矿产管理工作的部门按照国务院地质矿产主管部门规定的权限决定。……</w:t>
            </w:r>
          </w:p>
          <w:p w14:paraId="0A0D89D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矿产资源法实施细则》（1994年国务院令第152号）第四十二条：依照《矿产资源法》第三十九条、第四十条、第四十二条、第四十三条、第四十四条规定处以罚款的，分别按照下列规定执行：（一）未取得采矿许可证擅自采矿的，擅自进入国家规划矿区、对国民经济具有重要价值的矿区和他人矿区范围采矿的，擅自开采国家规定实行保护性开采的特定矿种的，处以违法所得百分之五十以下的罚款；</w:t>
            </w:r>
          </w:p>
          <w:p w14:paraId="25303F0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3.【行政法规】《矿产资源开采登记管理办法》（1998年国务院令第241号公布，2014年国务院令第653号修订）第三条： 开采下列矿产资源，由国务院地质矿产主管部门审批登记，颁发采矿许可证：</w:t>
            </w:r>
          </w:p>
          <w:p w14:paraId="69F058E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（一）国家规划矿区和对国民经济具有重要价值的矿区内的矿产资源；</w:t>
            </w:r>
          </w:p>
          <w:p w14:paraId="4D7A6FB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（二）领海及中国管辖的其他海域的矿产资源；</w:t>
            </w:r>
          </w:p>
          <w:p w14:paraId="7E1A717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（三）外商投资开采的矿产资源；</w:t>
            </w:r>
          </w:p>
          <w:p w14:paraId="64B226A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（四）本办法附录所列的矿产资源。</w:t>
            </w:r>
          </w:p>
          <w:p w14:paraId="592A518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开采石油、天然气矿产的，经国务院指定的机关审查同意后，由国务院地质矿产主管部门登记，颁发采矿许可证。</w:t>
            </w:r>
          </w:p>
          <w:p w14:paraId="2B8C936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开采下列矿产资源，由省、自治区、直辖市人民政府地质矿产主管部门审批登记，颁发采矿许可证：</w:t>
            </w:r>
          </w:p>
          <w:p w14:paraId="241ECAA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（一）本条第一款、第二款规定以外的矿产储量规模中型以上的矿产资源；</w:t>
            </w:r>
          </w:p>
          <w:p w14:paraId="2B958A2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（二）国务院地质矿产主管部门授权省、自治区、直辖市人民政府地质矿产主管部门审批登记的矿产资源。</w:t>
            </w:r>
          </w:p>
          <w:p w14:paraId="75C8E95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开采本条第一款、第二款、第三款规定以外的矿产资源，由县级以上地方人民政府负责地质矿产管理工作的部门，按照省、自治区、直辖市人民代表大会常务委员会制定的管理办法审批登记，颁发采矿许可证。</w:t>
            </w:r>
          </w:p>
          <w:p w14:paraId="6CE89A6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矿区范围跨县级以上行政区域的，由所涉及行政区域的共同上一级登记管理机关审批登记，颁发采矿许可证。</w:t>
            </w:r>
          </w:p>
          <w:p w14:paraId="60E5799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县级以上地方人民政府负责地质矿产管理工作的部门在审批发证后，应当逐级向上一级人民政府负责地质矿产管理工作的部门备案。</w:t>
            </w:r>
          </w:p>
          <w:p w14:paraId="2CD977D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七条：任何单位和个人未领取采矿许可证擅自采矿的，擅自进入国家规划矿区和对国民经济具有重要价值的矿区范围采矿的，擅自开采国家规定实行保护性开采的特定矿种的，超越批准的矿区范围采矿的，由登记管理机关依照有关法律、行政法规的规定予以处罚。</w:t>
            </w:r>
          </w:p>
        </w:tc>
        <w:tc>
          <w:tcPr>
            <w:tcW w:w="3450" w:type="dxa"/>
            <w:vAlign w:val="center"/>
          </w:tcPr>
          <w:p w14:paraId="2C2DAC2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E43FCA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1B8E9E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153ADC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29E6CC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40FF55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0CDF57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69B9F16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275" w:type="dxa"/>
            <w:vAlign w:val="center"/>
          </w:tcPr>
          <w:p w14:paraId="265CCAEE">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E1A99D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324CDA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174EC0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F212D2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378B69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603DB4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06A60DF">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D556F8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DDCAC5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6894CF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28829B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E01584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E723B1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474A27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5E5D51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EF3CD4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5DF055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5B8438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C0A99E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BBD2230">
            <w:pPr>
              <w:snapToGrid w:val="0"/>
              <w:spacing w:line="240" w:lineRule="atLeast"/>
              <w:jc w:val="center"/>
              <w:rPr>
                <w:rFonts w:ascii="仿宋_GB2312" w:hAnsi="仿宋_GB2312" w:eastAsia="仿宋_GB2312" w:cs="仿宋_GB2312"/>
                <w:sz w:val="20"/>
                <w:szCs w:val="20"/>
              </w:rPr>
            </w:pPr>
          </w:p>
        </w:tc>
      </w:tr>
    </w:tbl>
    <w:p w14:paraId="75279147"/>
    <w:p w14:paraId="283ADD90"/>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957C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A0AE02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EF171BA">
            <w:pPr>
              <w:spacing w:line="240" w:lineRule="atLeast"/>
              <w:rPr>
                <w:rFonts w:asciiTheme="majorEastAsia" w:hAnsiTheme="majorEastAsia" w:eastAsiaTheme="majorEastAsia" w:cstheme="majorEastAsia"/>
                <w:spacing w:val="-20"/>
                <w:sz w:val="20"/>
                <w:szCs w:val="20"/>
              </w:rPr>
            </w:pPr>
          </w:p>
          <w:p w14:paraId="45FB455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86CE20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43B51D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CD18E6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C77B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2F91755">
            <w:pPr>
              <w:spacing w:line="240" w:lineRule="atLeast"/>
              <w:jc w:val="left"/>
              <w:rPr>
                <w:rFonts w:ascii="仿宋_GB2312" w:hAnsi="仿宋_GB2312" w:eastAsia="仿宋_GB2312" w:cs="仿宋_GB2312"/>
                <w:sz w:val="20"/>
                <w:szCs w:val="20"/>
              </w:rPr>
            </w:pPr>
          </w:p>
        </w:tc>
        <w:tc>
          <w:tcPr>
            <w:tcW w:w="555" w:type="dxa"/>
            <w:vMerge w:val="continue"/>
          </w:tcPr>
          <w:p w14:paraId="13EC2F33">
            <w:pPr>
              <w:spacing w:line="240" w:lineRule="atLeast"/>
              <w:jc w:val="left"/>
              <w:rPr>
                <w:rFonts w:ascii="仿宋_GB2312" w:hAnsi="仿宋_GB2312" w:eastAsia="仿宋_GB2312" w:cs="仿宋_GB2312"/>
                <w:sz w:val="20"/>
                <w:szCs w:val="20"/>
              </w:rPr>
            </w:pPr>
          </w:p>
        </w:tc>
        <w:tc>
          <w:tcPr>
            <w:tcW w:w="784" w:type="dxa"/>
            <w:vAlign w:val="center"/>
          </w:tcPr>
          <w:p w14:paraId="135B32E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1B4147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E30D11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6CF6C0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53CF0C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9ADAA3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350B61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C18D65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828548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52D63B8">
            <w:pPr>
              <w:spacing w:line="240" w:lineRule="atLeast"/>
              <w:jc w:val="left"/>
              <w:rPr>
                <w:rFonts w:ascii="仿宋_GB2312" w:hAnsi="仿宋_GB2312" w:eastAsia="仿宋_GB2312" w:cs="仿宋_GB2312"/>
                <w:sz w:val="20"/>
                <w:szCs w:val="20"/>
              </w:rPr>
            </w:pPr>
          </w:p>
        </w:tc>
      </w:tr>
      <w:tr w14:paraId="06B0E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8ACAC6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52</w:t>
            </w:r>
          </w:p>
        </w:tc>
        <w:tc>
          <w:tcPr>
            <w:tcW w:w="555" w:type="dxa"/>
            <w:vAlign w:val="center"/>
          </w:tcPr>
          <w:p w14:paraId="33C1C4F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05875A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C5BE24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D807E8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对超越批准的矿区范围采矿行为的处罚</w:t>
            </w:r>
          </w:p>
        </w:tc>
        <w:tc>
          <w:tcPr>
            <w:tcW w:w="660" w:type="dxa"/>
            <w:vAlign w:val="center"/>
          </w:tcPr>
          <w:p w14:paraId="5FA0D010">
            <w:pPr>
              <w:snapToGrid w:val="0"/>
              <w:spacing w:line="240" w:lineRule="atLeast"/>
              <w:jc w:val="center"/>
              <w:rPr>
                <w:rFonts w:ascii="仿宋_GB2312" w:hAnsi="仿宋_GB2312" w:eastAsia="仿宋_GB2312" w:cs="仿宋_GB2312"/>
                <w:sz w:val="20"/>
                <w:szCs w:val="20"/>
              </w:rPr>
            </w:pPr>
          </w:p>
        </w:tc>
        <w:tc>
          <w:tcPr>
            <w:tcW w:w="615" w:type="dxa"/>
            <w:vAlign w:val="center"/>
          </w:tcPr>
          <w:p w14:paraId="5DC78DA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D854AC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04CFE6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第四十条：超越批准的矿区范围采矿的，责令退回本矿区范围内开采、赔偿损失，没收越界开采的矿产品和违法所得，可以并处罚款；拒不退回本矿区范围内开采，造成矿产资源破坏的，吊销采矿许可证，依照刑法第一百五十六条的规定对直接责任人员追究刑事责任。</w:t>
            </w:r>
          </w:p>
          <w:p w14:paraId="531722C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矿产资源法实施细则》（1994年国务院令第152号）第四十二条：依照《矿产资源法》第三十九条、第四十条、第四十二条、第四十三条、第四十四条规定处以罚款的，分别按照下列规定执行：（二）超越批准的矿区范围采矿的，处以违法所得30%以下的罚款；</w:t>
            </w:r>
          </w:p>
          <w:p w14:paraId="6841684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行政法规】《矿产资源开采登记管理办法》（1998年国务院令第241号公布，2014年国务院令第653号修订）第十七条：任何单位和个人未领取采矿许可证擅自采矿的，擅自进入国家规划矿区和对国民经济具有重要价值的矿区范围采矿的，擅自开采国家规定实行保护性开采的特定矿种的，超越批准的矿区范围采矿的，由登记管理机关依照有关法律、行政法规的规定予以处罚。</w:t>
            </w:r>
          </w:p>
        </w:tc>
        <w:tc>
          <w:tcPr>
            <w:tcW w:w="3585" w:type="dxa"/>
            <w:vAlign w:val="center"/>
          </w:tcPr>
          <w:p w14:paraId="2B4128F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EC2EBC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F60F9A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0486DB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99154A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ACAB83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226CDC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62388D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6F914A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D9262F9">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89392F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F094D9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192B76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DE3E29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8BECFA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97A2894">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0C546E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61A092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42E42C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9C2151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F7263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9F3EB1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D44985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46938F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250052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3B978C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3959CC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D12EE3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75F9D24">
            <w:pPr>
              <w:snapToGrid w:val="0"/>
              <w:spacing w:line="240" w:lineRule="atLeast"/>
              <w:jc w:val="center"/>
              <w:rPr>
                <w:rFonts w:ascii="仿宋_GB2312" w:hAnsi="仿宋_GB2312" w:eastAsia="仿宋_GB2312" w:cs="仿宋_GB2312"/>
                <w:sz w:val="20"/>
                <w:szCs w:val="20"/>
              </w:rPr>
            </w:pPr>
          </w:p>
        </w:tc>
      </w:tr>
    </w:tbl>
    <w:p w14:paraId="56FE9E29"/>
    <w:p w14:paraId="628B589D"/>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35DC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0AC375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1B3F038">
            <w:pPr>
              <w:spacing w:line="240" w:lineRule="atLeast"/>
              <w:rPr>
                <w:rFonts w:asciiTheme="majorEastAsia" w:hAnsiTheme="majorEastAsia" w:eastAsiaTheme="majorEastAsia" w:cstheme="majorEastAsia"/>
                <w:spacing w:val="-20"/>
                <w:sz w:val="20"/>
                <w:szCs w:val="20"/>
              </w:rPr>
            </w:pPr>
          </w:p>
          <w:p w14:paraId="680F6E3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E85BFC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2DA2F4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C44509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19EA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075AF6F">
            <w:pPr>
              <w:spacing w:line="240" w:lineRule="atLeast"/>
              <w:jc w:val="left"/>
              <w:rPr>
                <w:rFonts w:ascii="仿宋_GB2312" w:hAnsi="仿宋_GB2312" w:eastAsia="仿宋_GB2312" w:cs="仿宋_GB2312"/>
                <w:sz w:val="20"/>
                <w:szCs w:val="20"/>
              </w:rPr>
            </w:pPr>
          </w:p>
        </w:tc>
        <w:tc>
          <w:tcPr>
            <w:tcW w:w="555" w:type="dxa"/>
            <w:vMerge w:val="continue"/>
          </w:tcPr>
          <w:p w14:paraId="7165C306">
            <w:pPr>
              <w:spacing w:line="240" w:lineRule="atLeast"/>
              <w:jc w:val="left"/>
              <w:rPr>
                <w:rFonts w:ascii="仿宋_GB2312" w:hAnsi="仿宋_GB2312" w:eastAsia="仿宋_GB2312" w:cs="仿宋_GB2312"/>
                <w:sz w:val="20"/>
                <w:szCs w:val="20"/>
              </w:rPr>
            </w:pPr>
          </w:p>
        </w:tc>
        <w:tc>
          <w:tcPr>
            <w:tcW w:w="784" w:type="dxa"/>
            <w:vAlign w:val="center"/>
          </w:tcPr>
          <w:p w14:paraId="2002F93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07ABAE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4B8F7E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838E21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B4949A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ABE9C9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15D368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AACBBB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147DA5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DB387AB">
            <w:pPr>
              <w:spacing w:line="240" w:lineRule="atLeast"/>
              <w:jc w:val="left"/>
              <w:rPr>
                <w:rFonts w:ascii="仿宋_GB2312" w:hAnsi="仿宋_GB2312" w:eastAsia="仿宋_GB2312" w:cs="仿宋_GB2312"/>
                <w:sz w:val="20"/>
                <w:szCs w:val="20"/>
              </w:rPr>
            </w:pPr>
          </w:p>
        </w:tc>
      </w:tr>
      <w:tr w14:paraId="2C187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0F413C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53</w:t>
            </w:r>
          </w:p>
        </w:tc>
        <w:tc>
          <w:tcPr>
            <w:tcW w:w="555" w:type="dxa"/>
            <w:vAlign w:val="center"/>
          </w:tcPr>
          <w:p w14:paraId="440AA54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31670A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EBF34D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326EDE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对将探矿权、采矿权倒卖牟利行为的处罚</w:t>
            </w:r>
          </w:p>
        </w:tc>
        <w:tc>
          <w:tcPr>
            <w:tcW w:w="660" w:type="dxa"/>
            <w:vAlign w:val="center"/>
          </w:tcPr>
          <w:p w14:paraId="38AD4809">
            <w:pPr>
              <w:snapToGrid w:val="0"/>
              <w:spacing w:line="240" w:lineRule="atLeast"/>
              <w:jc w:val="center"/>
              <w:rPr>
                <w:rFonts w:ascii="仿宋_GB2312" w:hAnsi="仿宋_GB2312" w:eastAsia="仿宋_GB2312" w:cs="仿宋_GB2312"/>
                <w:sz w:val="20"/>
                <w:szCs w:val="20"/>
              </w:rPr>
            </w:pPr>
          </w:p>
        </w:tc>
        <w:tc>
          <w:tcPr>
            <w:tcW w:w="615" w:type="dxa"/>
            <w:vAlign w:val="center"/>
          </w:tcPr>
          <w:p w14:paraId="5DDC5B9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F80CE3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1CD6C8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第四十二条：买卖、出租或者以其他形式转让矿产资源的，没收违法所得，处以罚款。违反本法第六条的规定将探矿权、采矿权倒卖牟利的，吊销勘查许可证、采矿许可证，没收违法所得，处以罚款。</w:t>
            </w:r>
          </w:p>
          <w:p w14:paraId="57C2AF9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第四十五条：本法第三十九条、第四十条、第四十二条规定的行政处罚，由县级以上人民政府负责地质矿产管理工作的部门按照国务院地质矿产主管部门规定的权限决定。……</w:t>
            </w:r>
          </w:p>
          <w:p w14:paraId="76A8688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矿产资源法实施细则》（1994年国务院令第152号）第四十二条：依照《矿产资源法》第三十九条、第四十条、第四十二条、第四十三条、第四十四条规定处以罚款的，分别按照下列规定执行：</w:t>
            </w:r>
          </w:p>
          <w:p w14:paraId="663C834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（一）未取得采矿许可证擅自采矿的，擅自进入国家规划矿区、对国民经济具有重要价值的矿区和他人矿区范围采矿的，擅自开采国家规定实行保护性开采的特定矿种的，处以违法所得50%以下的罚款；</w:t>
            </w:r>
          </w:p>
          <w:p w14:paraId="71597C9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（二）超越批准的矿区范围采矿的，处以违法所得30%以下的罚款；</w:t>
            </w:r>
          </w:p>
          <w:p w14:paraId="0D44737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（三）买卖、出租或者以其他形式转让矿产资源的，买卖、出租采矿权的，对卖方、出租方、出让方处以违法所得一倍以下的罚款；</w:t>
            </w:r>
          </w:p>
          <w:p w14:paraId="47F131C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（四）非法用采矿权作抵押的，处以5000元以下的罚款；</w:t>
            </w:r>
          </w:p>
          <w:p w14:paraId="33A4000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（五）违反规定收购和销售国家规定统一收购的矿产品的，处以违法所得一倍以下的罚款；</w:t>
            </w:r>
          </w:p>
          <w:p w14:paraId="53131EE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（六）采取破坏性的开采方法开采矿产资源，造成矿产资源严重破坏的，处以相当于矿产资源损失价值50%以下的罚款。</w:t>
            </w:r>
          </w:p>
        </w:tc>
        <w:tc>
          <w:tcPr>
            <w:tcW w:w="3585" w:type="dxa"/>
            <w:vAlign w:val="center"/>
          </w:tcPr>
          <w:p w14:paraId="17B91E8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6B5CDB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6AFD46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4776FB0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AD65F4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437F89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F2DA3F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751444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5A54FE0">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AFEFD96">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DD5A38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1FBCC0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209FC6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566488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8D8FFA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FBF078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CA8F15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1B7FC6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F92038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B65129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8FABD3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21BD63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0CC6AB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05B826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D4FED9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B570CF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253BF5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CD7558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DED1B53">
            <w:pPr>
              <w:snapToGrid w:val="0"/>
              <w:spacing w:line="240" w:lineRule="atLeast"/>
              <w:jc w:val="center"/>
              <w:rPr>
                <w:rFonts w:ascii="仿宋_GB2312" w:hAnsi="仿宋_GB2312" w:eastAsia="仿宋_GB2312" w:cs="仿宋_GB2312"/>
                <w:sz w:val="20"/>
                <w:szCs w:val="20"/>
              </w:rPr>
            </w:pPr>
          </w:p>
        </w:tc>
      </w:tr>
    </w:tbl>
    <w:p w14:paraId="75932490"/>
    <w:p w14:paraId="17B69933"/>
    <w:p w14:paraId="7A0C4494"/>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4479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A0B29F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E403D49">
            <w:pPr>
              <w:spacing w:line="240" w:lineRule="atLeast"/>
              <w:rPr>
                <w:rFonts w:asciiTheme="majorEastAsia" w:hAnsiTheme="majorEastAsia" w:eastAsiaTheme="majorEastAsia" w:cstheme="majorEastAsia"/>
                <w:spacing w:val="-20"/>
                <w:sz w:val="20"/>
                <w:szCs w:val="20"/>
              </w:rPr>
            </w:pPr>
          </w:p>
          <w:p w14:paraId="5A3DCC5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F64310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D23AE0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8A1F50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2B3C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ADD2DBA">
            <w:pPr>
              <w:spacing w:line="240" w:lineRule="atLeast"/>
              <w:jc w:val="left"/>
              <w:rPr>
                <w:rFonts w:ascii="仿宋_GB2312" w:hAnsi="仿宋_GB2312" w:eastAsia="仿宋_GB2312" w:cs="仿宋_GB2312"/>
                <w:sz w:val="20"/>
                <w:szCs w:val="20"/>
              </w:rPr>
            </w:pPr>
          </w:p>
        </w:tc>
        <w:tc>
          <w:tcPr>
            <w:tcW w:w="555" w:type="dxa"/>
            <w:vMerge w:val="continue"/>
          </w:tcPr>
          <w:p w14:paraId="29FF9BBB">
            <w:pPr>
              <w:spacing w:line="240" w:lineRule="atLeast"/>
              <w:jc w:val="left"/>
              <w:rPr>
                <w:rFonts w:ascii="仿宋_GB2312" w:hAnsi="仿宋_GB2312" w:eastAsia="仿宋_GB2312" w:cs="仿宋_GB2312"/>
                <w:sz w:val="20"/>
                <w:szCs w:val="20"/>
              </w:rPr>
            </w:pPr>
          </w:p>
        </w:tc>
        <w:tc>
          <w:tcPr>
            <w:tcW w:w="784" w:type="dxa"/>
            <w:vAlign w:val="center"/>
          </w:tcPr>
          <w:p w14:paraId="332EBDE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3FD2A2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8D5A62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0B9C7B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4DB829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E22FB0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87B3C0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D17163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E0D27EA">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6876F1A">
            <w:pPr>
              <w:spacing w:line="240" w:lineRule="atLeast"/>
              <w:jc w:val="left"/>
              <w:rPr>
                <w:rFonts w:ascii="仿宋_GB2312" w:hAnsi="仿宋_GB2312" w:eastAsia="仿宋_GB2312" w:cs="仿宋_GB2312"/>
                <w:sz w:val="20"/>
                <w:szCs w:val="20"/>
              </w:rPr>
            </w:pPr>
          </w:p>
        </w:tc>
      </w:tr>
      <w:tr w14:paraId="4553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B5C508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54</w:t>
            </w:r>
          </w:p>
        </w:tc>
        <w:tc>
          <w:tcPr>
            <w:tcW w:w="555" w:type="dxa"/>
            <w:vAlign w:val="center"/>
          </w:tcPr>
          <w:p w14:paraId="3CEF002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8371F1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F25717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E08C04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对买卖、出租或者以其他形式转让矿产资源行为的处罚</w:t>
            </w:r>
          </w:p>
        </w:tc>
        <w:tc>
          <w:tcPr>
            <w:tcW w:w="660" w:type="dxa"/>
            <w:vAlign w:val="center"/>
          </w:tcPr>
          <w:p w14:paraId="3ED514C1">
            <w:pPr>
              <w:snapToGrid w:val="0"/>
              <w:spacing w:line="240" w:lineRule="atLeast"/>
              <w:jc w:val="center"/>
              <w:rPr>
                <w:rFonts w:ascii="仿宋_GB2312" w:hAnsi="仿宋_GB2312" w:eastAsia="仿宋_GB2312" w:cs="仿宋_GB2312"/>
                <w:sz w:val="20"/>
                <w:szCs w:val="20"/>
              </w:rPr>
            </w:pPr>
          </w:p>
        </w:tc>
        <w:tc>
          <w:tcPr>
            <w:tcW w:w="615" w:type="dxa"/>
            <w:vAlign w:val="center"/>
          </w:tcPr>
          <w:p w14:paraId="08F1C32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47FF85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46F2E5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1.【法律】《中华人民共和国矿产资源法》第四十二条：买卖、出租或者以其他形式转让矿产资源的，没收违法所得，处以罚款。</w:t>
            </w:r>
          </w:p>
          <w:p w14:paraId="388DD55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第四十五条：本法第三十九条、第四十条、第四十二条规定的行政处罚，由县级以上人民政府负责地质矿产管理工作的部门按照国务院地质矿产主管部门规定的权限决定。……</w:t>
            </w:r>
          </w:p>
          <w:p w14:paraId="7FABF82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矿产资源法实施细则》（1994年国务院令第152号）第四十二条：依照《矿产资源法》第三十九条、第四十条、第四十二条、第四十三条、第四十四条规定处以罚款的，分别按照下列规定执行：</w:t>
            </w:r>
          </w:p>
          <w:p w14:paraId="58C9BA5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（一）未取得采矿许可证擅自采矿的，擅自进入国家规划矿区、对国民经济具有重要价值的矿区和他人矿区范围采矿的，擅自开采国家规定实行保护性开采的特定矿种的，处以违法所得百分之五十以下的罚款；</w:t>
            </w:r>
          </w:p>
          <w:p w14:paraId="399D6CD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（三）买卖、出租或者以其他形式转让矿产资源的，买卖、出租采矿权的，对卖方、出租方、出让方处以违法所得一倍以下的罚款；</w:t>
            </w:r>
          </w:p>
          <w:p w14:paraId="0EFDAC8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地方性法规】《广西壮族自治区矿产资源管理条例》（2000年12月2日广西壮族自治区第九届人民代表大会常务委员会第二十一次会议通过，自2011年1月1日起施行，根据2016年11月30日广西壮族自治区第十二届人民代表大会常务委员会第二十六次会议《关于废止和修改部分地方性法规的决定》修正）第二十条：开采下列矿产资源，由自治区地质矿产主管部门审批登记，颁发采矿许可证：</w:t>
            </w:r>
          </w:p>
          <w:p w14:paraId="4C5342F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（一）国务院《矿产资源开采登记管理办法》第三条第一款、第二款规定以外的矿产储量规模中型以上的矿产资源；</w:t>
            </w:r>
          </w:p>
          <w:p w14:paraId="020ACC7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（二）自治区规划矿区内的矿产资源；</w:t>
            </w:r>
          </w:p>
          <w:p w14:paraId="03F8E4F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（三）自治区财政出资勘查探明矿产地的矿产资源；</w:t>
            </w:r>
          </w:p>
          <w:p w14:paraId="50D0013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（四）国务院地质矿产主管部门授权省级地质矿产主管部门审批登记的矿产资源；</w:t>
            </w:r>
          </w:p>
          <w:p w14:paraId="6030AEE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（五）依法可以边探边采的矿产资源。</w:t>
            </w:r>
          </w:p>
          <w:p w14:paraId="20B9F4F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开采本条第一款规定以外的矿产储量规模为小型的矿产资源，由县级地质矿产主管部门审批登记，颁发采矿许可证。</w:t>
            </w:r>
          </w:p>
          <w:p w14:paraId="025E94E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矿区范围跨县级以上行政区域的，由所涉及行政区域的共同上一级地质矿产主管部门审批登记，颁发采矿许可证。</w:t>
            </w:r>
          </w:p>
          <w:p w14:paraId="71A5C45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第四十条：买卖、出租或者以其他任何形式转让矿产资源的，由地质矿产主管部门责令停止违法行为，没收违法所得，处以一万元以上十万元以下的罚款。</w:t>
            </w:r>
          </w:p>
        </w:tc>
        <w:tc>
          <w:tcPr>
            <w:tcW w:w="3585" w:type="dxa"/>
            <w:vAlign w:val="center"/>
          </w:tcPr>
          <w:p w14:paraId="2B323B5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976C45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1D2549D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B5B127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AC27FA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E4C78F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6C229A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CE3D3F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43B5BAD">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8213EAA">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04DACF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34BB43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CEB870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1A3D9F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2631CA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BB2EED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DCA1D0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EFDC33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C9876C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C4EE00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1B6692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8AAEA8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BB15A1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63AFE5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4DB3C3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298DB8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CBCAE0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D448A0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1F4A044">
            <w:pPr>
              <w:snapToGrid w:val="0"/>
              <w:spacing w:line="240" w:lineRule="atLeast"/>
              <w:jc w:val="center"/>
              <w:rPr>
                <w:rFonts w:ascii="仿宋_GB2312" w:hAnsi="仿宋_GB2312" w:eastAsia="仿宋_GB2312" w:cs="仿宋_GB2312"/>
                <w:sz w:val="20"/>
                <w:szCs w:val="20"/>
              </w:rPr>
            </w:pPr>
          </w:p>
        </w:tc>
      </w:tr>
    </w:tbl>
    <w:p w14:paraId="2D01418D"/>
    <w:p w14:paraId="431B1A32"/>
    <w:p w14:paraId="259FB8C6"/>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61F7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D18CB7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565F72D">
            <w:pPr>
              <w:spacing w:line="240" w:lineRule="atLeast"/>
              <w:rPr>
                <w:rFonts w:asciiTheme="majorEastAsia" w:hAnsiTheme="majorEastAsia" w:eastAsiaTheme="majorEastAsia" w:cstheme="majorEastAsia"/>
                <w:spacing w:val="-20"/>
                <w:sz w:val="20"/>
                <w:szCs w:val="20"/>
              </w:rPr>
            </w:pPr>
          </w:p>
          <w:p w14:paraId="15310B7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8CFD95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97BB7A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14763A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57DD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A9D019E">
            <w:pPr>
              <w:spacing w:line="240" w:lineRule="atLeast"/>
              <w:jc w:val="left"/>
              <w:rPr>
                <w:rFonts w:ascii="仿宋_GB2312" w:hAnsi="仿宋_GB2312" w:eastAsia="仿宋_GB2312" w:cs="仿宋_GB2312"/>
                <w:sz w:val="20"/>
                <w:szCs w:val="20"/>
              </w:rPr>
            </w:pPr>
          </w:p>
        </w:tc>
        <w:tc>
          <w:tcPr>
            <w:tcW w:w="555" w:type="dxa"/>
            <w:vMerge w:val="continue"/>
          </w:tcPr>
          <w:p w14:paraId="71EB5FF9">
            <w:pPr>
              <w:spacing w:line="240" w:lineRule="atLeast"/>
              <w:jc w:val="left"/>
              <w:rPr>
                <w:rFonts w:ascii="仿宋_GB2312" w:hAnsi="仿宋_GB2312" w:eastAsia="仿宋_GB2312" w:cs="仿宋_GB2312"/>
                <w:sz w:val="20"/>
                <w:szCs w:val="20"/>
              </w:rPr>
            </w:pPr>
          </w:p>
        </w:tc>
        <w:tc>
          <w:tcPr>
            <w:tcW w:w="784" w:type="dxa"/>
            <w:vAlign w:val="center"/>
          </w:tcPr>
          <w:p w14:paraId="6DC834C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7D4143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A771BB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CE22BD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3CCED8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FE803F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97BEC2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9EDFEB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09BC076">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D81388A">
            <w:pPr>
              <w:spacing w:line="240" w:lineRule="atLeast"/>
              <w:jc w:val="left"/>
              <w:rPr>
                <w:rFonts w:ascii="仿宋_GB2312" w:hAnsi="仿宋_GB2312" w:eastAsia="仿宋_GB2312" w:cs="仿宋_GB2312"/>
                <w:sz w:val="20"/>
                <w:szCs w:val="20"/>
              </w:rPr>
            </w:pPr>
          </w:p>
        </w:tc>
      </w:tr>
      <w:tr w14:paraId="34530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BE9911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55</w:t>
            </w:r>
          </w:p>
        </w:tc>
        <w:tc>
          <w:tcPr>
            <w:tcW w:w="555" w:type="dxa"/>
            <w:vAlign w:val="center"/>
          </w:tcPr>
          <w:p w14:paraId="5CC7F0C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4325EB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8E8E1C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A5C128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对采取破坏性的开采方法开采矿产资源的处罚</w:t>
            </w:r>
          </w:p>
        </w:tc>
        <w:tc>
          <w:tcPr>
            <w:tcW w:w="660" w:type="dxa"/>
            <w:vAlign w:val="center"/>
          </w:tcPr>
          <w:p w14:paraId="5A1B7412">
            <w:pPr>
              <w:snapToGrid w:val="0"/>
              <w:spacing w:line="240" w:lineRule="atLeast"/>
              <w:jc w:val="center"/>
              <w:rPr>
                <w:rFonts w:ascii="仿宋_GB2312" w:hAnsi="仿宋_GB2312" w:eastAsia="仿宋_GB2312" w:cs="仿宋_GB2312"/>
                <w:sz w:val="20"/>
                <w:szCs w:val="20"/>
              </w:rPr>
            </w:pPr>
          </w:p>
        </w:tc>
        <w:tc>
          <w:tcPr>
            <w:tcW w:w="615" w:type="dxa"/>
            <w:vAlign w:val="center"/>
          </w:tcPr>
          <w:p w14:paraId="51EC77B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0D6785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45B9C88">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1.【法律】《中华人民共和国矿产资源法》第四十四条：违反本法规定，采取破坏性的开采方法开采矿产资源的，处以罚款，可以吊销采矿许可证；造成矿产资源严重破坏的，依照刑法有关规定对直接责任人员追究刑事责任。</w:t>
            </w:r>
          </w:p>
          <w:p w14:paraId="1777AB3A">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第四十五条：……第四十四条规定的行政处罚，由省、自治区、直辖市人民政府地质矿产主管部门决定。给予吊销勘查许可证或者采矿许可证处罚的，须由原发证机关决定。</w:t>
            </w:r>
          </w:p>
          <w:p w14:paraId="685F1F3C">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2.【行政法规】《中华人民共和国矿产资源法实施细则》（1994年国务院令第152号）第四十二条：依照《矿产资源法》第三十九条、第四十条、第四十二条、第四十三条、第四十四条规定处以罚款的，分别按照下列规定执行：</w:t>
            </w:r>
          </w:p>
          <w:p w14:paraId="72F5A29E">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（六）采取破坏性的开采方法开采矿产资源，造成矿产资源严重破坏的，处以相当于矿产资源损失价值50%以下的罚款。</w:t>
            </w:r>
          </w:p>
        </w:tc>
        <w:tc>
          <w:tcPr>
            <w:tcW w:w="3585" w:type="dxa"/>
            <w:vAlign w:val="center"/>
          </w:tcPr>
          <w:p w14:paraId="058AC6A2">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1.立案阶段责任：接到举报或相关部门转送、巡查发现违法行为，及时予以审查，决定是否立案。下达《责令停止违法行为通知书》。</w:t>
            </w:r>
          </w:p>
          <w:p w14:paraId="3673457E">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A2CEC25">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2191EEC">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0A2014E">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5.决定阶段责任：制作行政处罚决定书，载明行政处罚告知、当事人陈述申辩或者听证情况等内容。符合刑事案件移送条件的，及时移送。</w:t>
            </w:r>
          </w:p>
          <w:p w14:paraId="745CD786">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6.送达阶段责任：行政处罚决定书按法律规定的方式送达当事人。</w:t>
            </w:r>
          </w:p>
          <w:p w14:paraId="0746403D">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7.执行阶段责任：当事人履行处罚决定的，及时结案；未履行处罚决定，依照生效的行政处罚决定，按程序下达催缴（告）通知书和申请人民法院强制执行。</w:t>
            </w:r>
          </w:p>
          <w:p w14:paraId="5067A8F1">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8.其他法律法规规章文件规定应履行的责任。</w:t>
            </w:r>
          </w:p>
        </w:tc>
        <w:tc>
          <w:tcPr>
            <w:tcW w:w="9515" w:type="dxa"/>
            <w:vAlign w:val="center"/>
          </w:tcPr>
          <w:p w14:paraId="1C145AC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69281F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6B225B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AAB036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056248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2EDC4E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1B9157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B737D8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8CFB6A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8752A3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C048D4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A16B10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79CC73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829189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0D2D2E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FE1B06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FAD799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E723BE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FC9DE3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1672B5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B3A7E24">
            <w:pPr>
              <w:snapToGrid w:val="0"/>
              <w:spacing w:line="240" w:lineRule="atLeast"/>
              <w:jc w:val="center"/>
              <w:rPr>
                <w:rFonts w:ascii="仿宋_GB2312" w:hAnsi="仿宋_GB2312" w:eastAsia="仿宋_GB2312" w:cs="仿宋_GB2312"/>
                <w:sz w:val="20"/>
                <w:szCs w:val="20"/>
              </w:rPr>
            </w:pPr>
          </w:p>
        </w:tc>
      </w:tr>
    </w:tbl>
    <w:p w14:paraId="27277FAA"/>
    <w:p w14:paraId="2A78C067"/>
    <w:p w14:paraId="5547F5B9"/>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7C26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327BC4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20E866A">
            <w:pPr>
              <w:spacing w:line="240" w:lineRule="atLeast"/>
              <w:rPr>
                <w:rFonts w:asciiTheme="majorEastAsia" w:hAnsiTheme="majorEastAsia" w:eastAsiaTheme="majorEastAsia" w:cstheme="majorEastAsia"/>
                <w:spacing w:val="-20"/>
                <w:sz w:val="20"/>
                <w:szCs w:val="20"/>
              </w:rPr>
            </w:pPr>
          </w:p>
          <w:p w14:paraId="0DDD61D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261A73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B51AC2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6CB947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DD6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EDCCF0E">
            <w:pPr>
              <w:spacing w:line="240" w:lineRule="atLeast"/>
              <w:jc w:val="left"/>
              <w:rPr>
                <w:rFonts w:ascii="仿宋_GB2312" w:hAnsi="仿宋_GB2312" w:eastAsia="仿宋_GB2312" w:cs="仿宋_GB2312"/>
                <w:sz w:val="20"/>
                <w:szCs w:val="20"/>
              </w:rPr>
            </w:pPr>
          </w:p>
        </w:tc>
        <w:tc>
          <w:tcPr>
            <w:tcW w:w="555" w:type="dxa"/>
            <w:vMerge w:val="continue"/>
          </w:tcPr>
          <w:p w14:paraId="6807840C">
            <w:pPr>
              <w:spacing w:line="240" w:lineRule="atLeast"/>
              <w:jc w:val="left"/>
              <w:rPr>
                <w:rFonts w:ascii="仿宋_GB2312" w:hAnsi="仿宋_GB2312" w:eastAsia="仿宋_GB2312" w:cs="仿宋_GB2312"/>
                <w:sz w:val="20"/>
                <w:szCs w:val="20"/>
              </w:rPr>
            </w:pPr>
          </w:p>
        </w:tc>
        <w:tc>
          <w:tcPr>
            <w:tcW w:w="784" w:type="dxa"/>
            <w:vAlign w:val="center"/>
          </w:tcPr>
          <w:p w14:paraId="382EA1C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D2D4FA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BA8273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A3A669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8DD78F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434CAA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98EF46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71CADD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2E7143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D145FD3">
            <w:pPr>
              <w:spacing w:line="240" w:lineRule="atLeast"/>
              <w:jc w:val="left"/>
              <w:rPr>
                <w:rFonts w:ascii="仿宋_GB2312" w:hAnsi="仿宋_GB2312" w:eastAsia="仿宋_GB2312" w:cs="仿宋_GB2312"/>
                <w:sz w:val="20"/>
                <w:szCs w:val="20"/>
              </w:rPr>
            </w:pPr>
          </w:p>
        </w:tc>
      </w:tr>
      <w:tr w14:paraId="1C204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D36A7F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56</w:t>
            </w:r>
          </w:p>
        </w:tc>
        <w:tc>
          <w:tcPr>
            <w:tcW w:w="555" w:type="dxa"/>
            <w:vAlign w:val="center"/>
          </w:tcPr>
          <w:p w14:paraId="76FAF9F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710193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98E5AF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CC814D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对非法用采矿权作抵押行为的处罚</w:t>
            </w:r>
          </w:p>
        </w:tc>
        <w:tc>
          <w:tcPr>
            <w:tcW w:w="660" w:type="dxa"/>
            <w:vAlign w:val="center"/>
          </w:tcPr>
          <w:p w14:paraId="0F069CCF">
            <w:pPr>
              <w:snapToGrid w:val="0"/>
              <w:spacing w:line="240" w:lineRule="atLeast"/>
              <w:jc w:val="center"/>
              <w:rPr>
                <w:rFonts w:ascii="仿宋_GB2312" w:hAnsi="仿宋_GB2312" w:eastAsia="仿宋_GB2312" w:cs="仿宋_GB2312"/>
                <w:sz w:val="20"/>
                <w:szCs w:val="20"/>
              </w:rPr>
            </w:pPr>
          </w:p>
        </w:tc>
        <w:tc>
          <w:tcPr>
            <w:tcW w:w="615" w:type="dxa"/>
            <w:vAlign w:val="center"/>
          </w:tcPr>
          <w:p w14:paraId="0BD4AD1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DEB5B2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D628F1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第四十二条：买卖、出租或者以其他形式转让矿产资源的，没收违法所得，处以罚款。违反本法第六条的规定将探矿权、采矿权倒卖牟利的，吊销勘查许可证、采矿许可证，没收违法所得，处以罚款。</w:t>
            </w:r>
          </w:p>
          <w:p w14:paraId="5F21B6A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第四十五条：本法第三十九条、第四十条、第四十二条规定的行政处罚，由县级以上人民政府负责地质矿产管理工作的部门按照国务院地质矿产主管部门规定的权限决定。……</w:t>
            </w:r>
          </w:p>
          <w:p w14:paraId="788DF8A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矿产资源法实施细则》（1994年国务院令第152号）第八条：……设区的市人民政府、自治州人民政府和县级人民政府及其负责管理矿产资源的部门，依法对本级人民政府批准开办的国有矿山企业和本行政区域内的集体所有制矿山企业、私营矿山企业、个体采矿者以及在本行政区域内从事勘查施工的单位和个人进行监督管理，依法保护探矿权人、采矿权人的合法权益。</w:t>
            </w:r>
          </w:p>
          <w:p w14:paraId="6B012B6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上级地质矿产主管部门有权对下级地质矿产主管部门违法的或者不适当的矿产资源勘查、开采管理行政行为予以改变或者撤销。</w:t>
            </w:r>
          </w:p>
          <w:p w14:paraId="3149840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第四十二条：依照《矿产资源法》第三十九条、第四十条、第四十二条、第四十三条、第四十四条规定处以罚款的，分别按照下列规定执行：</w:t>
            </w:r>
          </w:p>
          <w:p w14:paraId="70097A7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（四）非法用采矿权作抵押的，处以5000元以下的罚款。</w:t>
            </w:r>
          </w:p>
        </w:tc>
        <w:tc>
          <w:tcPr>
            <w:tcW w:w="3585" w:type="dxa"/>
            <w:vAlign w:val="center"/>
          </w:tcPr>
          <w:p w14:paraId="7286F18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0E5642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782447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1F4FAE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2D412F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CA91BB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58A37A0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6E8E2A9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ABCD381">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55A0DC7">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76852C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868494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8A6AF4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295F49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6E5569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8FA883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DE76C7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F15F33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49186A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9821C4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75DF36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896171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800A41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E76AC6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72CFFC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13D97B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B2D5CF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AB1465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C01F868">
            <w:pPr>
              <w:snapToGrid w:val="0"/>
              <w:spacing w:line="240" w:lineRule="atLeast"/>
              <w:jc w:val="center"/>
              <w:rPr>
                <w:rFonts w:ascii="仿宋_GB2312" w:hAnsi="仿宋_GB2312" w:eastAsia="仿宋_GB2312" w:cs="仿宋_GB2312"/>
                <w:sz w:val="20"/>
                <w:szCs w:val="20"/>
              </w:rPr>
            </w:pPr>
          </w:p>
        </w:tc>
      </w:tr>
    </w:tbl>
    <w:p w14:paraId="124E490F"/>
    <w:p w14:paraId="739C6CFC"/>
    <w:p w14:paraId="2FF1D721"/>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462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DC30C4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8ABB2FC">
            <w:pPr>
              <w:spacing w:line="240" w:lineRule="atLeast"/>
              <w:rPr>
                <w:rFonts w:asciiTheme="majorEastAsia" w:hAnsiTheme="majorEastAsia" w:eastAsiaTheme="majorEastAsia" w:cstheme="majorEastAsia"/>
                <w:spacing w:val="-20"/>
                <w:sz w:val="20"/>
                <w:szCs w:val="20"/>
              </w:rPr>
            </w:pPr>
          </w:p>
          <w:p w14:paraId="3D8A664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1D5733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81DFA4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5AF151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B823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C26C0B2">
            <w:pPr>
              <w:spacing w:line="240" w:lineRule="atLeast"/>
              <w:jc w:val="left"/>
              <w:rPr>
                <w:rFonts w:ascii="仿宋_GB2312" w:hAnsi="仿宋_GB2312" w:eastAsia="仿宋_GB2312" w:cs="仿宋_GB2312"/>
                <w:sz w:val="20"/>
                <w:szCs w:val="20"/>
              </w:rPr>
            </w:pPr>
          </w:p>
        </w:tc>
        <w:tc>
          <w:tcPr>
            <w:tcW w:w="555" w:type="dxa"/>
            <w:vMerge w:val="continue"/>
          </w:tcPr>
          <w:p w14:paraId="0FBBAFE1">
            <w:pPr>
              <w:spacing w:line="240" w:lineRule="atLeast"/>
              <w:jc w:val="left"/>
              <w:rPr>
                <w:rFonts w:ascii="仿宋_GB2312" w:hAnsi="仿宋_GB2312" w:eastAsia="仿宋_GB2312" w:cs="仿宋_GB2312"/>
                <w:sz w:val="20"/>
                <w:szCs w:val="20"/>
              </w:rPr>
            </w:pPr>
          </w:p>
        </w:tc>
        <w:tc>
          <w:tcPr>
            <w:tcW w:w="784" w:type="dxa"/>
            <w:vAlign w:val="center"/>
          </w:tcPr>
          <w:p w14:paraId="24AC314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2B7849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A64123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D05F6A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B98B66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3B456A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3FD607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2B33B5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AE1D04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2736D37">
            <w:pPr>
              <w:spacing w:line="240" w:lineRule="atLeast"/>
              <w:jc w:val="left"/>
              <w:rPr>
                <w:rFonts w:ascii="仿宋_GB2312" w:hAnsi="仿宋_GB2312" w:eastAsia="仿宋_GB2312" w:cs="仿宋_GB2312"/>
                <w:sz w:val="20"/>
                <w:szCs w:val="20"/>
              </w:rPr>
            </w:pPr>
          </w:p>
        </w:tc>
      </w:tr>
      <w:tr w14:paraId="3B22C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D564EC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57</w:t>
            </w:r>
          </w:p>
        </w:tc>
        <w:tc>
          <w:tcPr>
            <w:tcW w:w="555" w:type="dxa"/>
            <w:vAlign w:val="center"/>
          </w:tcPr>
          <w:p w14:paraId="47F28C5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1A23CF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2D2407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FA6633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对未经批准擅自转让探矿权、采矿权行为的处罚</w:t>
            </w:r>
          </w:p>
        </w:tc>
        <w:tc>
          <w:tcPr>
            <w:tcW w:w="660" w:type="dxa"/>
            <w:vAlign w:val="center"/>
          </w:tcPr>
          <w:p w14:paraId="20BF2504">
            <w:pPr>
              <w:snapToGrid w:val="0"/>
              <w:spacing w:line="240" w:lineRule="atLeast"/>
              <w:jc w:val="center"/>
              <w:rPr>
                <w:rFonts w:ascii="仿宋_GB2312" w:hAnsi="仿宋_GB2312" w:eastAsia="仿宋_GB2312" w:cs="仿宋_GB2312"/>
                <w:sz w:val="20"/>
                <w:szCs w:val="20"/>
              </w:rPr>
            </w:pPr>
          </w:p>
        </w:tc>
        <w:tc>
          <w:tcPr>
            <w:tcW w:w="615" w:type="dxa"/>
            <w:vAlign w:val="center"/>
          </w:tcPr>
          <w:p w14:paraId="4B9D871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6B1E44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F101FC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探矿权采矿权转让管理办法》（1998年国务院令第242号公布，2014年国务院令第653号修订）第十四条：未经审批管理机关批准，擅自转让探矿权、采矿权的，由登记管理机关责令改正，没收违法所得，处10万元以下的罚款；情节严重的，由原发证机关吊销勘查许可证、采矿许可证。</w:t>
            </w:r>
          </w:p>
          <w:p w14:paraId="2ABBEA2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第四条：国务院地质矿产主管部门和省、自治区、直辖市人民政府地质矿产主管部门是探矿权、采矿权转让的审批管理机关。</w:t>
            </w:r>
          </w:p>
          <w:p w14:paraId="234BD6D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国务院地质矿产主管部门负责由其审批发证的探矿权、采矿权转让的审批。</w:t>
            </w:r>
          </w:p>
          <w:p w14:paraId="6C80E5F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省、自治区、直辖市人民政府地质矿产主管部门负责本条第二款规定以外的探矿权、采矿权转让的审批。</w:t>
            </w:r>
          </w:p>
          <w:p w14:paraId="150362E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2.【规范性文件】《国务院关于第六批取消和调整行政审批项目的决定》（国发〔2012〕52号）附件2　国务院决定调整的行政审批项目目录（143项）（一）下放管理层级的行政审批项目（117项）第13项将“市县级人民政府地质矿产主管部门审批的采矿权的转让审批”由“省级人民政府地质矿产主管部门”下放“设区的市级、县级人民政府地质矿产主管部门”。</w:t>
            </w:r>
          </w:p>
        </w:tc>
        <w:tc>
          <w:tcPr>
            <w:tcW w:w="3585" w:type="dxa"/>
            <w:vAlign w:val="center"/>
          </w:tcPr>
          <w:p w14:paraId="2E5785B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115A9D6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1CADF7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97913A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7AEB691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7EB4EBA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AAA519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6C3FA46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FC15F3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9D3F45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1AF2D6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444247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63547C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9C213E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05991F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05187E8">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9CA351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8932AA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85B436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35A9D2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D6CAA8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C2C9B2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C02387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34C35A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E3F1DF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C004A7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FD78D5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D5978C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A52E59A">
            <w:pPr>
              <w:snapToGrid w:val="0"/>
              <w:spacing w:line="240" w:lineRule="atLeast"/>
              <w:jc w:val="center"/>
              <w:rPr>
                <w:rFonts w:ascii="仿宋_GB2312" w:hAnsi="仿宋_GB2312" w:eastAsia="仿宋_GB2312" w:cs="仿宋_GB2312"/>
                <w:sz w:val="20"/>
                <w:szCs w:val="20"/>
              </w:rPr>
            </w:pPr>
          </w:p>
        </w:tc>
      </w:tr>
    </w:tbl>
    <w:p w14:paraId="726B3FDB"/>
    <w:p w14:paraId="0A62B4B0"/>
    <w:p w14:paraId="1CD17CB0"/>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EBC5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C85E54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5794B18">
            <w:pPr>
              <w:spacing w:line="240" w:lineRule="atLeast"/>
              <w:rPr>
                <w:rFonts w:asciiTheme="majorEastAsia" w:hAnsiTheme="majorEastAsia" w:eastAsiaTheme="majorEastAsia" w:cstheme="majorEastAsia"/>
                <w:spacing w:val="-20"/>
                <w:sz w:val="20"/>
                <w:szCs w:val="20"/>
              </w:rPr>
            </w:pPr>
          </w:p>
          <w:p w14:paraId="72BD59E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9323DA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1F528A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36CAF9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6697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F00EF5C">
            <w:pPr>
              <w:spacing w:line="240" w:lineRule="atLeast"/>
              <w:jc w:val="left"/>
              <w:rPr>
                <w:rFonts w:ascii="仿宋_GB2312" w:hAnsi="仿宋_GB2312" w:eastAsia="仿宋_GB2312" w:cs="仿宋_GB2312"/>
                <w:sz w:val="20"/>
                <w:szCs w:val="20"/>
              </w:rPr>
            </w:pPr>
          </w:p>
        </w:tc>
        <w:tc>
          <w:tcPr>
            <w:tcW w:w="555" w:type="dxa"/>
            <w:vMerge w:val="continue"/>
          </w:tcPr>
          <w:p w14:paraId="3F2D6C0A">
            <w:pPr>
              <w:spacing w:line="240" w:lineRule="atLeast"/>
              <w:jc w:val="left"/>
              <w:rPr>
                <w:rFonts w:ascii="仿宋_GB2312" w:hAnsi="仿宋_GB2312" w:eastAsia="仿宋_GB2312" w:cs="仿宋_GB2312"/>
                <w:sz w:val="20"/>
                <w:szCs w:val="20"/>
              </w:rPr>
            </w:pPr>
          </w:p>
        </w:tc>
        <w:tc>
          <w:tcPr>
            <w:tcW w:w="784" w:type="dxa"/>
            <w:vAlign w:val="center"/>
          </w:tcPr>
          <w:p w14:paraId="7C237D0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182C57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0CC1F9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63242D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03DD53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C9CC7D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9686A1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513CBA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EE954D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2B2A351">
            <w:pPr>
              <w:spacing w:line="240" w:lineRule="atLeast"/>
              <w:jc w:val="left"/>
              <w:rPr>
                <w:rFonts w:ascii="仿宋_GB2312" w:hAnsi="仿宋_GB2312" w:eastAsia="仿宋_GB2312" w:cs="仿宋_GB2312"/>
                <w:sz w:val="20"/>
                <w:szCs w:val="20"/>
              </w:rPr>
            </w:pPr>
          </w:p>
        </w:tc>
      </w:tr>
      <w:tr w14:paraId="4B6C3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02DCA3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58</w:t>
            </w:r>
          </w:p>
        </w:tc>
        <w:tc>
          <w:tcPr>
            <w:tcW w:w="555" w:type="dxa"/>
            <w:vAlign w:val="center"/>
          </w:tcPr>
          <w:p w14:paraId="1E8D84B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36DFC0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E363ED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32A11B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对未取得勘查许可证擅自进行勘查工作的，超越批准的勘查区块范围进行勘查工作行为的处罚</w:t>
            </w:r>
          </w:p>
        </w:tc>
        <w:tc>
          <w:tcPr>
            <w:tcW w:w="660" w:type="dxa"/>
            <w:vAlign w:val="center"/>
          </w:tcPr>
          <w:p w14:paraId="50D526E3">
            <w:pPr>
              <w:snapToGrid w:val="0"/>
              <w:spacing w:line="240" w:lineRule="atLeast"/>
              <w:jc w:val="center"/>
              <w:rPr>
                <w:rFonts w:ascii="仿宋_GB2312" w:hAnsi="仿宋_GB2312" w:eastAsia="仿宋_GB2312" w:cs="仿宋_GB2312"/>
                <w:sz w:val="20"/>
                <w:szCs w:val="20"/>
              </w:rPr>
            </w:pPr>
          </w:p>
        </w:tc>
        <w:tc>
          <w:tcPr>
            <w:tcW w:w="615" w:type="dxa"/>
            <w:vAlign w:val="center"/>
          </w:tcPr>
          <w:p w14:paraId="4D842AE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4A49AA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559B09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矿产资源勘查区块登记管理办法》（1998年国务院令第240号公布，2014年国务院令第653号修订）第二十六条：违反本办法规定，未取得勘查许可证擅自进行勘查工作的，超越批准的勘查区块范围进行勘查工作的，由县级以上人民政府负责地质矿产管理工作的部门按照国务院地质矿产主管部门规定的权限，责令停止违法行为，予以警告，可以并处10万元以下的罚款。</w:t>
            </w:r>
          </w:p>
        </w:tc>
        <w:tc>
          <w:tcPr>
            <w:tcW w:w="3585" w:type="dxa"/>
            <w:vAlign w:val="center"/>
          </w:tcPr>
          <w:p w14:paraId="10947EB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CD67E4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188A5DC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D54D9B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A4B529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8BF275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EB6AF2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64043AA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E560C7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F2FF1B7">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AAFEEF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20E2B0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F2E394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68AA8B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354F0D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507AC6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B7A9E1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605FE8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0511D6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926AE9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AF255C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90148D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BD3A08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D652B8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ACC46F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089495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A0B1FB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8DFEAD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353E04C">
            <w:pPr>
              <w:snapToGrid w:val="0"/>
              <w:spacing w:line="240" w:lineRule="atLeast"/>
              <w:jc w:val="center"/>
              <w:rPr>
                <w:rFonts w:ascii="仿宋_GB2312" w:hAnsi="仿宋_GB2312" w:eastAsia="仿宋_GB2312" w:cs="仿宋_GB2312"/>
                <w:sz w:val="20"/>
                <w:szCs w:val="20"/>
              </w:rPr>
            </w:pPr>
          </w:p>
        </w:tc>
      </w:tr>
    </w:tbl>
    <w:p w14:paraId="15D907E9"/>
    <w:p w14:paraId="691464FC"/>
    <w:p w14:paraId="03509FB7"/>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5208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CA21880">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43F91EE">
            <w:pPr>
              <w:spacing w:line="240" w:lineRule="atLeast"/>
              <w:rPr>
                <w:rFonts w:asciiTheme="majorEastAsia" w:hAnsiTheme="majorEastAsia" w:eastAsiaTheme="majorEastAsia" w:cstheme="majorEastAsia"/>
                <w:spacing w:val="-20"/>
                <w:sz w:val="20"/>
                <w:szCs w:val="20"/>
              </w:rPr>
            </w:pPr>
          </w:p>
          <w:p w14:paraId="31979ED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DE36AE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13660B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D1862C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EF14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8C67F16">
            <w:pPr>
              <w:spacing w:line="240" w:lineRule="atLeast"/>
              <w:jc w:val="left"/>
              <w:rPr>
                <w:rFonts w:ascii="仿宋_GB2312" w:hAnsi="仿宋_GB2312" w:eastAsia="仿宋_GB2312" w:cs="仿宋_GB2312"/>
                <w:sz w:val="20"/>
                <w:szCs w:val="20"/>
              </w:rPr>
            </w:pPr>
          </w:p>
        </w:tc>
        <w:tc>
          <w:tcPr>
            <w:tcW w:w="555" w:type="dxa"/>
            <w:vMerge w:val="continue"/>
          </w:tcPr>
          <w:p w14:paraId="1A3AFB50">
            <w:pPr>
              <w:spacing w:line="240" w:lineRule="atLeast"/>
              <w:jc w:val="left"/>
              <w:rPr>
                <w:rFonts w:ascii="仿宋_GB2312" w:hAnsi="仿宋_GB2312" w:eastAsia="仿宋_GB2312" w:cs="仿宋_GB2312"/>
                <w:sz w:val="20"/>
                <w:szCs w:val="20"/>
              </w:rPr>
            </w:pPr>
          </w:p>
        </w:tc>
        <w:tc>
          <w:tcPr>
            <w:tcW w:w="784" w:type="dxa"/>
            <w:vAlign w:val="center"/>
          </w:tcPr>
          <w:p w14:paraId="2CEFE45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CE0BBB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D79F47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39E361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05412E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8B76F0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4DCACE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125B01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967CB3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54EFA47">
            <w:pPr>
              <w:spacing w:line="240" w:lineRule="atLeast"/>
              <w:jc w:val="left"/>
              <w:rPr>
                <w:rFonts w:ascii="仿宋_GB2312" w:hAnsi="仿宋_GB2312" w:eastAsia="仿宋_GB2312" w:cs="仿宋_GB2312"/>
                <w:sz w:val="20"/>
                <w:szCs w:val="20"/>
              </w:rPr>
            </w:pPr>
          </w:p>
        </w:tc>
      </w:tr>
      <w:tr w14:paraId="303B2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4A0121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59</w:t>
            </w:r>
          </w:p>
        </w:tc>
        <w:tc>
          <w:tcPr>
            <w:tcW w:w="555" w:type="dxa"/>
            <w:vAlign w:val="center"/>
          </w:tcPr>
          <w:p w14:paraId="03130F7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92009B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7268A2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EEF0D2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对未经批准擅自进行滚动勘探开发、边探边采或者试采行为的处罚</w:t>
            </w:r>
          </w:p>
        </w:tc>
        <w:tc>
          <w:tcPr>
            <w:tcW w:w="660" w:type="dxa"/>
            <w:vAlign w:val="center"/>
          </w:tcPr>
          <w:p w14:paraId="4E7951E8">
            <w:pPr>
              <w:snapToGrid w:val="0"/>
              <w:spacing w:line="240" w:lineRule="atLeast"/>
              <w:jc w:val="center"/>
              <w:rPr>
                <w:rFonts w:ascii="仿宋_GB2312" w:hAnsi="仿宋_GB2312" w:eastAsia="仿宋_GB2312" w:cs="仿宋_GB2312"/>
                <w:sz w:val="20"/>
                <w:szCs w:val="20"/>
              </w:rPr>
            </w:pPr>
          </w:p>
        </w:tc>
        <w:tc>
          <w:tcPr>
            <w:tcW w:w="615" w:type="dxa"/>
            <w:vAlign w:val="center"/>
          </w:tcPr>
          <w:p w14:paraId="4769A0D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E4A3ED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DDB70D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矿产资源勘查区块登记管理办法》（1998年国务院令第240号公布，2014年国务院令第653号修订）第二十七条：违反本办法规定，未经批准，擅自进行滚动勘探开发、边探边采或者试采的，由县级以上人民政府负责地质矿产管理工作的部门按照国务院地质矿产主管部门规定的权限，责令停止违法行为，予以警告，没收违法所得，可以并处10万元以下的罚款。</w:t>
            </w:r>
          </w:p>
        </w:tc>
        <w:tc>
          <w:tcPr>
            <w:tcW w:w="3585" w:type="dxa"/>
            <w:vAlign w:val="center"/>
          </w:tcPr>
          <w:p w14:paraId="15FB55C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8F02BD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4C1867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4B2980F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393D23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5ABB55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F2FB0B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E51A62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5509A3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487880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7A5DBE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40179F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20E43B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F2C812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D3E588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882590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FBEDB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A43894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EB57FF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243837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CF9331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DBBCD0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0FB769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822F11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E4A952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69D01F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C30E5E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6FE490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BE2FEC6">
            <w:pPr>
              <w:snapToGrid w:val="0"/>
              <w:spacing w:line="240" w:lineRule="atLeast"/>
              <w:jc w:val="center"/>
              <w:rPr>
                <w:rFonts w:ascii="仿宋_GB2312" w:hAnsi="仿宋_GB2312" w:eastAsia="仿宋_GB2312" w:cs="仿宋_GB2312"/>
                <w:sz w:val="20"/>
                <w:szCs w:val="20"/>
              </w:rPr>
            </w:pPr>
          </w:p>
        </w:tc>
      </w:tr>
    </w:tbl>
    <w:p w14:paraId="7DE5974C"/>
    <w:p w14:paraId="4CE61D71"/>
    <w:p w14:paraId="274D5523"/>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B779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9A0FA8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DFA9B8C">
            <w:pPr>
              <w:spacing w:line="240" w:lineRule="atLeast"/>
              <w:rPr>
                <w:rFonts w:asciiTheme="majorEastAsia" w:hAnsiTheme="majorEastAsia" w:eastAsiaTheme="majorEastAsia" w:cstheme="majorEastAsia"/>
                <w:spacing w:val="-20"/>
                <w:sz w:val="20"/>
                <w:szCs w:val="20"/>
              </w:rPr>
            </w:pPr>
          </w:p>
          <w:p w14:paraId="0DA94968">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8627DD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35CBDF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D4077E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59AC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D39EDA5">
            <w:pPr>
              <w:spacing w:line="240" w:lineRule="atLeast"/>
              <w:jc w:val="left"/>
              <w:rPr>
                <w:rFonts w:ascii="仿宋_GB2312" w:hAnsi="仿宋_GB2312" w:eastAsia="仿宋_GB2312" w:cs="仿宋_GB2312"/>
                <w:sz w:val="20"/>
                <w:szCs w:val="20"/>
              </w:rPr>
            </w:pPr>
          </w:p>
        </w:tc>
        <w:tc>
          <w:tcPr>
            <w:tcW w:w="555" w:type="dxa"/>
            <w:vMerge w:val="continue"/>
          </w:tcPr>
          <w:p w14:paraId="439BCEDC">
            <w:pPr>
              <w:spacing w:line="240" w:lineRule="atLeast"/>
              <w:jc w:val="left"/>
              <w:rPr>
                <w:rFonts w:ascii="仿宋_GB2312" w:hAnsi="仿宋_GB2312" w:eastAsia="仿宋_GB2312" w:cs="仿宋_GB2312"/>
                <w:sz w:val="20"/>
                <w:szCs w:val="20"/>
              </w:rPr>
            </w:pPr>
          </w:p>
        </w:tc>
        <w:tc>
          <w:tcPr>
            <w:tcW w:w="784" w:type="dxa"/>
            <w:vAlign w:val="center"/>
          </w:tcPr>
          <w:p w14:paraId="29402DA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0D0A8F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6592E8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695C79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732EBA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401D6D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FB82DC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3E759B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D59B62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15D3314">
            <w:pPr>
              <w:spacing w:line="240" w:lineRule="atLeast"/>
              <w:jc w:val="left"/>
              <w:rPr>
                <w:rFonts w:ascii="仿宋_GB2312" w:hAnsi="仿宋_GB2312" w:eastAsia="仿宋_GB2312" w:cs="仿宋_GB2312"/>
                <w:sz w:val="20"/>
                <w:szCs w:val="20"/>
              </w:rPr>
            </w:pPr>
          </w:p>
        </w:tc>
      </w:tr>
      <w:tr w14:paraId="29B92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422D2C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60</w:t>
            </w:r>
          </w:p>
        </w:tc>
        <w:tc>
          <w:tcPr>
            <w:tcW w:w="555" w:type="dxa"/>
            <w:vAlign w:val="center"/>
          </w:tcPr>
          <w:p w14:paraId="29D5E99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D77997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8F8AE3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CF044D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对擅自印制或者伪造、冒用勘查许可证行为的处罚</w:t>
            </w:r>
          </w:p>
        </w:tc>
        <w:tc>
          <w:tcPr>
            <w:tcW w:w="660" w:type="dxa"/>
            <w:vAlign w:val="center"/>
          </w:tcPr>
          <w:p w14:paraId="744DE8D9">
            <w:pPr>
              <w:snapToGrid w:val="0"/>
              <w:spacing w:line="240" w:lineRule="atLeast"/>
              <w:jc w:val="center"/>
              <w:rPr>
                <w:rFonts w:ascii="仿宋_GB2312" w:hAnsi="仿宋_GB2312" w:eastAsia="仿宋_GB2312" w:cs="仿宋_GB2312"/>
                <w:sz w:val="20"/>
                <w:szCs w:val="20"/>
              </w:rPr>
            </w:pPr>
          </w:p>
        </w:tc>
        <w:tc>
          <w:tcPr>
            <w:tcW w:w="615" w:type="dxa"/>
            <w:vAlign w:val="center"/>
          </w:tcPr>
          <w:p w14:paraId="1E8109B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A1E512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7204C3C">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【行政法规】《矿产资源勘查区块登记管理办法》（</w:t>
            </w:r>
            <w:r>
              <w:rPr>
                <w:rFonts w:hint="eastAsia" w:eastAsia="仿宋_GB2312"/>
                <w:snapToGrid w:val="0"/>
                <w:color w:val="000000"/>
                <w:sz w:val="20"/>
                <w:szCs w:val="20"/>
              </w:rPr>
              <w:t>1998</w:t>
            </w:r>
            <w:r>
              <w:rPr>
                <w:rFonts w:hint="eastAsia" w:eastAsia="仿宋_GB2312" w:cs="宋体"/>
                <w:snapToGrid w:val="0"/>
                <w:color w:val="000000"/>
                <w:sz w:val="20"/>
                <w:szCs w:val="20"/>
              </w:rPr>
              <w:t>年国务院令第</w:t>
            </w:r>
            <w:r>
              <w:rPr>
                <w:rFonts w:hint="eastAsia" w:eastAsia="仿宋_GB2312"/>
                <w:snapToGrid w:val="0"/>
                <w:color w:val="000000"/>
                <w:sz w:val="20"/>
                <w:szCs w:val="20"/>
              </w:rPr>
              <w:t>240</w:t>
            </w:r>
            <w:r>
              <w:rPr>
                <w:rFonts w:hint="eastAsia" w:eastAsia="仿宋_GB2312" w:cs="宋体"/>
                <w:snapToGrid w:val="0"/>
                <w:color w:val="000000"/>
                <w:sz w:val="20"/>
                <w:szCs w:val="20"/>
              </w:rPr>
              <w:t>号公布，</w:t>
            </w:r>
            <w:r>
              <w:rPr>
                <w:rFonts w:hint="eastAsia" w:eastAsia="仿宋_GB2312"/>
                <w:snapToGrid w:val="0"/>
                <w:color w:val="000000"/>
                <w:sz w:val="20"/>
                <w:szCs w:val="20"/>
              </w:rPr>
              <w:t>2014</w:t>
            </w:r>
            <w:r>
              <w:rPr>
                <w:rFonts w:hint="eastAsia" w:eastAsia="仿宋_GB2312" w:cs="宋体"/>
                <w:snapToGrid w:val="0"/>
                <w:color w:val="000000"/>
                <w:sz w:val="20"/>
                <w:szCs w:val="20"/>
              </w:rPr>
              <w:t>年国务院令第</w:t>
            </w:r>
            <w:r>
              <w:rPr>
                <w:rFonts w:hint="eastAsia" w:eastAsia="仿宋_GB2312"/>
                <w:snapToGrid w:val="0"/>
                <w:color w:val="000000"/>
                <w:sz w:val="20"/>
                <w:szCs w:val="20"/>
              </w:rPr>
              <w:t>653</w:t>
            </w:r>
            <w:r>
              <w:rPr>
                <w:rFonts w:hint="eastAsia" w:eastAsia="仿宋_GB2312" w:cs="宋体"/>
                <w:snapToGrid w:val="0"/>
                <w:color w:val="000000"/>
                <w:sz w:val="20"/>
                <w:szCs w:val="20"/>
              </w:rPr>
              <w:t>号修订）第二十八条：违反本办法规定，擅自印制或者伪造、冒用勘查许可证的，由县级以上人民政府负责地质矿产管理工作的部门按照国务院地质矿产主管部门规定的权限，没收违法所得，可以并处</w:t>
            </w:r>
            <w:r>
              <w:rPr>
                <w:rFonts w:hint="eastAsia" w:eastAsia="仿宋_GB2312"/>
                <w:snapToGrid w:val="0"/>
                <w:color w:val="000000"/>
                <w:sz w:val="20"/>
                <w:szCs w:val="20"/>
              </w:rPr>
              <w:t>10</w:t>
            </w:r>
            <w:r>
              <w:rPr>
                <w:rFonts w:hint="eastAsia" w:eastAsia="仿宋_GB2312" w:cs="宋体"/>
                <w:snapToGrid w:val="0"/>
                <w:color w:val="000000"/>
                <w:sz w:val="20"/>
                <w:szCs w:val="20"/>
              </w:rPr>
              <w:t>万元以下的罚款；构成犯罪的，依法追究刑事责任。</w:t>
            </w:r>
          </w:p>
        </w:tc>
        <w:tc>
          <w:tcPr>
            <w:tcW w:w="3585" w:type="dxa"/>
            <w:vAlign w:val="center"/>
          </w:tcPr>
          <w:p w14:paraId="7ACF629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14C6CDB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4E76FD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BB57AF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6D1745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9E3000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E5BCF1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68E6EF1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786100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7C1209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649228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A8A75B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52B3E2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98BD96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7AFF8A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E1B392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02D8C3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45BD42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72B188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B6BFF5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8EAF15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3856BD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C49F81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284839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514BB2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623383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B4134B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5EFA09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30F07A0">
            <w:pPr>
              <w:snapToGrid w:val="0"/>
              <w:spacing w:line="240" w:lineRule="atLeast"/>
              <w:jc w:val="center"/>
              <w:rPr>
                <w:rFonts w:ascii="仿宋_GB2312" w:hAnsi="仿宋_GB2312" w:eastAsia="仿宋_GB2312" w:cs="仿宋_GB2312"/>
                <w:sz w:val="20"/>
                <w:szCs w:val="20"/>
              </w:rPr>
            </w:pPr>
          </w:p>
        </w:tc>
      </w:tr>
    </w:tbl>
    <w:p w14:paraId="6BB17A86"/>
    <w:p w14:paraId="3B093B71"/>
    <w:p w14:paraId="59DDDB65"/>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2907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73E93C0">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24AFCE5">
            <w:pPr>
              <w:spacing w:line="240" w:lineRule="atLeast"/>
              <w:rPr>
                <w:rFonts w:asciiTheme="majorEastAsia" w:hAnsiTheme="majorEastAsia" w:eastAsiaTheme="majorEastAsia" w:cstheme="majorEastAsia"/>
                <w:spacing w:val="-20"/>
                <w:sz w:val="20"/>
                <w:szCs w:val="20"/>
              </w:rPr>
            </w:pPr>
          </w:p>
          <w:p w14:paraId="14BF944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3C176C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FB6B81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5C0D8F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D6C1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B3F1AF4">
            <w:pPr>
              <w:spacing w:line="240" w:lineRule="atLeast"/>
              <w:jc w:val="left"/>
              <w:rPr>
                <w:rFonts w:ascii="仿宋_GB2312" w:hAnsi="仿宋_GB2312" w:eastAsia="仿宋_GB2312" w:cs="仿宋_GB2312"/>
                <w:sz w:val="20"/>
                <w:szCs w:val="20"/>
              </w:rPr>
            </w:pPr>
          </w:p>
        </w:tc>
        <w:tc>
          <w:tcPr>
            <w:tcW w:w="555" w:type="dxa"/>
            <w:vMerge w:val="continue"/>
          </w:tcPr>
          <w:p w14:paraId="2E8BD112">
            <w:pPr>
              <w:spacing w:line="240" w:lineRule="atLeast"/>
              <w:jc w:val="left"/>
              <w:rPr>
                <w:rFonts w:ascii="仿宋_GB2312" w:hAnsi="仿宋_GB2312" w:eastAsia="仿宋_GB2312" w:cs="仿宋_GB2312"/>
                <w:sz w:val="20"/>
                <w:szCs w:val="20"/>
              </w:rPr>
            </w:pPr>
          </w:p>
        </w:tc>
        <w:tc>
          <w:tcPr>
            <w:tcW w:w="784" w:type="dxa"/>
            <w:vAlign w:val="center"/>
          </w:tcPr>
          <w:p w14:paraId="6B15279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0AB5A4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DB4572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76448B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9955AA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4B1344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2B8C35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02C771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B7F4BA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47D35C7">
            <w:pPr>
              <w:spacing w:line="240" w:lineRule="atLeast"/>
              <w:jc w:val="left"/>
              <w:rPr>
                <w:rFonts w:ascii="仿宋_GB2312" w:hAnsi="仿宋_GB2312" w:eastAsia="仿宋_GB2312" w:cs="仿宋_GB2312"/>
                <w:sz w:val="20"/>
                <w:szCs w:val="20"/>
              </w:rPr>
            </w:pPr>
          </w:p>
        </w:tc>
      </w:tr>
      <w:tr w14:paraId="282A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D75F93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61</w:t>
            </w:r>
          </w:p>
        </w:tc>
        <w:tc>
          <w:tcPr>
            <w:tcW w:w="555" w:type="dxa"/>
            <w:vAlign w:val="center"/>
          </w:tcPr>
          <w:p w14:paraId="1AF2091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FF264F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850987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06A3BC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对不按照《矿产资源勘查区块登记管理办法》的规定备案、报告有关情况、拒绝接受监督检查或者弄虚作假行为的处罚</w:t>
            </w:r>
          </w:p>
        </w:tc>
        <w:tc>
          <w:tcPr>
            <w:tcW w:w="660" w:type="dxa"/>
            <w:vAlign w:val="center"/>
          </w:tcPr>
          <w:p w14:paraId="0B7E07AE">
            <w:pPr>
              <w:snapToGrid w:val="0"/>
              <w:spacing w:line="240" w:lineRule="atLeast"/>
              <w:jc w:val="center"/>
              <w:rPr>
                <w:rFonts w:ascii="仿宋_GB2312" w:hAnsi="仿宋_GB2312" w:eastAsia="仿宋_GB2312" w:cs="仿宋_GB2312"/>
                <w:sz w:val="20"/>
                <w:szCs w:val="20"/>
              </w:rPr>
            </w:pPr>
          </w:p>
        </w:tc>
        <w:tc>
          <w:tcPr>
            <w:tcW w:w="615" w:type="dxa"/>
            <w:vAlign w:val="center"/>
          </w:tcPr>
          <w:p w14:paraId="6913DD8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86C1C2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219C51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勘查区块登记管理办法》（1998年国务院令第240号公布，2014年国务院令第653号修订）第二十九条：违反本办法规定，有下列行为之一的，由县级以上人民政府负责地质矿产管理工作的部门按照国务院地质矿产主管部门规定的权限，责令限期改正；逾期不改正的，处5万元以下的罚款；情节严重的，原发证机关可以吊销勘查许可证：</w:t>
            </w:r>
          </w:p>
          <w:p w14:paraId="2F0C8A5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（一）不按照本办法的规定备案、报告有关情况、拒绝接受监督检查或者弄虚作假的。</w:t>
            </w:r>
          </w:p>
        </w:tc>
        <w:tc>
          <w:tcPr>
            <w:tcW w:w="3585" w:type="dxa"/>
            <w:vAlign w:val="center"/>
          </w:tcPr>
          <w:p w14:paraId="10F1363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1.立案阶段责任：接到举报或相关部门转送、巡查发现该违法行为，及时予以审查，决定是否立案。下达《责令停止违法行为通知书》。</w:t>
            </w:r>
          </w:p>
          <w:p w14:paraId="746B413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52936DD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D5FD1A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FEC3B2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06A41B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3A7920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4CB726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8．其他法律法规规章文件应履行的责任。</w:t>
            </w:r>
          </w:p>
        </w:tc>
        <w:tc>
          <w:tcPr>
            <w:tcW w:w="9515" w:type="dxa"/>
            <w:vAlign w:val="center"/>
          </w:tcPr>
          <w:p w14:paraId="702DD749">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9A60051">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458FAF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A01A8A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DCAAD7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2E07BE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6107D1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3C060B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C4916E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916B6A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9C7AE5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7608C4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40AE07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93EFEF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BABB67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F2C0B7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483DA8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A789E8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BA2550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07D461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6135C5F">
            <w:pPr>
              <w:snapToGrid w:val="0"/>
              <w:spacing w:line="240" w:lineRule="atLeast"/>
              <w:jc w:val="center"/>
              <w:rPr>
                <w:rFonts w:ascii="仿宋_GB2312" w:hAnsi="仿宋_GB2312" w:eastAsia="仿宋_GB2312" w:cs="仿宋_GB2312"/>
                <w:sz w:val="20"/>
                <w:szCs w:val="20"/>
              </w:rPr>
            </w:pPr>
          </w:p>
        </w:tc>
      </w:tr>
    </w:tbl>
    <w:p w14:paraId="5E2DE2E6"/>
    <w:p w14:paraId="63912FD8"/>
    <w:p w14:paraId="6F649389"/>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1876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B226EE9">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80E858E">
            <w:pPr>
              <w:spacing w:line="240" w:lineRule="atLeast"/>
              <w:rPr>
                <w:rFonts w:asciiTheme="majorEastAsia" w:hAnsiTheme="majorEastAsia" w:eastAsiaTheme="majorEastAsia" w:cstheme="majorEastAsia"/>
                <w:spacing w:val="-20"/>
                <w:sz w:val="20"/>
                <w:szCs w:val="20"/>
              </w:rPr>
            </w:pPr>
          </w:p>
          <w:p w14:paraId="44767ED7">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C4961C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13925A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5DB1BC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9B8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8F8D37C">
            <w:pPr>
              <w:spacing w:line="240" w:lineRule="atLeast"/>
              <w:jc w:val="left"/>
              <w:rPr>
                <w:rFonts w:ascii="仿宋_GB2312" w:hAnsi="仿宋_GB2312" w:eastAsia="仿宋_GB2312" w:cs="仿宋_GB2312"/>
                <w:sz w:val="20"/>
                <w:szCs w:val="20"/>
              </w:rPr>
            </w:pPr>
          </w:p>
        </w:tc>
        <w:tc>
          <w:tcPr>
            <w:tcW w:w="555" w:type="dxa"/>
            <w:vMerge w:val="continue"/>
          </w:tcPr>
          <w:p w14:paraId="009F0574">
            <w:pPr>
              <w:spacing w:line="240" w:lineRule="atLeast"/>
              <w:jc w:val="left"/>
              <w:rPr>
                <w:rFonts w:ascii="仿宋_GB2312" w:hAnsi="仿宋_GB2312" w:eastAsia="仿宋_GB2312" w:cs="仿宋_GB2312"/>
                <w:sz w:val="20"/>
                <w:szCs w:val="20"/>
              </w:rPr>
            </w:pPr>
          </w:p>
        </w:tc>
        <w:tc>
          <w:tcPr>
            <w:tcW w:w="784" w:type="dxa"/>
            <w:vAlign w:val="center"/>
          </w:tcPr>
          <w:p w14:paraId="6983DB0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19313E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6624F4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3CC8D4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6FFF75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24AD24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6D3DB4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A30933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0B99D2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F6FBDC9">
            <w:pPr>
              <w:spacing w:line="240" w:lineRule="atLeast"/>
              <w:jc w:val="left"/>
              <w:rPr>
                <w:rFonts w:ascii="仿宋_GB2312" w:hAnsi="仿宋_GB2312" w:eastAsia="仿宋_GB2312" w:cs="仿宋_GB2312"/>
                <w:sz w:val="20"/>
                <w:szCs w:val="20"/>
              </w:rPr>
            </w:pPr>
          </w:p>
        </w:tc>
      </w:tr>
      <w:tr w14:paraId="2825F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0CB793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62</w:t>
            </w:r>
          </w:p>
        </w:tc>
        <w:tc>
          <w:tcPr>
            <w:tcW w:w="555" w:type="dxa"/>
            <w:vAlign w:val="center"/>
          </w:tcPr>
          <w:p w14:paraId="678D315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773745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640372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58BD12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对未完成最低勘查投入行为的处罚</w:t>
            </w:r>
          </w:p>
        </w:tc>
        <w:tc>
          <w:tcPr>
            <w:tcW w:w="660" w:type="dxa"/>
            <w:vAlign w:val="center"/>
          </w:tcPr>
          <w:p w14:paraId="2FC1CBD2">
            <w:pPr>
              <w:snapToGrid w:val="0"/>
              <w:spacing w:line="240" w:lineRule="atLeast"/>
              <w:jc w:val="center"/>
              <w:rPr>
                <w:rFonts w:ascii="仿宋_GB2312" w:hAnsi="仿宋_GB2312" w:eastAsia="仿宋_GB2312" w:cs="仿宋_GB2312"/>
                <w:sz w:val="20"/>
                <w:szCs w:val="20"/>
              </w:rPr>
            </w:pPr>
          </w:p>
        </w:tc>
        <w:tc>
          <w:tcPr>
            <w:tcW w:w="615" w:type="dxa"/>
            <w:vAlign w:val="center"/>
          </w:tcPr>
          <w:p w14:paraId="62F40EB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3F8BE6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B89AD3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勘查区块登记管理办法》（1998年国务院令第240号公布，2014年国务院令第653号修订）第二十九条：违反本办法规定，有下列行为之一的，由县级以上人民政府负责地质矿产管理工作的部门按照国务院地质矿产主管部门规定的权限，责令限期改正；逾期不改正的，处5万元以下的罚款；情节严重的，原发证机关可以吊销勘查许可证：</w:t>
            </w:r>
          </w:p>
          <w:p w14:paraId="5919BC0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（二）未完成最低勘查投入的。</w:t>
            </w:r>
          </w:p>
        </w:tc>
        <w:tc>
          <w:tcPr>
            <w:tcW w:w="3585" w:type="dxa"/>
            <w:vAlign w:val="center"/>
          </w:tcPr>
          <w:p w14:paraId="08CDF93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1.立案阶段责任：接到举报或相关部门转送、巡查发现该违法行为，及时予以审查，决定是否立案。下达《责令停止违法行为通知书》。</w:t>
            </w:r>
          </w:p>
          <w:p w14:paraId="563D6B7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1B3D11F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44D8254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8B0652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4E69BD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5289A9E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23677B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8．其他法律法规规章文件应履行的责任。</w:t>
            </w:r>
          </w:p>
        </w:tc>
        <w:tc>
          <w:tcPr>
            <w:tcW w:w="9515" w:type="dxa"/>
            <w:vAlign w:val="center"/>
          </w:tcPr>
          <w:p w14:paraId="2CF956C6">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EC77657">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757F36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115C3E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A89AEE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7A7DB6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143F41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A8410F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74E492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FB6F62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B8335E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14060A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C084DF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6D8C71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3F3A01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CD6468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F72B35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06BBC5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403157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2A638C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ADA8CB8">
            <w:pPr>
              <w:snapToGrid w:val="0"/>
              <w:spacing w:line="240" w:lineRule="atLeast"/>
              <w:jc w:val="center"/>
              <w:rPr>
                <w:rFonts w:ascii="仿宋_GB2312" w:hAnsi="仿宋_GB2312" w:eastAsia="仿宋_GB2312" w:cs="仿宋_GB2312"/>
                <w:sz w:val="20"/>
                <w:szCs w:val="20"/>
              </w:rPr>
            </w:pPr>
          </w:p>
        </w:tc>
      </w:tr>
    </w:tbl>
    <w:p w14:paraId="6A2E3EAC"/>
    <w:p w14:paraId="6DF985F9"/>
    <w:p w14:paraId="5D9152E6"/>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56D9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DC38E3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4093F0C">
            <w:pPr>
              <w:spacing w:line="240" w:lineRule="atLeast"/>
              <w:rPr>
                <w:rFonts w:asciiTheme="majorEastAsia" w:hAnsiTheme="majorEastAsia" w:eastAsiaTheme="majorEastAsia" w:cstheme="majorEastAsia"/>
                <w:spacing w:val="-20"/>
                <w:sz w:val="20"/>
                <w:szCs w:val="20"/>
              </w:rPr>
            </w:pPr>
          </w:p>
          <w:p w14:paraId="095422E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652768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A2AB6D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DC9B4A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F7BA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8855AA4">
            <w:pPr>
              <w:spacing w:line="240" w:lineRule="atLeast"/>
              <w:jc w:val="left"/>
              <w:rPr>
                <w:rFonts w:ascii="仿宋_GB2312" w:hAnsi="仿宋_GB2312" w:eastAsia="仿宋_GB2312" w:cs="仿宋_GB2312"/>
                <w:sz w:val="20"/>
                <w:szCs w:val="20"/>
              </w:rPr>
            </w:pPr>
          </w:p>
        </w:tc>
        <w:tc>
          <w:tcPr>
            <w:tcW w:w="555" w:type="dxa"/>
            <w:vMerge w:val="continue"/>
          </w:tcPr>
          <w:p w14:paraId="46E82260">
            <w:pPr>
              <w:spacing w:line="240" w:lineRule="atLeast"/>
              <w:jc w:val="left"/>
              <w:rPr>
                <w:rFonts w:ascii="仿宋_GB2312" w:hAnsi="仿宋_GB2312" w:eastAsia="仿宋_GB2312" w:cs="仿宋_GB2312"/>
                <w:sz w:val="20"/>
                <w:szCs w:val="20"/>
              </w:rPr>
            </w:pPr>
          </w:p>
        </w:tc>
        <w:tc>
          <w:tcPr>
            <w:tcW w:w="784" w:type="dxa"/>
            <w:vAlign w:val="center"/>
          </w:tcPr>
          <w:p w14:paraId="177C045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FC5E1E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4E64AC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62AB57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EC7721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90A9F1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9038DA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8A83C7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8BDCF0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1C17DC9">
            <w:pPr>
              <w:spacing w:line="240" w:lineRule="atLeast"/>
              <w:jc w:val="left"/>
              <w:rPr>
                <w:rFonts w:ascii="仿宋_GB2312" w:hAnsi="仿宋_GB2312" w:eastAsia="仿宋_GB2312" w:cs="仿宋_GB2312"/>
                <w:sz w:val="20"/>
                <w:szCs w:val="20"/>
              </w:rPr>
            </w:pPr>
          </w:p>
        </w:tc>
      </w:tr>
      <w:tr w14:paraId="20737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FF93A8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63</w:t>
            </w:r>
          </w:p>
        </w:tc>
        <w:tc>
          <w:tcPr>
            <w:tcW w:w="555" w:type="dxa"/>
            <w:vAlign w:val="center"/>
          </w:tcPr>
          <w:p w14:paraId="6551988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B567D5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408EC1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D57E89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对已经领取勘查许可证的勘查项目，满</w:t>
            </w:r>
            <w:r>
              <w:rPr>
                <w:rFonts w:hint="eastAsia" w:eastAsia="仿宋_GB2312"/>
                <w:snapToGrid w:val="0"/>
                <w:color w:val="000000"/>
                <w:sz w:val="20"/>
                <w:szCs w:val="20"/>
              </w:rPr>
              <w:t>6</w:t>
            </w:r>
            <w:r>
              <w:rPr>
                <w:rFonts w:hint="eastAsia" w:eastAsia="仿宋_GB2312" w:cs="宋体"/>
                <w:snapToGrid w:val="0"/>
                <w:color w:val="000000"/>
                <w:sz w:val="20"/>
                <w:szCs w:val="20"/>
              </w:rPr>
              <w:t>个月未开始施工，或者施工后无故停止勘查工作满</w:t>
            </w:r>
            <w:r>
              <w:rPr>
                <w:rFonts w:hint="eastAsia" w:eastAsia="仿宋_GB2312"/>
                <w:snapToGrid w:val="0"/>
                <w:color w:val="000000"/>
                <w:sz w:val="20"/>
                <w:szCs w:val="20"/>
              </w:rPr>
              <w:t>6</w:t>
            </w:r>
            <w:r>
              <w:rPr>
                <w:rFonts w:hint="eastAsia" w:eastAsia="仿宋_GB2312" w:cs="宋体"/>
                <w:snapToGrid w:val="0"/>
                <w:color w:val="000000"/>
                <w:sz w:val="20"/>
                <w:szCs w:val="20"/>
              </w:rPr>
              <w:t>个月行为的处罚</w:t>
            </w:r>
          </w:p>
        </w:tc>
        <w:tc>
          <w:tcPr>
            <w:tcW w:w="660" w:type="dxa"/>
            <w:vAlign w:val="center"/>
          </w:tcPr>
          <w:p w14:paraId="693F3D3A">
            <w:pPr>
              <w:snapToGrid w:val="0"/>
              <w:spacing w:line="240" w:lineRule="atLeast"/>
              <w:jc w:val="center"/>
              <w:rPr>
                <w:rFonts w:ascii="仿宋_GB2312" w:hAnsi="仿宋_GB2312" w:eastAsia="仿宋_GB2312" w:cs="仿宋_GB2312"/>
                <w:sz w:val="20"/>
                <w:szCs w:val="20"/>
              </w:rPr>
            </w:pPr>
          </w:p>
        </w:tc>
        <w:tc>
          <w:tcPr>
            <w:tcW w:w="615" w:type="dxa"/>
            <w:vAlign w:val="center"/>
          </w:tcPr>
          <w:p w14:paraId="250D74B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969ABB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667B62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勘查区块登记管理办法》（1998年国务院令第240号公布，2014年国务院令第653号修订）第二十九条：违反本办法规定，有下列行为之一的，由县级以上人民政府负责地质矿产管理工作的部门按照国务院地质矿产主管部门规定的权限，责令限期改正；逾期不改正的，处5万元以下的罚款；情节严重的，原发证机关可以吊销勘查许可证：</w:t>
            </w:r>
          </w:p>
          <w:p w14:paraId="4A709D0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（三）已经领取勘查许可证的勘查项目，满6个月未开始施工，或者施工后无故停止勘查工作满6个月的。</w:t>
            </w:r>
          </w:p>
        </w:tc>
        <w:tc>
          <w:tcPr>
            <w:tcW w:w="3585" w:type="dxa"/>
            <w:vAlign w:val="center"/>
          </w:tcPr>
          <w:p w14:paraId="671401C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1.立案阶段责任：接到举报或相关部门转送、巡查发现该违法行为，及时予以审查，决定是否立案。下达《责令停止违法行为通知书》。</w:t>
            </w:r>
          </w:p>
          <w:p w14:paraId="294FE19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7FFFE8D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79CF98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938E71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ED844E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4E44E6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6C80D03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8．其他法律法规规章文件应履行的责任。</w:t>
            </w:r>
          </w:p>
        </w:tc>
        <w:tc>
          <w:tcPr>
            <w:tcW w:w="9515" w:type="dxa"/>
            <w:vAlign w:val="center"/>
          </w:tcPr>
          <w:p w14:paraId="6887556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D23B868">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6FAE06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226B15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0D7781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0A6891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3899FC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5D8BC3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6507E7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0DE168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2AD130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7AE0E9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763C13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4015A2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867BEA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63451C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8C5B93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B0E7D2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82E509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96E609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8DE2F93">
            <w:pPr>
              <w:snapToGrid w:val="0"/>
              <w:spacing w:line="240" w:lineRule="atLeast"/>
              <w:jc w:val="center"/>
              <w:rPr>
                <w:rFonts w:ascii="仿宋_GB2312" w:hAnsi="仿宋_GB2312" w:eastAsia="仿宋_GB2312" w:cs="仿宋_GB2312"/>
                <w:sz w:val="20"/>
                <w:szCs w:val="20"/>
              </w:rPr>
            </w:pPr>
          </w:p>
        </w:tc>
      </w:tr>
    </w:tbl>
    <w:p w14:paraId="2FDF1DB5"/>
    <w:p w14:paraId="037D5D3E"/>
    <w:p w14:paraId="2A4AF3C3"/>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1A82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52019C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D68D32E">
            <w:pPr>
              <w:spacing w:line="240" w:lineRule="atLeast"/>
              <w:rPr>
                <w:rFonts w:asciiTheme="majorEastAsia" w:hAnsiTheme="majorEastAsia" w:eastAsiaTheme="majorEastAsia" w:cstheme="majorEastAsia"/>
                <w:spacing w:val="-20"/>
                <w:sz w:val="20"/>
                <w:szCs w:val="20"/>
              </w:rPr>
            </w:pPr>
          </w:p>
          <w:p w14:paraId="59DA6E3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0F1B5A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BE7428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14937A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7943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B96C0E0">
            <w:pPr>
              <w:spacing w:line="240" w:lineRule="atLeast"/>
              <w:jc w:val="left"/>
              <w:rPr>
                <w:rFonts w:ascii="仿宋_GB2312" w:hAnsi="仿宋_GB2312" w:eastAsia="仿宋_GB2312" w:cs="仿宋_GB2312"/>
                <w:sz w:val="20"/>
                <w:szCs w:val="20"/>
              </w:rPr>
            </w:pPr>
          </w:p>
        </w:tc>
        <w:tc>
          <w:tcPr>
            <w:tcW w:w="555" w:type="dxa"/>
            <w:vMerge w:val="continue"/>
          </w:tcPr>
          <w:p w14:paraId="7D5801E5">
            <w:pPr>
              <w:spacing w:line="240" w:lineRule="atLeast"/>
              <w:jc w:val="left"/>
              <w:rPr>
                <w:rFonts w:ascii="仿宋_GB2312" w:hAnsi="仿宋_GB2312" w:eastAsia="仿宋_GB2312" w:cs="仿宋_GB2312"/>
                <w:sz w:val="20"/>
                <w:szCs w:val="20"/>
              </w:rPr>
            </w:pPr>
          </w:p>
        </w:tc>
        <w:tc>
          <w:tcPr>
            <w:tcW w:w="784" w:type="dxa"/>
            <w:vAlign w:val="center"/>
          </w:tcPr>
          <w:p w14:paraId="4E8971B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22766B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FC9540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4C7E40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298C5E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577EBD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44B071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E860FF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6A828A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83449B1">
            <w:pPr>
              <w:spacing w:line="240" w:lineRule="atLeast"/>
              <w:jc w:val="left"/>
              <w:rPr>
                <w:rFonts w:ascii="仿宋_GB2312" w:hAnsi="仿宋_GB2312" w:eastAsia="仿宋_GB2312" w:cs="仿宋_GB2312"/>
                <w:sz w:val="20"/>
                <w:szCs w:val="20"/>
              </w:rPr>
            </w:pPr>
          </w:p>
        </w:tc>
      </w:tr>
      <w:tr w14:paraId="42314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04176A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64</w:t>
            </w:r>
          </w:p>
        </w:tc>
        <w:tc>
          <w:tcPr>
            <w:tcW w:w="555" w:type="dxa"/>
            <w:vAlign w:val="center"/>
          </w:tcPr>
          <w:p w14:paraId="7D3E624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D7D806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67D12D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E9E637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对不办理采矿许可证变更登记或者注销登记手续行为的处罚</w:t>
            </w:r>
          </w:p>
        </w:tc>
        <w:tc>
          <w:tcPr>
            <w:tcW w:w="660" w:type="dxa"/>
            <w:vAlign w:val="center"/>
          </w:tcPr>
          <w:p w14:paraId="4F86E2EF">
            <w:pPr>
              <w:snapToGrid w:val="0"/>
              <w:spacing w:line="240" w:lineRule="atLeast"/>
              <w:jc w:val="center"/>
              <w:rPr>
                <w:rFonts w:ascii="仿宋_GB2312" w:hAnsi="仿宋_GB2312" w:eastAsia="仿宋_GB2312" w:cs="仿宋_GB2312"/>
                <w:sz w:val="20"/>
                <w:szCs w:val="20"/>
              </w:rPr>
            </w:pPr>
          </w:p>
        </w:tc>
        <w:tc>
          <w:tcPr>
            <w:tcW w:w="615" w:type="dxa"/>
            <w:vAlign w:val="center"/>
          </w:tcPr>
          <w:p w14:paraId="2DA5AE9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B7679B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C82588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【行政法规】《矿产资源开采登记管理办法》（1998年国务院令第241号公布，2014年国务院令第653号修订）第三条第四款 ：开采本条第一款、第二款、第三款规定以外的矿产资源，由县级以上地方人民政府负责地质矿产管理工作的部门，按照省、自治区、直辖市人民代表大会常务委员会制定的管理办法审批登记，颁发采矿许可证。</w:t>
            </w:r>
          </w:p>
          <w:p w14:paraId="6055487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第二十二条：违反本办法规定，不办理采矿许可证变更登记或者注销登记手续的，由登记管理机关责令限期改正；逾期不改正的，由原发证机关吊销采矿许可证。</w:t>
            </w:r>
          </w:p>
        </w:tc>
        <w:tc>
          <w:tcPr>
            <w:tcW w:w="3585" w:type="dxa"/>
            <w:vAlign w:val="center"/>
          </w:tcPr>
          <w:p w14:paraId="1AA2AA7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1.立案阶段责任：接到举报或相关部门转送、巡查发现该违法行为，及时予以审查，决定是否立案。下达《责令停止违法行为通知书》。</w:t>
            </w:r>
          </w:p>
          <w:p w14:paraId="2E348A1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4CAD49A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DB800D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06C8AB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5894F5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99B8CB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652E76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8．其他法律法规规章文件应履行的责任。</w:t>
            </w:r>
          </w:p>
        </w:tc>
        <w:tc>
          <w:tcPr>
            <w:tcW w:w="9515" w:type="dxa"/>
            <w:vAlign w:val="center"/>
          </w:tcPr>
          <w:p w14:paraId="5CBBD631">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F338D68">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9B068D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729E16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20E07E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2190A5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091FF6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69BCA1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FC5461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8B7DA0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C8469C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9D15BA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C0087D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76D354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55BF72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3B2FBF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899DB0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3671A5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BE7722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221856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A99D4C6">
            <w:pPr>
              <w:snapToGrid w:val="0"/>
              <w:spacing w:line="240" w:lineRule="atLeast"/>
              <w:jc w:val="center"/>
              <w:rPr>
                <w:rFonts w:ascii="仿宋_GB2312" w:hAnsi="仿宋_GB2312" w:eastAsia="仿宋_GB2312" w:cs="仿宋_GB2312"/>
                <w:sz w:val="20"/>
                <w:szCs w:val="20"/>
              </w:rPr>
            </w:pPr>
          </w:p>
        </w:tc>
      </w:tr>
    </w:tbl>
    <w:p w14:paraId="4B80CB9C"/>
    <w:p w14:paraId="2E474A2A"/>
    <w:p w14:paraId="5D161D05"/>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05FF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FA1621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0589644">
            <w:pPr>
              <w:spacing w:line="240" w:lineRule="atLeast"/>
              <w:rPr>
                <w:rFonts w:asciiTheme="majorEastAsia" w:hAnsiTheme="majorEastAsia" w:eastAsiaTheme="majorEastAsia" w:cstheme="majorEastAsia"/>
                <w:spacing w:val="-20"/>
                <w:sz w:val="20"/>
                <w:szCs w:val="20"/>
              </w:rPr>
            </w:pPr>
          </w:p>
          <w:p w14:paraId="29CB7827">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47FE9C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4DC3E9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D967D9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4543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701F9C0">
            <w:pPr>
              <w:spacing w:line="240" w:lineRule="atLeast"/>
              <w:jc w:val="left"/>
              <w:rPr>
                <w:rFonts w:ascii="仿宋_GB2312" w:hAnsi="仿宋_GB2312" w:eastAsia="仿宋_GB2312" w:cs="仿宋_GB2312"/>
                <w:sz w:val="20"/>
                <w:szCs w:val="20"/>
              </w:rPr>
            </w:pPr>
          </w:p>
        </w:tc>
        <w:tc>
          <w:tcPr>
            <w:tcW w:w="555" w:type="dxa"/>
            <w:vMerge w:val="continue"/>
          </w:tcPr>
          <w:p w14:paraId="609440EC">
            <w:pPr>
              <w:spacing w:line="240" w:lineRule="atLeast"/>
              <w:jc w:val="left"/>
              <w:rPr>
                <w:rFonts w:ascii="仿宋_GB2312" w:hAnsi="仿宋_GB2312" w:eastAsia="仿宋_GB2312" w:cs="仿宋_GB2312"/>
                <w:sz w:val="20"/>
                <w:szCs w:val="20"/>
              </w:rPr>
            </w:pPr>
          </w:p>
        </w:tc>
        <w:tc>
          <w:tcPr>
            <w:tcW w:w="784" w:type="dxa"/>
            <w:vAlign w:val="center"/>
          </w:tcPr>
          <w:p w14:paraId="58A84FC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D0469C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AB03FC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0E0A42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5C218D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50CDAA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30BA9F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73360B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437624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185C121">
            <w:pPr>
              <w:spacing w:line="240" w:lineRule="atLeast"/>
              <w:jc w:val="left"/>
              <w:rPr>
                <w:rFonts w:ascii="仿宋_GB2312" w:hAnsi="仿宋_GB2312" w:eastAsia="仿宋_GB2312" w:cs="仿宋_GB2312"/>
                <w:sz w:val="20"/>
                <w:szCs w:val="20"/>
              </w:rPr>
            </w:pPr>
          </w:p>
        </w:tc>
      </w:tr>
      <w:tr w14:paraId="3EBF3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7116E4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65</w:t>
            </w:r>
          </w:p>
        </w:tc>
        <w:tc>
          <w:tcPr>
            <w:tcW w:w="555" w:type="dxa"/>
            <w:vAlign w:val="center"/>
          </w:tcPr>
          <w:p w14:paraId="434D875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A61E9E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423EE1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F6FFD3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对采矿权人不依照规定提交年度报告，填报矿产资源统计基础表，虚报、瞒报、拒报、迟报矿产资源统计资料，拒绝接受检查、现场抽查或者弄虚作假行为的处罚</w:t>
            </w:r>
          </w:p>
        </w:tc>
        <w:tc>
          <w:tcPr>
            <w:tcW w:w="660" w:type="dxa"/>
            <w:vAlign w:val="center"/>
          </w:tcPr>
          <w:p w14:paraId="531C5C89">
            <w:pPr>
              <w:snapToGrid w:val="0"/>
              <w:spacing w:line="240" w:lineRule="atLeast"/>
              <w:jc w:val="center"/>
              <w:rPr>
                <w:rFonts w:ascii="仿宋_GB2312" w:hAnsi="仿宋_GB2312" w:eastAsia="仿宋_GB2312" w:cs="仿宋_GB2312"/>
                <w:sz w:val="20"/>
                <w:szCs w:val="20"/>
              </w:rPr>
            </w:pPr>
          </w:p>
        </w:tc>
        <w:tc>
          <w:tcPr>
            <w:tcW w:w="615" w:type="dxa"/>
            <w:vAlign w:val="center"/>
          </w:tcPr>
          <w:p w14:paraId="0442F7A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091F55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DE3C0F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1.【行政法规】《矿产资源开采登记管理办法》（1998年国务院令第241号公布，2014年国务院令第653号修订）第十八条： 不依照本办法规定提交年度报告、拒绝接受监督检查或者弄虚作假的，由县级以上人民政府负责地质矿产管理工作的部门按照国务院地质矿产主管部门规定的权限，责令停止违法行为，予以警告，可以并处5万元以下的罚款；情节严重的，由原发证机关吊销采矿许可证。</w:t>
            </w:r>
          </w:p>
          <w:p w14:paraId="08BA9CD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2.【部门规章】《矿产资源统计管理办法》（ 2004年国土资源部令23号公布施行，2020年自然资源部令第7号修正）第十六条： 采矿权人不依照本办法规定填报矿产资源统计基础表，虚报、瞒报、拒报、迟报矿产资源统计资料，拒绝接受检查、现场抽查或者弄虚作假的，依照《矿产资源开采登记管理办法》第十八条、《中华人民共和国统计法》及其实施细则的有关规定进行处罚。</w:t>
            </w:r>
          </w:p>
        </w:tc>
        <w:tc>
          <w:tcPr>
            <w:tcW w:w="3585" w:type="dxa"/>
            <w:vAlign w:val="center"/>
          </w:tcPr>
          <w:p w14:paraId="56C4CA7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1.立案责任：接到举报或相关部门转送、巡查发现违法行为，及时予以审查，决定是否立案。下达《责令停止违法行为通知书》。</w:t>
            </w:r>
          </w:p>
          <w:p w14:paraId="10D3D9D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2.调查责任：对立案的案件，指定专人负责，及时组织调查取证，与当事人有直接利害关系的应当回避。执法人员不得少于两人，调查时应出示执法证件，听取当事人辩解陈述。执法人员应保守有关秘密。</w:t>
            </w:r>
          </w:p>
          <w:p w14:paraId="73E8EFD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1342B9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4.告知责任：作出行政处罚决定前，应制作《行政处罚告知书》送达当事人，告知违法事实及其享有的陈述、申辩等权利。符合听证规定的，制作并送达《行政处罚听证告知书》。</w:t>
            </w:r>
          </w:p>
          <w:p w14:paraId="1F10889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5.决定责任：制作行政处罚决定书，载明行政处罚告知、当事人陈述申辩或者听证情况等内容。符合刑事案件移送条件的，及时移送。</w:t>
            </w:r>
          </w:p>
          <w:p w14:paraId="4DFC842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17E3545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7.执行责任：当事人履行处罚决定的，及时结案；未履行处罚决定，依照生效的行政处罚决定，按程序下达催缴（告）通知书和申请人民法院强制执行。</w:t>
            </w:r>
          </w:p>
          <w:p w14:paraId="68D733F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F4D0AE0">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815F37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835AAD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28C046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BA6A3F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FA8050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50DADD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38E49E4">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682A51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C37044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7D2715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828548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313EEB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E3FC9B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214E26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8939C0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6553DC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576450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AEA625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755058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1E94EDB">
            <w:pPr>
              <w:snapToGrid w:val="0"/>
              <w:spacing w:line="240" w:lineRule="atLeast"/>
              <w:jc w:val="center"/>
              <w:rPr>
                <w:rFonts w:ascii="仿宋_GB2312" w:hAnsi="仿宋_GB2312" w:eastAsia="仿宋_GB2312" w:cs="仿宋_GB2312"/>
                <w:sz w:val="20"/>
                <w:szCs w:val="20"/>
              </w:rPr>
            </w:pPr>
          </w:p>
        </w:tc>
      </w:tr>
    </w:tbl>
    <w:p w14:paraId="0649E314"/>
    <w:p w14:paraId="739EE058"/>
    <w:p w14:paraId="2EAFE41E"/>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5A5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A50000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CE37206">
            <w:pPr>
              <w:spacing w:line="240" w:lineRule="atLeast"/>
              <w:rPr>
                <w:rFonts w:asciiTheme="majorEastAsia" w:hAnsiTheme="majorEastAsia" w:eastAsiaTheme="majorEastAsia" w:cstheme="majorEastAsia"/>
                <w:spacing w:val="-20"/>
                <w:sz w:val="20"/>
                <w:szCs w:val="20"/>
              </w:rPr>
            </w:pPr>
          </w:p>
          <w:p w14:paraId="58A46FB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FBEA3B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075981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E176D9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081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2A72559">
            <w:pPr>
              <w:spacing w:line="240" w:lineRule="atLeast"/>
              <w:jc w:val="left"/>
              <w:rPr>
                <w:rFonts w:ascii="仿宋_GB2312" w:hAnsi="仿宋_GB2312" w:eastAsia="仿宋_GB2312" w:cs="仿宋_GB2312"/>
                <w:sz w:val="20"/>
                <w:szCs w:val="20"/>
              </w:rPr>
            </w:pPr>
          </w:p>
        </w:tc>
        <w:tc>
          <w:tcPr>
            <w:tcW w:w="555" w:type="dxa"/>
            <w:vMerge w:val="continue"/>
          </w:tcPr>
          <w:p w14:paraId="793381FD">
            <w:pPr>
              <w:spacing w:line="240" w:lineRule="atLeast"/>
              <w:jc w:val="left"/>
              <w:rPr>
                <w:rFonts w:ascii="仿宋_GB2312" w:hAnsi="仿宋_GB2312" w:eastAsia="仿宋_GB2312" w:cs="仿宋_GB2312"/>
                <w:sz w:val="20"/>
                <w:szCs w:val="20"/>
              </w:rPr>
            </w:pPr>
          </w:p>
        </w:tc>
        <w:tc>
          <w:tcPr>
            <w:tcW w:w="784" w:type="dxa"/>
            <w:vAlign w:val="center"/>
          </w:tcPr>
          <w:p w14:paraId="536ADC9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F7185C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3EA8F0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CCEEEC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422492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FB5B45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DB7FDB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747DE7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6326F0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E7F6827">
            <w:pPr>
              <w:spacing w:line="240" w:lineRule="atLeast"/>
              <w:jc w:val="left"/>
              <w:rPr>
                <w:rFonts w:ascii="仿宋_GB2312" w:hAnsi="仿宋_GB2312" w:eastAsia="仿宋_GB2312" w:cs="仿宋_GB2312"/>
                <w:sz w:val="20"/>
                <w:szCs w:val="20"/>
              </w:rPr>
            </w:pPr>
          </w:p>
        </w:tc>
      </w:tr>
      <w:tr w14:paraId="105F5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351995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66</w:t>
            </w:r>
          </w:p>
        </w:tc>
        <w:tc>
          <w:tcPr>
            <w:tcW w:w="555" w:type="dxa"/>
            <w:vAlign w:val="center"/>
          </w:tcPr>
          <w:p w14:paraId="62BEA3E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9FD935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79ED4B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4B8FAC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对破坏或者擅自移动矿区范围界桩或者地面标志行为的处罚</w:t>
            </w:r>
          </w:p>
        </w:tc>
        <w:tc>
          <w:tcPr>
            <w:tcW w:w="660" w:type="dxa"/>
            <w:vAlign w:val="center"/>
          </w:tcPr>
          <w:p w14:paraId="49E3823C">
            <w:pPr>
              <w:snapToGrid w:val="0"/>
              <w:spacing w:line="240" w:lineRule="atLeast"/>
              <w:jc w:val="center"/>
              <w:rPr>
                <w:rFonts w:ascii="仿宋_GB2312" w:hAnsi="仿宋_GB2312" w:eastAsia="仿宋_GB2312" w:cs="仿宋_GB2312"/>
                <w:sz w:val="20"/>
                <w:szCs w:val="20"/>
              </w:rPr>
            </w:pPr>
          </w:p>
        </w:tc>
        <w:tc>
          <w:tcPr>
            <w:tcW w:w="615" w:type="dxa"/>
            <w:vAlign w:val="center"/>
          </w:tcPr>
          <w:p w14:paraId="398B776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162486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5C3CCD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矿产资源开采登记管理办法》（1998年国务院令第241号公布，2014年国务院令第653号修订）第十九条：破坏或者擅自移动矿区范围界桩或者地面标志的，由县级以上人民政府负责地质矿产管理工作的部门按照国务院地质矿产主管部门规定的权限，责令限期恢复；情节严重的，处3万元以下的罚款。</w:t>
            </w:r>
          </w:p>
        </w:tc>
        <w:tc>
          <w:tcPr>
            <w:tcW w:w="3585" w:type="dxa"/>
            <w:vAlign w:val="center"/>
          </w:tcPr>
          <w:p w14:paraId="42BD191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A82DF0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2E408EB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1FAE16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839702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9DA424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F2A81F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5A0864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967713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7728FE8">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17CD72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14C1F5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8330F1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6CEDB4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6FEBDF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B585E3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397F7B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F6368B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958793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2C5827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2A7D0A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23AB49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2E67D3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8C601C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47505C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DD61B8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36D3C5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981BB4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7E53EFE">
            <w:pPr>
              <w:snapToGrid w:val="0"/>
              <w:spacing w:line="240" w:lineRule="atLeast"/>
              <w:jc w:val="center"/>
              <w:rPr>
                <w:rFonts w:ascii="仿宋_GB2312" w:hAnsi="仿宋_GB2312" w:eastAsia="仿宋_GB2312" w:cs="仿宋_GB2312"/>
                <w:sz w:val="20"/>
                <w:szCs w:val="20"/>
              </w:rPr>
            </w:pPr>
          </w:p>
        </w:tc>
      </w:tr>
    </w:tbl>
    <w:p w14:paraId="4E06AB93"/>
    <w:p w14:paraId="6F31A3AC"/>
    <w:p w14:paraId="66F48968"/>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364F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2D1D8D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BD349E0">
            <w:pPr>
              <w:spacing w:line="240" w:lineRule="atLeast"/>
              <w:rPr>
                <w:rFonts w:asciiTheme="majorEastAsia" w:hAnsiTheme="majorEastAsia" w:eastAsiaTheme="majorEastAsia" w:cstheme="majorEastAsia"/>
                <w:spacing w:val="-20"/>
                <w:sz w:val="20"/>
                <w:szCs w:val="20"/>
              </w:rPr>
            </w:pPr>
          </w:p>
          <w:p w14:paraId="124BD3D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E8577A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2F7924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6475EF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B819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3FF381C">
            <w:pPr>
              <w:spacing w:line="240" w:lineRule="atLeast"/>
              <w:jc w:val="left"/>
              <w:rPr>
                <w:rFonts w:ascii="仿宋_GB2312" w:hAnsi="仿宋_GB2312" w:eastAsia="仿宋_GB2312" w:cs="仿宋_GB2312"/>
                <w:sz w:val="20"/>
                <w:szCs w:val="20"/>
              </w:rPr>
            </w:pPr>
          </w:p>
        </w:tc>
        <w:tc>
          <w:tcPr>
            <w:tcW w:w="555" w:type="dxa"/>
            <w:vMerge w:val="continue"/>
          </w:tcPr>
          <w:p w14:paraId="1C38F17A">
            <w:pPr>
              <w:spacing w:line="240" w:lineRule="atLeast"/>
              <w:jc w:val="left"/>
              <w:rPr>
                <w:rFonts w:ascii="仿宋_GB2312" w:hAnsi="仿宋_GB2312" w:eastAsia="仿宋_GB2312" w:cs="仿宋_GB2312"/>
                <w:sz w:val="20"/>
                <w:szCs w:val="20"/>
              </w:rPr>
            </w:pPr>
          </w:p>
        </w:tc>
        <w:tc>
          <w:tcPr>
            <w:tcW w:w="784" w:type="dxa"/>
            <w:vAlign w:val="center"/>
          </w:tcPr>
          <w:p w14:paraId="4F83B76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90F248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35432A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9E4559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694153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C570BE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1886DC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E7DF43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DE4654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2DD5579">
            <w:pPr>
              <w:spacing w:line="240" w:lineRule="atLeast"/>
              <w:jc w:val="left"/>
              <w:rPr>
                <w:rFonts w:ascii="仿宋_GB2312" w:hAnsi="仿宋_GB2312" w:eastAsia="仿宋_GB2312" w:cs="仿宋_GB2312"/>
                <w:sz w:val="20"/>
                <w:szCs w:val="20"/>
              </w:rPr>
            </w:pPr>
          </w:p>
        </w:tc>
      </w:tr>
      <w:tr w14:paraId="7AF4A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50D104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67</w:t>
            </w:r>
          </w:p>
        </w:tc>
        <w:tc>
          <w:tcPr>
            <w:tcW w:w="555" w:type="dxa"/>
            <w:vAlign w:val="center"/>
          </w:tcPr>
          <w:p w14:paraId="054B169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0ABE12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CBFEB7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1F54EC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对擅自印制或者伪造、冒用采矿许可证行为的处罚</w:t>
            </w:r>
          </w:p>
        </w:tc>
        <w:tc>
          <w:tcPr>
            <w:tcW w:w="660" w:type="dxa"/>
            <w:vAlign w:val="center"/>
          </w:tcPr>
          <w:p w14:paraId="24CFC8DF">
            <w:pPr>
              <w:snapToGrid w:val="0"/>
              <w:spacing w:line="240" w:lineRule="atLeast"/>
              <w:jc w:val="center"/>
              <w:rPr>
                <w:rFonts w:ascii="仿宋_GB2312" w:hAnsi="仿宋_GB2312" w:eastAsia="仿宋_GB2312" w:cs="仿宋_GB2312"/>
                <w:sz w:val="20"/>
                <w:szCs w:val="20"/>
              </w:rPr>
            </w:pPr>
          </w:p>
        </w:tc>
        <w:tc>
          <w:tcPr>
            <w:tcW w:w="615" w:type="dxa"/>
            <w:vAlign w:val="center"/>
          </w:tcPr>
          <w:p w14:paraId="3B656CD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6E945A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DCA0D1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矿产资源开采登记管理办法》（1998年国务院令第241号公布，2014年国务院令第653号修订）第二十条：擅自印制或者伪造、冒用采矿许可证的，由县级以上人民政府负责地质矿产管理工作的部门按照国务院地质矿产主管部门规定的权限，没收违法所得，可以并处10万元以下的罚款；构成犯罪的，依法追究刑事责任。</w:t>
            </w:r>
          </w:p>
        </w:tc>
        <w:tc>
          <w:tcPr>
            <w:tcW w:w="3585" w:type="dxa"/>
            <w:vAlign w:val="center"/>
          </w:tcPr>
          <w:p w14:paraId="05EF794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DB5951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7FE879C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502E93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BAED85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233797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56ADE7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728A5B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5CB3646">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059B218">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652653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8CA2CC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218157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C25EFC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37EE2C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DD6F2F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2D87B2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A26DE1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F15C71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89F7EA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218E88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8765DA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31736F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4D2D52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32DE4D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69DAA0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C913DD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9B8285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B72B60A">
            <w:pPr>
              <w:snapToGrid w:val="0"/>
              <w:spacing w:line="240" w:lineRule="atLeast"/>
              <w:jc w:val="center"/>
              <w:rPr>
                <w:rFonts w:ascii="仿宋_GB2312" w:hAnsi="仿宋_GB2312" w:eastAsia="仿宋_GB2312" w:cs="仿宋_GB2312"/>
                <w:sz w:val="20"/>
                <w:szCs w:val="20"/>
              </w:rPr>
            </w:pPr>
          </w:p>
        </w:tc>
      </w:tr>
    </w:tbl>
    <w:p w14:paraId="0F0AD22A"/>
    <w:p w14:paraId="033B9FAB"/>
    <w:p w14:paraId="7590BD44"/>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39D5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3D15D0F">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917B79F">
            <w:pPr>
              <w:spacing w:line="240" w:lineRule="atLeast"/>
              <w:rPr>
                <w:rFonts w:asciiTheme="majorEastAsia" w:hAnsiTheme="majorEastAsia" w:eastAsiaTheme="majorEastAsia" w:cstheme="majorEastAsia"/>
                <w:spacing w:val="-20"/>
                <w:sz w:val="20"/>
                <w:szCs w:val="20"/>
              </w:rPr>
            </w:pPr>
          </w:p>
          <w:p w14:paraId="34439DB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9C5F59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EDB5D3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AD00C6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AE17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3B44BC0">
            <w:pPr>
              <w:spacing w:line="240" w:lineRule="atLeast"/>
              <w:jc w:val="left"/>
              <w:rPr>
                <w:rFonts w:ascii="仿宋_GB2312" w:hAnsi="仿宋_GB2312" w:eastAsia="仿宋_GB2312" w:cs="仿宋_GB2312"/>
                <w:sz w:val="20"/>
                <w:szCs w:val="20"/>
              </w:rPr>
            </w:pPr>
          </w:p>
        </w:tc>
        <w:tc>
          <w:tcPr>
            <w:tcW w:w="555" w:type="dxa"/>
            <w:vMerge w:val="continue"/>
          </w:tcPr>
          <w:p w14:paraId="40D06E2F">
            <w:pPr>
              <w:spacing w:line="240" w:lineRule="atLeast"/>
              <w:jc w:val="left"/>
              <w:rPr>
                <w:rFonts w:ascii="仿宋_GB2312" w:hAnsi="仿宋_GB2312" w:eastAsia="仿宋_GB2312" w:cs="仿宋_GB2312"/>
                <w:sz w:val="20"/>
                <w:szCs w:val="20"/>
              </w:rPr>
            </w:pPr>
          </w:p>
        </w:tc>
        <w:tc>
          <w:tcPr>
            <w:tcW w:w="784" w:type="dxa"/>
            <w:vAlign w:val="center"/>
          </w:tcPr>
          <w:p w14:paraId="0D3C82B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88617C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2FA669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DF7A81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079CD1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D2DF99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32B679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DA2C7E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8774E7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122B1B0">
            <w:pPr>
              <w:spacing w:line="240" w:lineRule="atLeast"/>
              <w:jc w:val="left"/>
              <w:rPr>
                <w:rFonts w:ascii="仿宋_GB2312" w:hAnsi="仿宋_GB2312" w:eastAsia="仿宋_GB2312" w:cs="仿宋_GB2312"/>
                <w:sz w:val="20"/>
                <w:szCs w:val="20"/>
              </w:rPr>
            </w:pPr>
          </w:p>
        </w:tc>
      </w:tr>
      <w:tr w14:paraId="4DE7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9B26C8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68</w:t>
            </w:r>
          </w:p>
        </w:tc>
        <w:tc>
          <w:tcPr>
            <w:tcW w:w="555" w:type="dxa"/>
            <w:vAlign w:val="center"/>
          </w:tcPr>
          <w:p w14:paraId="2D59BCE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4EB218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65D301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476E4B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对不按照矿产资源开采登记管理办法的规定，不按期缴纳应当缴纳费用行为的处罚</w:t>
            </w:r>
          </w:p>
        </w:tc>
        <w:tc>
          <w:tcPr>
            <w:tcW w:w="660" w:type="dxa"/>
            <w:vAlign w:val="center"/>
          </w:tcPr>
          <w:p w14:paraId="2832FB2E">
            <w:pPr>
              <w:snapToGrid w:val="0"/>
              <w:spacing w:line="240" w:lineRule="atLeast"/>
              <w:jc w:val="center"/>
              <w:rPr>
                <w:rFonts w:ascii="仿宋_GB2312" w:hAnsi="仿宋_GB2312" w:eastAsia="仿宋_GB2312" w:cs="仿宋_GB2312"/>
                <w:sz w:val="20"/>
                <w:szCs w:val="20"/>
              </w:rPr>
            </w:pPr>
          </w:p>
        </w:tc>
        <w:tc>
          <w:tcPr>
            <w:tcW w:w="615" w:type="dxa"/>
            <w:vAlign w:val="center"/>
          </w:tcPr>
          <w:p w14:paraId="6ADC940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4B4E23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F75AA6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矿产资源开采登记管理办法》（1998年国务院令第241号公布，2014年国务院令第653号修订）第二十一条：违反本办法规定，不按期缴纳本办法规定应当缴纳的费用的，由登记管理机关责令限期缴纳，并从滞纳之日起每日加收千分之二的滞纳金；逾期仍不缴纳的，由原发证机关吊销采矿许可证。</w:t>
            </w:r>
          </w:p>
          <w:p w14:paraId="5A95746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2.【部门规章】财政部、国土资源部《关于印发</w:t>
            </w:r>
            <w:r>
              <w:rPr>
                <w:rFonts w:hint="eastAsia" w:ascii="仿宋_GB2312" w:hAnsi="仿宋_GB2312" w:eastAsia="仿宋_GB2312" w:cs="仿宋_GB2312"/>
                <w:snapToGrid w:val="0"/>
                <w:color w:val="000000"/>
                <w:sz w:val="20"/>
                <w:szCs w:val="20"/>
              </w:rPr>
              <w:t>〈</w:t>
            </w:r>
            <w:r>
              <w:rPr>
                <w:rFonts w:hint="eastAsia" w:eastAsia="仿宋_GB2312"/>
                <w:snapToGrid w:val="0"/>
                <w:color w:val="000000"/>
                <w:sz w:val="20"/>
                <w:szCs w:val="20"/>
              </w:rPr>
              <w:t>探矿权采矿权使用费和价款管理办法</w:t>
            </w:r>
            <w:r>
              <w:rPr>
                <w:rFonts w:hint="eastAsia" w:ascii="仿宋_GB2312" w:hAnsi="仿宋_GB2312" w:eastAsia="仿宋_GB2312" w:cs="仿宋_GB2312"/>
                <w:snapToGrid w:val="0"/>
                <w:color w:val="000000"/>
                <w:sz w:val="20"/>
                <w:szCs w:val="20"/>
              </w:rPr>
              <w:t>〉</w:t>
            </w:r>
            <w:r>
              <w:rPr>
                <w:rFonts w:hint="eastAsia" w:eastAsia="仿宋_GB2312"/>
                <w:snapToGrid w:val="0"/>
                <w:color w:val="000000"/>
                <w:sz w:val="20"/>
                <w:szCs w:val="20"/>
              </w:rPr>
              <w:t>的通知》（财综字〔1999〕74号）第十二条：未按规定及时缴纳探矿权采矿权使用费和价款的，由探矿权采矿权登记管理机关责令其在30日内缴纳，并从滞纳之日起，每日加收2‰滞纳金；逾期仍不缴纳的，由探矿权、采矿权登记管理机关吊销其勘查许可证或采矿许可证。</w:t>
            </w:r>
          </w:p>
        </w:tc>
        <w:tc>
          <w:tcPr>
            <w:tcW w:w="3585" w:type="dxa"/>
            <w:vAlign w:val="center"/>
          </w:tcPr>
          <w:p w14:paraId="543CFBA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1.立案阶段责任：接到举报或相关部门转送、巡查发现该违法行为，及时予以审查，决定是否立案。下达《责令停止违法行为通知书》。</w:t>
            </w:r>
          </w:p>
          <w:p w14:paraId="2E1180D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65D1537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CD533C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D7855E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7A1FA13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DC3B6E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180B112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8．其他法律法规规章文件应履行的责任。</w:t>
            </w:r>
          </w:p>
        </w:tc>
        <w:tc>
          <w:tcPr>
            <w:tcW w:w="9515" w:type="dxa"/>
            <w:vAlign w:val="center"/>
          </w:tcPr>
          <w:p w14:paraId="493912A7">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FEE52E8">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2DACEA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1CAF42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69A49F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A9355B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571EFC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C89F89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690DEA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CF87B0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97DFBE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6A7663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7BE4FB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61E0F5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C6D521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D375F0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D9C835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04C2ED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37970C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A306D6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5513FCE">
            <w:pPr>
              <w:snapToGrid w:val="0"/>
              <w:spacing w:line="240" w:lineRule="atLeast"/>
              <w:jc w:val="center"/>
              <w:rPr>
                <w:rFonts w:ascii="仿宋_GB2312" w:hAnsi="仿宋_GB2312" w:eastAsia="仿宋_GB2312" w:cs="仿宋_GB2312"/>
                <w:sz w:val="20"/>
                <w:szCs w:val="20"/>
              </w:rPr>
            </w:pPr>
          </w:p>
        </w:tc>
      </w:tr>
    </w:tbl>
    <w:p w14:paraId="02A76737"/>
    <w:p w14:paraId="67857E50"/>
    <w:p w14:paraId="5ADAB263"/>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122F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C34CE88">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4F58307">
            <w:pPr>
              <w:spacing w:line="240" w:lineRule="atLeast"/>
              <w:rPr>
                <w:rFonts w:asciiTheme="majorEastAsia" w:hAnsiTheme="majorEastAsia" w:eastAsiaTheme="majorEastAsia" w:cstheme="majorEastAsia"/>
                <w:spacing w:val="-20"/>
                <w:sz w:val="20"/>
                <w:szCs w:val="20"/>
              </w:rPr>
            </w:pPr>
          </w:p>
          <w:p w14:paraId="591EF66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CE9CC5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EE0590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7BEA0C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1C2E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F52DA2D">
            <w:pPr>
              <w:spacing w:line="240" w:lineRule="atLeast"/>
              <w:jc w:val="left"/>
              <w:rPr>
                <w:rFonts w:ascii="仿宋_GB2312" w:hAnsi="仿宋_GB2312" w:eastAsia="仿宋_GB2312" w:cs="仿宋_GB2312"/>
                <w:sz w:val="20"/>
                <w:szCs w:val="20"/>
              </w:rPr>
            </w:pPr>
          </w:p>
        </w:tc>
        <w:tc>
          <w:tcPr>
            <w:tcW w:w="555" w:type="dxa"/>
            <w:vMerge w:val="continue"/>
          </w:tcPr>
          <w:p w14:paraId="1E98442C">
            <w:pPr>
              <w:spacing w:line="240" w:lineRule="atLeast"/>
              <w:jc w:val="left"/>
              <w:rPr>
                <w:rFonts w:ascii="仿宋_GB2312" w:hAnsi="仿宋_GB2312" w:eastAsia="仿宋_GB2312" w:cs="仿宋_GB2312"/>
                <w:sz w:val="20"/>
                <w:szCs w:val="20"/>
              </w:rPr>
            </w:pPr>
          </w:p>
        </w:tc>
        <w:tc>
          <w:tcPr>
            <w:tcW w:w="784" w:type="dxa"/>
            <w:vAlign w:val="center"/>
          </w:tcPr>
          <w:p w14:paraId="0838316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AA3B6F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3B7FCF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AC1E8B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88BD1D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6B9E9C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2296A3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703A59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CC4BB0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3749926">
            <w:pPr>
              <w:spacing w:line="240" w:lineRule="atLeast"/>
              <w:jc w:val="left"/>
              <w:rPr>
                <w:rFonts w:ascii="仿宋_GB2312" w:hAnsi="仿宋_GB2312" w:eastAsia="仿宋_GB2312" w:cs="仿宋_GB2312"/>
                <w:sz w:val="20"/>
                <w:szCs w:val="20"/>
              </w:rPr>
            </w:pPr>
          </w:p>
        </w:tc>
      </w:tr>
      <w:tr w14:paraId="17ED6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F14AFE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69</w:t>
            </w:r>
          </w:p>
        </w:tc>
        <w:tc>
          <w:tcPr>
            <w:tcW w:w="555" w:type="dxa"/>
            <w:vAlign w:val="center"/>
          </w:tcPr>
          <w:p w14:paraId="3C083D3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A0B6CA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160845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D488E0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对采矿权人未按规定缴纳矿产资源补偿费和滞纳金行为的处罚</w:t>
            </w:r>
          </w:p>
        </w:tc>
        <w:tc>
          <w:tcPr>
            <w:tcW w:w="660" w:type="dxa"/>
            <w:vAlign w:val="center"/>
          </w:tcPr>
          <w:p w14:paraId="33FB7357">
            <w:pPr>
              <w:snapToGrid w:val="0"/>
              <w:spacing w:line="240" w:lineRule="atLeast"/>
              <w:jc w:val="center"/>
              <w:rPr>
                <w:rFonts w:ascii="仿宋_GB2312" w:hAnsi="仿宋_GB2312" w:eastAsia="仿宋_GB2312" w:cs="仿宋_GB2312"/>
                <w:sz w:val="20"/>
                <w:szCs w:val="20"/>
              </w:rPr>
            </w:pPr>
          </w:p>
        </w:tc>
        <w:tc>
          <w:tcPr>
            <w:tcW w:w="615" w:type="dxa"/>
            <w:vAlign w:val="center"/>
          </w:tcPr>
          <w:p w14:paraId="41BCFE2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DD197E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3FBFBB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【行政法规】《矿产资源补偿费征收管理规定》（1994年国务院令第150号发布，1997年国务院令第222号修订）第七条：矿产资源补偿费由地质矿产主管部门会同财政部门征收。</w:t>
            </w:r>
          </w:p>
          <w:p w14:paraId="0203AB1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矿区在县级行政区域内的，矿产资源补偿费由矿区所在地的县级人民政府负责地质矿产管理工作的部门负责征收。</w:t>
            </w:r>
          </w:p>
          <w:p w14:paraId="5FA651F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矿区范围跨县级以上行政区域的，矿产资源补偿费由所涉及行政区域的共同上一级人民政府负责地质矿产管理工作的部门负责征收。</w:t>
            </w:r>
          </w:p>
          <w:p w14:paraId="43B6F95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矿区范围跨省级行政区域和在中华人民共和国领海与其他管辖海域的，矿产资源补偿费由国务院地质矿产主管部门授权的省级人民政府地质矿产主管部门负责征收。</w:t>
            </w:r>
          </w:p>
          <w:p w14:paraId="607DD50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第十四条： 采矿权人在规定期限内未足额缴纳矿产资源补偿费的，由征收机关责令限期缴纳，并从滞纳之日起按日加收滞纳补偿费2‰的滞纳金。</w:t>
            </w:r>
          </w:p>
          <w:p w14:paraId="2397BC8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采矿权人未按照前款规定缴纳矿产资源补偿费和滞纳金的，由征收机关处以应当缴纳的矿产资源补偿费3倍以下的罚款；情节严重的，由采矿许可证颁发机关吊销其采矿许可证。</w:t>
            </w:r>
          </w:p>
        </w:tc>
        <w:tc>
          <w:tcPr>
            <w:tcW w:w="3585" w:type="dxa"/>
            <w:vAlign w:val="center"/>
          </w:tcPr>
          <w:p w14:paraId="067A58D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1.立案阶段责任：对符合受理条件的案件应当及时受理并做好记录；对符合立案条件的案件应当在十个工作日内立案。</w:t>
            </w:r>
          </w:p>
          <w:p w14:paraId="39597B4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2.调查阶段责任：对于立案的案件，指定专人负责调查，与当事人有直接利害关系的应当回避。调查时应出示执法证件，执法人员不得少于二人，执法人员应保守案件秘密。</w:t>
            </w:r>
          </w:p>
          <w:p w14:paraId="2E101DC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3.案件复核审查阶段责任：应当对案件违法事实、证据、调查取证程序、法律适用、处罚种类和幅度等内容进行审查，提出处理意见。主要证据不足的，及时调查补充。</w:t>
            </w:r>
          </w:p>
          <w:p w14:paraId="6B0F9A4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4．告知阶段责任：在做出行政处罚前，应当告知当事人违法事实以及依法享有的陈述、申辩和要求听证的权利。</w:t>
            </w:r>
          </w:p>
          <w:p w14:paraId="6295CAD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5．决定阶段责任：根据案件情况决定是否予以行政处罚。依法给予行政处罚的，应当制作行政处罚决定书，载明违法事实和依据、处罚依据和内容、申请行政复议或提起行政诉讼的途径和期限等内容。</w:t>
            </w:r>
          </w:p>
          <w:p w14:paraId="459E4EC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6．送达阶段：行政处罚决定书应依法按时送达当事人。</w:t>
            </w:r>
          </w:p>
          <w:p w14:paraId="48F1CA8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监督当事人在决定书的期限内，履行生效的行政处罚决定。当事人在法定期限内不申请行政复议或提起行政诉讼，又不履行的，受案部门可依法采取加处罚款或向人民法院申请强制执行等措施。</w:t>
            </w:r>
          </w:p>
          <w:p w14:paraId="2BEFC68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8．其他法律法规规章文件应履行的责任。</w:t>
            </w:r>
          </w:p>
        </w:tc>
        <w:tc>
          <w:tcPr>
            <w:tcW w:w="9515" w:type="dxa"/>
            <w:vAlign w:val="center"/>
          </w:tcPr>
          <w:p w14:paraId="7D633E91">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C512318">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3B0ABF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C5002B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2FB7A4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D4E129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783DC1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570E4B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BC15C2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15D67F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31B69D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1DD6D0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44FFAD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07037F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D8FB73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8B5615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2E07A9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84718C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41C43E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6893CA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BCFEA1C">
            <w:pPr>
              <w:snapToGrid w:val="0"/>
              <w:spacing w:line="240" w:lineRule="atLeast"/>
              <w:jc w:val="center"/>
              <w:rPr>
                <w:rFonts w:ascii="仿宋_GB2312" w:hAnsi="仿宋_GB2312" w:eastAsia="仿宋_GB2312" w:cs="仿宋_GB2312"/>
                <w:sz w:val="20"/>
                <w:szCs w:val="20"/>
              </w:rPr>
            </w:pPr>
          </w:p>
        </w:tc>
      </w:tr>
    </w:tbl>
    <w:p w14:paraId="16ACF3DF"/>
    <w:p w14:paraId="535AEF6B"/>
    <w:p w14:paraId="198EB6EF"/>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404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0892603">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921A891">
            <w:pPr>
              <w:spacing w:line="240" w:lineRule="atLeast"/>
              <w:rPr>
                <w:rFonts w:asciiTheme="majorEastAsia" w:hAnsiTheme="majorEastAsia" w:eastAsiaTheme="majorEastAsia" w:cstheme="majorEastAsia"/>
                <w:spacing w:val="-20"/>
                <w:sz w:val="20"/>
                <w:szCs w:val="20"/>
              </w:rPr>
            </w:pPr>
          </w:p>
          <w:p w14:paraId="6CAAC30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74F1FC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DF14AF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BA4E2C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3552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7AC962B">
            <w:pPr>
              <w:spacing w:line="240" w:lineRule="atLeast"/>
              <w:jc w:val="left"/>
              <w:rPr>
                <w:rFonts w:ascii="仿宋_GB2312" w:hAnsi="仿宋_GB2312" w:eastAsia="仿宋_GB2312" w:cs="仿宋_GB2312"/>
                <w:sz w:val="20"/>
                <w:szCs w:val="20"/>
              </w:rPr>
            </w:pPr>
          </w:p>
        </w:tc>
        <w:tc>
          <w:tcPr>
            <w:tcW w:w="555" w:type="dxa"/>
            <w:vMerge w:val="continue"/>
          </w:tcPr>
          <w:p w14:paraId="1D35CFD5">
            <w:pPr>
              <w:spacing w:line="240" w:lineRule="atLeast"/>
              <w:jc w:val="left"/>
              <w:rPr>
                <w:rFonts w:ascii="仿宋_GB2312" w:hAnsi="仿宋_GB2312" w:eastAsia="仿宋_GB2312" w:cs="仿宋_GB2312"/>
                <w:sz w:val="20"/>
                <w:szCs w:val="20"/>
              </w:rPr>
            </w:pPr>
          </w:p>
        </w:tc>
        <w:tc>
          <w:tcPr>
            <w:tcW w:w="784" w:type="dxa"/>
            <w:vAlign w:val="center"/>
          </w:tcPr>
          <w:p w14:paraId="005B68C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DBFB11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B18B8B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83FC15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C38D8B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6B0C8B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BE5042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C05423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DF71FC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AD2C8B6">
            <w:pPr>
              <w:spacing w:line="240" w:lineRule="atLeast"/>
              <w:jc w:val="left"/>
              <w:rPr>
                <w:rFonts w:ascii="仿宋_GB2312" w:hAnsi="仿宋_GB2312" w:eastAsia="仿宋_GB2312" w:cs="仿宋_GB2312"/>
                <w:sz w:val="20"/>
                <w:szCs w:val="20"/>
              </w:rPr>
            </w:pPr>
          </w:p>
        </w:tc>
      </w:tr>
      <w:tr w14:paraId="32169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54D02E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70</w:t>
            </w:r>
          </w:p>
        </w:tc>
        <w:tc>
          <w:tcPr>
            <w:tcW w:w="555" w:type="dxa"/>
            <w:vAlign w:val="center"/>
          </w:tcPr>
          <w:p w14:paraId="1E91E71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9FF1F8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1EADE0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7F2AAB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对采矿权人采取伪报矿种，隐匿产量、销售数量，或者伪报销售价格、实际开采回采率等手段，不缴或者少缴矿产资源补偿费行为的处罚</w:t>
            </w:r>
          </w:p>
        </w:tc>
        <w:tc>
          <w:tcPr>
            <w:tcW w:w="660" w:type="dxa"/>
            <w:vAlign w:val="center"/>
          </w:tcPr>
          <w:p w14:paraId="4BF769EA">
            <w:pPr>
              <w:snapToGrid w:val="0"/>
              <w:spacing w:line="240" w:lineRule="atLeast"/>
              <w:jc w:val="center"/>
              <w:rPr>
                <w:rFonts w:ascii="仿宋_GB2312" w:hAnsi="仿宋_GB2312" w:eastAsia="仿宋_GB2312" w:cs="仿宋_GB2312"/>
                <w:sz w:val="20"/>
                <w:szCs w:val="20"/>
              </w:rPr>
            </w:pPr>
          </w:p>
        </w:tc>
        <w:tc>
          <w:tcPr>
            <w:tcW w:w="615" w:type="dxa"/>
            <w:vAlign w:val="center"/>
          </w:tcPr>
          <w:p w14:paraId="4A5C760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5878F0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E9BE74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【行政法规】《矿产资源补偿费征收管理规定》（</w:t>
            </w:r>
            <w:r>
              <w:rPr>
                <w:rFonts w:hint="eastAsia" w:eastAsia="仿宋_GB2312"/>
                <w:snapToGrid w:val="0"/>
                <w:color w:val="000000"/>
                <w:sz w:val="20"/>
                <w:szCs w:val="20"/>
              </w:rPr>
              <w:t>1994</w:t>
            </w:r>
            <w:r>
              <w:rPr>
                <w:rFonts w:hint="eastAsia" w:eastAsia="仿宋_GB2312" w:cs="宋体"/>
                <w:snapToGrid w:val="0"/>
                <w:color w:val="000000"/>
                <w:sz w:val="20"/>
                <w:szCs w:val="20"/>
              </w:rPr>
              <w:t>年国务院令第</w:t>
            </w:r>
            <w:r>
              <w:rPr>
                <w:rFonts w:hint="eastAsia" w:eastAsia="仿宋_GB2312"/>
                <w:snapToGrid w:val="0"/>
                <w:color w:val="000000"/>
                <w:sz w:val="20"/>
                <w:szCs w:val="20"/>
              </w:rPr>
              <w:t>150</w:t>
            </w:r>
            <w:r>
              <w:rPr>
                <w:rFonts w:hint="eastAsia" w:eastAsia="仿宋_GB2312" w:cs="宋体"/>
                <w:snapToGrid w:val="0"/>
                <w:color w:val="000000"/>
                <w:sz w:val="20"/>
                <w:szCs w:val="20"/>
              </w:rPr>
              <w:t>号发布，</w:t>
            </w:r>
            <w:r>
              <w:rPr>
                <w:rFonts w:hint="eastAsia" w:eastAsia="仿宋_GB2312"/>
                <w:snapToGrid w:val="0"/>
                <w:color w:val="000000"/>
                <w:sz w:val="20"/>
                <w:szCs w:val="20"/>
              </w:rPr>
              <w:t>1997</w:t>
            </w:r>
            <w:r>
              <w:rPr>
                <w:rFonts w:hint="eastAsia" w:eastAsia="仿宋_GB2312" w:cs="宋体"/>
                <w:snapToGrid w:val="0"/>
                <w:color w:val="000000"/>
                <w:sz w:val="20"/>
                <w:szCs w:val="20"/>
              </w:rPr>
              <w:t>年国务院令第</w:t>
            </w:r>
            <w:r>
              <w:rPr>
                <w:rFonts w:hint="eastAsia" w:eastAsia="仿宋_GB2312"/>
                <w:snapToGrid w:val="0"/>
                <w:color w:val="000000"/>
                <w:sz w:val="20"/>
                <w:szCs w:val="20"/>
              </w:rPr>
              <w:t>222</w:t>
            </w:r>
            <w:r>
              <w:rPr>
                <w:rFonts w:hint="eastAsia" w:eastAsia="仿宋_GB2312" w:cs="宋体"/>
                <w:snapToGrid w:val="0"/>
                <w:color w:val="000000"/>
                <w:sz w:val="20"/>
                <w:szCs w:val="20"/>
              </w:rPr>
              <w:t>号修订）第七条：矿产资源补偿费由地质矿产主管部门会同财政部门征收。</w:t>
            </w:r>
          </w:p>
          <w:p w14:paraId="0D5EA0F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矿区在县级行政区域内的，矿产资源补偿费由矿区所在地的县级人民政府负责地质矿产管理工作的部门负责征收。</w:t>
            </w:r>
          </w:p>
          <w:p w14:paraId="037A2F9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矿区范围跨县级以上行政区域的，矿产资源补偿费由所涉及行政区域的共同上一级人民政府负责地质矿产管理工作的部门负责征收。</w:t>
            </w:r>
          </w:p>
          <w:p w14:paraId="755D3DB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矿区范围跨省级行政区域和在中华人民共和国领海与其他管辖海域的，矿产资源补偿费由国务院地质矿产主管部门授权的省级人民政府地质矿产主管部门负责征收。</w:t>
            </w:r>
          </w:p>
          <w:p w14:paraId="66FAEE81">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第十五条：采矿权人采取伪报矿种，隐匿产量、销售数量，或者伪报销售价格、实际开采回采率等手段，不缴或者少缴矿产资源补偿费的，由征收机关追缴应当缴纳的矿产资源补偿费，并处以应当缴纳的矿产资源补偿费</w:t>
            </w:r>
            <w:r>
              <w:rPr>
                <w:rFonts w:hint="eastAsia" w:eastAsia="仿宋_GB2312"/>
                <w:snapToGrid w:val="0"/>
                <w:color w:val="000000"/>
                <w:sz w:val="20"/>
                <w:szCs w:val="20"/>
              </w:rPr>
              <w:t>5</w:t>
            </w:r>
            <w:r>
              <w:rPr>
                <w:rFonts w:hint="eastAsia" w:eastAsia="仿宋_GB2312" w:cs="宋体"/>
                <w:snapToGrid w:val="0"/>
                <w:color w:val="000000"/>
                <w:sz w:val="20"/>
                <w:szCs w:val="20"/>
              </w:rPr>
              <w:t>倍以下的罚款；情节严重的，由采矿许可证颁发机关吊销其采矿许可证。</w:t>
            </w:r>
          </w:p>
        </w:tc>
        <w:tc>
          <w:tcPr>
            <w:tcW w:w="3585" w:type="dxa"/>
            <w:vAlign w:val="center"/>
          </w:tcPr>
          <w:p w14:paraId="7915D7E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1.立案阶段责任：对符合受理条件的案件应当及时受理并做好记录；对符合立案条件的案件应当在十个工作日内立案。</w:t>
            </w:r>
          </w:p>
          <w:p w14:paraId="2CCDA06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2.调查阶段责任：对于立案的案件，指定专人负责调查，与当事人有直接利害关系的应当回避。调查时应出示执法证件，执法人员不得少于二人，执法人员应保守案件秘密。</w:t>
            </w:r>
          </w:p>
          <w:p w14:paraId="415ED91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3.案件复核审查阶段责任：应当对案件违法事实、证据、调查取证程序、法律适用、处罚种类和幅度等内容进行审查，提出处理意见。主要证据不足的，及时调查补充。</w:t>
            </w:r>
          </w:p>
          <w:p w14:paraId="560F43D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4.告知阶段责任：在做出行政处罚前，应当告知当事人违法事实以及依法享有的陈述、申辩和要求听证的权利。</w:t>
            </w:r>
          </w:p>
          <w:p w14:paraId="739B1A2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5.决定阶段责任：根据案件情况决定是否予以行政处罚。依法给予行政处罚的，应当制作行政处罚决定书，载明违法事实和依据、处罚依据和内容、申请行政复议或提起行政诉讼的途径和期限等内容。</w:t>
            </w:r>
          </w:p>
          <w:p w14:paraId="26AFB9B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6.送达阶段：行政处罚决定书应依法按时送达当事人。</w:t>
            </w:r>
          </w:p>
          <w:p w14:paraId="392F7E4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7.执行阶段责任：监督当事人在决定书的期限内，履行生效的行政处罚决定。当事人在法定期限内不申请行政复议或提起行政诉讼，又不履行的，受案部门可依法采取加处罚款或向人民法院申请强制执行等措施。</w:t>
            </w:r>
          </w:p>
          <w:p w14:paraId="094BE00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8.其他法律法规规章文件应履行的责任。</w:t>
            </w:r>
          </w:p>
        </w:tc>
        <w:tc>
          <w:tcPr>
            <w:tcW w:w="9515" w:type="dxa"/>
            <w:vAlign w:val="center"/>
          </w:tcPr>
          <w:p w14:paraId="4C694F72">
            <w:pPr>
              <w:widowControl/>
              <w:adjustRightInd w:val="0"/>
              <w:snapToGrid w:val="0"/>
              <w:spacing w:line="240"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E5A1741">
            <w:pPr>
              <w:widowControl/>
              <w:adjustRightInd w:val="0"/>
              <w:snapToGrid w:val="0"/>
              <w:spacing w:line="240"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F8743EF">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EF98205">
            <w:pPr>
              <w:widowControl/>
              <w:adjustRightInd w:val="0"/>
              <w:snapToGrid w:val="0"/>
              <w:spacing w:line="24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B6B6AC3">
            <w:pPr>
              <w:widowControl/>
              <w:adjustRightInd w:val="0"/>
              <w:snapToGrid w:val="0"/>
              <w:spacing w:line="24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4ED1A1F">
            <w:pPr>
              <w:widowControl/>
              <w:adjustRightInd w:val="0"/>
              <w:snapToGrid w:val="0"/>
              <w:spacing w:line="24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BF9C6E1">
            <w:pPr>
              <w:widowControl/>
              <w:adjustRightInd w:val="0"/>
              <w:snapToGrid w:val="0"/>
              <w:spacing w:line="24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BA43952">
            <w:pPr>
              <w:widowControl/>
              <w:adjustRightInd w:val="0"/>
              <w:snapToGrid w:val="0"/>
              <w:spacing w:line="240"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0A8F4F7">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7EB5731">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1B8AC66">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91E340F">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9AC3653">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F0F6966">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73DD095">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830AED8">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AE54B9B">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1A44E57">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71C93E1">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5E647B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AEFD868">
            <w:pPr>
              <w:snapToGrid w:val="0"/>
              <w:spacing w:line="240" w:lineRule="atLeast"/>
              <w:jc w:val="center"/>
              <w:rPr>
                <w:rFonts w:ascii="仿宋_GB2312" w:hAnsi="仿宋_GB2312" w:eastAsia="仿宋_GB2312" w:cs="仿宋_GB2312"/>
                <w:sz w:val="20"/>
                <w:szCs w:val="20"/>
              </w:rPr>
            </w:pPr>
          </w:p>
        </w:tc>
      </w:tr>
    </w:tbl>
    <w:p w14:paraId="4036DA67"/>
    <w:p w14:paraId="047B29A5"/>
    <w:p w14:paraId="14113ABB"/>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47E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262FFB3">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F0A7D18">
            <w:pPr>
              <w:spacing w:line="240" w:lineRule="atLeast"/>
              <w:rPr>
                <w:rFonts w:asciiTheme="majorEastAsia" w:hAnsiTheme="majorEastAsia" w:eastAsiaTheme="majorEastAsia" w:cstheme="majorEastAsia"/>
                <w:spacing w:val="-20"/>
                <w:sz w:val="20"/>
                <w:szCs w:val="20"/>
              </w:rPr>
            </w:pPr>
          </w:p>
          <w:p w14:paraId="5FDEC23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14B222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228C68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20E97A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E45E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51812DB">
            <w:pPr>
              <w:spacing w:line="240" w:lineRule="atLeast"/>
              <w:jc w:val="left"/>
              <w:rPr>
                <w:rFonts w:ascii="仿宋_GB2312" w:hAnsi="仿宋_GB2312" w:eastAsia="仿宋_GB2312" w:cs="仿宋_GB2312"/>
                <w:sz w:val="20"/>
                <w:szCs w:val="20"/>
              </w:rPr>
            </w:pPr>
          </w:p>
        </w:tc>
        <w:tc>
          <w:tcPr>
            <w:tcW w:w="555" w:type="dxa"/>
            <w:vMerge w:val="continue"/>
          </w:tcPr>
          <w:p w14:paraId="3BCC0377">
            <w:pPr>
              <w:spacing w:line="240" w:lineRule="atLeast"/>
              <w:jc w:val="left"/>
              <w:rPr>
                <w:rFonts w:ascii="仿宋_GB2312" w:hAnsi="仿宋_GB2312" w:eastAsia="仿宋_GB2312" w:cs="仿宋_GB2312"/>
                <w:sz w:val="20"/>
                <w:szCs w:val="20"/>
              </w:rPr>
            </w:pPr>
          </w:p>
        </w:tc>
        <w:tc>
          <w:tcPr>
            <w:tcW w:w="784" w:type="dxa"/>
            <w:vAlign w:val="center"/>
          </w:tcPr>
          <w:p w14:paraId="66007C2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3BA7D4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4582A3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EA67C5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9F6452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11EF0A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5755D8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E2D3BC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5C37AE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103BE35">
            <w:pPr>
              <w:spacing w:line="240" w:lineRule="atLeast"/>
              <w:jc w:val="left"/>
              <w:rPr>
                <w:rFonts w:ascii="仿宋_GB2312" w:hAnsi="仿宋_GB2312" w:eastAsia="仿宋_GB2312" w:cs="仿宋_GB2312"/>
                <w:sz w:val="20"/>
                <w:szCs w:val="20"/>
              </w:rPr>
            </w:pPr>
          </w:p>
        </w:tc>
      </w:tr>
      <w:tr w14:paraId="2AECE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CD800D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71</w:t>
            </w:r>
          </w:p>
        </w:tc>
        <w:tc>
          <w:tcPr>
            <w:tcW w:w="555" w:type="dxa"/>
            <w:vAlign w:val="center"/>
          </w:tcPr>
          <w:p w14:paraId="23CDA01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42007F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4B3D78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6EF600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对未按规定报送征收矿产资源补偿费有关资料行为的处罚</w:t>
            </w:r>
          </w:p>
        </w:tc>
        <w:tc>
          <w:tcPr>
            <w:tcW w:w="660" w:type="dxa"/>
            <w:vAlign w:val="center"/>
          </w:tcPr>
          <w:p w14:paraId="22FEBF30">
            <w:pPr>
              <w:snapToGrid w:val="0"/>
              <w:spacing w:line="240" w:lineRule="atLeast"/>
              <w:jc w:val="center"/>
              <w:rPr>
                <w:rFonts w:ascii="仿宋_GB2312" w:hAnsi="仿宋_GB2312" w:eastAsia="仿宋_GB2312" w:cs="仿宋_GB2312"/>
                <w:sz w:val="20"/>
                <w:szCs w:val="20"/>
              </w:rPr>
            </w:pPr>
          </w:p>
        </w:tc>
        <w:tc>
          <w:tcPr>
            <w:tcW w:w="615" w:type="dxa"/>
            <w:vAlign w:val="center"/>
          </w:tcPr>
          <w:p w14:paraId="161542A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7CD655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101483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【行政法规】《矿产资源补偿费征收管理规定》（1994年国务院令第150号发布，1997年国务院令第222号修订）第七条：矿产资源补偿费由地质矿产主管部门会同财政部门征收。</w:t>
            </w:r>
          </w:p>
          <w:p w14:paraId="78619D7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矿区在县级行政区域内的，矿产资源补偿费由矿区所在地的县级人民政府负责地质矿产管理工作的部门负责征收。</w:t>
            </w:r>
          </w:p>
          <w:p w14:paraId="137A65E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矿区范围跨县级以上行政区域的，矿产资源补偿费由所涉及行政区域的共同上一级人民政府负责地质矿产管理工作的部门负责征收。</w:t>
            </w:r>
          </w:p>
          <w:p w14:paraId="74B00BB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矿区范围跨省级行政区域和在中华人民共和国领海与其他管辖海域的，矿产资源补偿费由国务院地质矿产主管部门授权的省级人民政府地质矿产主管部门负责征收。</w:t>
            </w:r>
          </w:p>
          <w:p w14:paraId="52090BC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第十六条：采矿权人未按照本规定第九条的规定报送有关资料的，由征收机关责令限期报送；逾期不报送的，处以5000元以下罚款；仍不报送的，采矿许可证颁发机关可以吊销其采矿许可证。</w:t>
            </w:r>
          </w:p>
        </w:tc>
        <w:tc>
          <w:tcPr>
            <w:tcW w:w="3585" w:type="dxa"/>
            <w:vAlign w:val="center"/>
          </w:tcPr>
          <w:p w14:paraId="5F706F5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1.立案阶段责任：对符合受理条件的案件应当及时受理并做好记录；对符合立案条件的案件应当在十个工作日内立案。</w:t>
            </w:r>
          </w:p>
          <w:p w14:paraId="7439B2B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2.调查阶段责任：对于立案的案件，指定专人负责调查，与当事人有直接利害关系的应当回避。调查时应出示执法证件，执法人员不得少于二人，执法人员应保守案件秘密。</w:t>
            </w:r>
          </w:p>
          <w:p w14:paraId="0CB2CCD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3.案件复核审查阶段责任：应当对案件违法事实、证据、调查取证程序、法律适用、处罚种类和幅度等内容进行审查，提出处理意见。主要证据不足的，及时调查补充。</w:t>
            </w:r>
          </w:p>
          <w:p w14:paraId="16B7535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4.告知阶段责任：在做出行政处罚前，应当告知当事人违法事实以及依法享有的陈述、申辩和要求听证的权利。</w:t>
            </w:r>
          </w:p>
          <w:p w14:paraId="14F0C90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5.决定阶段责任：根据案件情况决定是否予以行政处罚。依法给予行政处罚的，应当制作行政处罚决定书，载明违法事实和依据、处罚依据和内容、申请行政复议或提起行政诉讼的途径和期限等内容。</w:t>
            </w:r>
          </w:p>
          <w:p w14:paraId="3AB91BF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6.送达阶段：行政处罚决定书应依法按时送达当事人。</w:t>
            </w:r>
          </w:p>
          <w:p w14:paraId="436F6FF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7.执行阶段责任：监督当事人在决定书的期限内，履行生效的行政处罚决定。当事人在法定期限内不申请行政复议或提起行政诉讼，又不履行的，受案部门可依法采取加处罚款或向人民法院申请强制执行等措施。</w:t>
            </w:r>
          </w:p>
          <w:p w14:paraId="6B341D7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8.其他法律法规规章文件应履行的责任。</w:t>
            </w:r>
          </w:p>
        </w:tc>
        <w:tc>
          <w:tcPr>
            <w:tcW w:w="9515" w:type="dxa"/>
            <w:vAlign w:val="center"/>
          </w:tcPr>
          <w:p w14:paraId="5165B93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1B1D73D">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26EFD8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8E32B4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756658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01CF59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661D25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C3B7338">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6FD5FA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41D4D2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E55835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781989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F958BF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AB6749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0A13A6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7B8806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D60831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AD41D0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428D7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2639CA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29A63A4">
            <w:pPr>
              <w:snapToGrid w:val="0"/>
              <w:spacing w:line="240" w:lineRule="atLeast"/>
              <w:jc w:val="center"/>
              <w:rPr>
                <w:rFonts w:ascii="仿宋_GB2312" w:hAnsi="仿宋_GB2312" w:eastAsia="仿宋_GB2312" w:cs="仿宋_GB2312"/>
                <w:sz w:val="20"/>
                <w:szCs w:val="20"/>
              </w:rPr>
            </w:pPr>
          </w:p>
        </w:tc>
      </w:tr>
    </w:tbl>
    <w:p w14:paraId="0E7AF35E"/>
    <w:p w14:paraId="2EA27ED7"/>
    <w:p w14:paraId="69BF4140"/>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5B47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EE936F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8845F6A">
            <w:pPr>
              <w:spacing w:line="240" w:lineRule="atLeast"/>
              <w:rPr>
                <w:rFonts w:asciiTheme="majorEastAsia" w:hAnsiTheme="majorEastAsia" w:eastAsiaTheme="majorEastAsia" w:cstheme="majorEastAsia"/>
                <w:spacing w:val="-20"/>
                <w:sz w:val="20"/>
                <w:szCs w:val="20"/>
              </w:rPr>
            </w:pPr>
          </w:p>
          <w:p w14:paraId="1807839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1A39A8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ABC560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9ACA38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155A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D6025C3">
            <w:pPr>
              <w:spacing w:line="240" w:lineRule="atLeast"/>
              <w:jc w:val="left"/>
              <w:rPr>
                <w:rFonts w:ascii="仿宋_GB2312" w:hAnsi="仿宋_GB2312" w:eastAsia="仿宋_GB2312" w:cs="仿宋_GB2312"/>
                <w:sz w:val="20"/>
                <w:szCs w:val="20"/>
              </w:rPr>
            </w:pPr>
          </w:p>
        </w:tc>
        <w:tc>
          <w:tcPr>
            <w:tcW w:w="555" w:type="dxa"/>
            <w:vMerge w:val="continue"/>
          </w:tcPr>
          <w:p w14:paraId="68D339D1">
            <w:pPr>
              <w:spacing w:line="240" w:lineRule="atLeast"/>
              <w:jc w:val="left"/>
              <w:rPr>
                <w:rFonts w:ascii="仿宋_GB2312" w:hAnsi="仿宋_GB2312" w:eastAsia="仿宋_GB2312" w:cs="仿宋_GB2312"/>
                <w:sz w:val="20"/>
                <w:szCs w:val="20"/>
              </w:rPr>
            </w:pPr>
          </w:p>
        </w:tc>
        <w:tc>
          <w:tcPr>
            <w:tcW w:w="784" w:type="dxa"/>
            <w:vAlign w:val="center"/>
          </w:tcPr>
          <w:p w14:paraId="07A3B69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11F3F7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413F74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19A412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E5BEDF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696081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726786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33184C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A12071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CE6135A">
            <w:pPr>
              <w:spacing w:line="240" w:lineRule="atLeast"/>
              <w:jc w:val="left"/>
              <w:rPr>
                <w:rFonts w:ascii="仿宋_GB2312" w:hAnsi="仿宋_GB2312" w:eastAsia="仿宋_GB2312" w:cs="仿宋_GB2312"/>
                <w:sz w:val="20"/>
                <w:szCs w:val="20"/>
              </w:rPr>
            </w:pPr>
          </w:p>
        </w:tc>
      </w:tr>
      <w:tr w14:paraId="6CCDF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A96113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72</w:t>
            </w:r>
          </w:p>
        </w:tc>
        <w:tc>
          <w:tcPr>
            <w:tcW w:w="555" w:type="dxa"/>
            <w:vAlign w:val="center"/>
          </w:tcPr>
          <w:p w14:paraId="36C9D2D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00B128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BA661D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9DB9F9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对以承包等方式擅自转让采矿权行为的处罚</w:t>
            </w:r>
          </w:p>
        </w:tc>
        <w:tc>
          <w:tcPr>
            <w:tcW w:w="660" w:type="dxa"/>
            <w:vAlign w:val="center"/>
          </w:tcPr>
          <w:p w14:paraId="23F3F2A5">
            <w:pPr>
              <w:snapToGrid w:val="0"/>
              <w:spacing w:line="240" w:lineRule="atLeast"/>
              <w:jc w:val="center"/>
              <w:rPr>
                <w:rFonts w:ascii="仿宋_GB2312" w:hAnsi="仿宋_GB2312" w:eastAsia="仿宋_GB2312" w:cs="仿宋_GB2312"/>
                <w:sz w:val="20"/>
                <w:szCs w:val="20"/>
              </w:rPr>
            </w:pPr>
          </w:p>
        </w:tc>
        <w:tc>
          <w:tcPr>
            <w:tcW w:w="615" w:type="dxa"/>
            <w:vAlign w:val="center"/>
          </w:tcPr>
          <w:p w14:paraId="5EDD769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8781A7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73BE89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【行政法规】《探矿权采矿权转让管理办法》（1998年国务院令第242号公布，2014年国务院令第653号修订）第三条：除按照下列规定可以转让外，探矿权、采矿权不得转让：</w:t>
            </w:r>
          </w:p>
          <w:p w14:paraId="3FC2501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（二）已经取得采矿权的矿山企业，因企业合并、分立，与他人合资、合作经营，或者因企业资产出售以及有其他变更企业资产产权的情形，需要变更采矿权主体的，经依法批准，可以将采矿权转让他人采矿。</w:t>
            </w:r>
          </w:p>
          <w:p w14:paraId="5EAD2DA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第十五条： 违反本办法第三条第（二）项的规定，以承包等方式擅自将采矿权转给他人进行采矿的，由县级以上人民政府负责地质矿产管理工作的部门按照国务院地质矿产主管部门规定的权限，责令改正，没收违法所得，处10万元以下的罚款；情节严重的，由原发证机关吊销采矿许可证。</w:t>
            </w:r>
          </w:p>
        </w:tc>
        <w:tc>
          <w:tcPr>
            <w:tcW w:w="3585" w:type="dxa"/>
            <w:vAlign w:val="center"/>
          </w:tcPr>
          <w:p w14:paraId="6827C24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19E4949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1C73732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84BA74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D50B5F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8906A0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92BECC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29B794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26226A1">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1E1C261">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235F23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98B3A7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28777F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558FE3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06EA0D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403F53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55F279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982735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D6DB68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FA6FCB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D69FBC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282C99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B52828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A4F2A6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64841F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EE95E5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FC7899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A62E4A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307F635">
            <w:pPr>
              <w:snapToGrid w:val="0"/>
              <w:spacing w:line="240" w:lineRule="atLeast"/>
              <w:jc w:val="center"/>
              <w:rPr>
                <w:rFonts w:ascii="仿宋_GB2312" w:hAnsi="仿宋_GB2312" w:eastAsia="仿宋_GB2312" w:cs="仿宋_GB2312"/>
                <w:sz w:val="20"/>
                <w:szCs w:val="20"/>
              </w:rPr>
            </w:pPr>
          </w:p>
        </w:tc>
      </w:tr>
    </w:tbl>
    <w:p w14:paraId="4321EED7"/>
    <w:p w14:paraId="18E1B24A"/>
    <w:p w14:paraId="5C5BB95D"/>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90A4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CA9B6F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03DC604">
            <w:pPr>
              <w:spacing w:line="240" w:lineRule="atLeast"/>
              <w:rPr>
                <w:rFonts w:asciiTheme="majorEastAsia" w:hAnsiTheme="majorEastAsia" w:eastAsiaTheme="majorEastAsia" w:cstheme="majorEastAsia"/>
                <w:spacing w:val="-20"/>
                <w:sz w:val="20"/>
                <w:szCs w:val="20"/>
              </w:rPr>
            </w:pPr>
          </w:p>
          <w:p w14:paraId="186CC12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98F1B6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097CBC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657586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8FF2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F9E01ED">
            <w:pPr>
              <w:spacing w:line="240" w:lineRule="atLeast"/>
              <w:jc w:val="left"/>
              <w:rPr>
                <w:rFonts w:ascii="仿宋_GB2312" w:hAnsi="仿宋_GB2312" w:eastAsia="仿宋_GB2312" w:cs="仿宋_GB2312"/>
                <w:sz w:val="20"/>
                <w:szCs w:val="20"/>
              </w:rPr>
            </w:pPr>
          </w:p>
        </w:tc>
        <w:tc>
          <w:tcPr>
            <w:tcW w:w="555" w:type="dxa"/>
            <w:vMerge w:val="continue"/>
          </w:tcPr>
          <w:p w14:paraId="701118F8">
            <w:pPr>
              <w:spacing w:line="240" w:lineRule="atLeast"/>
              <w:jc w:val="left"/>
              <w:rPr>
                <w:rFonts w:ascii="仿宋_GB2312" w:hAnsi="仿宋_GB2312" w:eastAsia="仿宋_GB2312" w:cs="仿宋_GB2312"/>
                <w:sz w:val="20"/>
                <w:szCs w:val="20"/>
              </w:rPr>
            </w:pPr>
          </w:p>
        </w:tc>
        <w:tc>
          <w:tcPr>
            <w:tcW w:w="784" w:type="dxa"/>
            <w:vAlign w:val="center"/>
          </w:tcPr>
          <w:p w14:paraId="04FDEA5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B720D3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7EFF73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06246C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7F2ADD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0979A4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E9342F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AC2CDE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4A4DEB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E762C4B">
            <w:pPr>
              <w:spacing w:line="240" w:lineRule="atLeast"/>
              <w:jc w:val="left"/>
              <w:rPr>
                <w:rFonts w:ascii="仿宋_GB2312" w:hAnsi="仿宋_GB2312" w:eastAsia="仿宋_GB2312" w:cs="仿宋_GB2312"/>
                <w:sz w:val="20"/>
                <w:szCs w:val="20"/>
              </w:rPr>
            </w:pPr>
          </w:p>
        </w:tc>
      </w:tr>
      <w:tr w14:paraId="1B16A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CCC6F2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73</w:t>
            </w:r>
          </w:p>
        </w:tc>
        <w:tc>
          <w:tcPr>
            <w:tcW w:w="555" w:type="dxa"/>
            <w:vAlign w:val="center"/>
          </w:tcPr>
          <w:p w14:paraId="52909E4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2D44F4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4B3427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A17167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对探矿权人未采取治理恢复措施行为的处罚</w:t>
            </w:r>
          </w:p>
        </w:tc>
        <w:tc>
          <w:tcPr>
            <w:tcW w:w="660" w:type="dxa"/>
            <w:vAlign w:val="center"/>
          </w:tcPr>
          <w:p w14:paraId="3AF7EDD3">
            <w:pPr>
              <w:snapToGrid w:val="0"/>
              <w:spacing w:line="240" w:lineRule="atLeast"/>
              <w:jc w:val="center"/>
              <w:rPr>
                <w:rFonts w:ascii="仿宋_GB2312" w:hAnsi="仿宋_GB2312" w:eastAsia="仿宋_GB2312" w:cs="仿宋_GB2312"/>
                <w:sz w:val="20"/>
                <w:szCs w:val="20"/>
              </w:rPr>
            </w:pPr>
          </w:p>
        </w:tc>
        <w:tc>
          <w:tcPr>
            <w:tcW w:w="615" w:type="dxa"/>
            <w:vAlign w:val="center"/>
          </w:tcPr>
          <w:p w14:paraId="2A9E60C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B7FEC0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AFA5C1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【部门规章】《矿山地质环境保护规定》（2009年国土资源部令第44号发布，2019年自然资源部令第5号修正）第四条：自然资源部负责全国矿山地质环境的保护工作。</w:t>
            </w:r>
          </w:p>
          <w:p w14:paraId="299D9ED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县级以上地方自然资源主管部门负责本行政区的矿山地质环境保护工作。</w:t>
            </w:r>
          </w:p>
          <w:p w14:paraId="2AB6D40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十一条：以槽探、坑探方式勘查矿产资源，探矿权人在矿产资源勘查活动结束后未申请采矿权的，应当采取相应的治理恢复措施，对其勘查矿产资源遗留的钻孔、探井、探槽、巷道进行回填、封闭，对形成的危岩、危坡等进行治理恢复，消除安全隐患。</w:t>
            </w:r>
          </w:p>
          <w:p w14:paraId="33F2F39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第二十九条：违反本规定第二十一条规定，探矿权人未采取治理恢复措施的，由县级以上自然资源主管部门责令限期改正；逾期拒不改正的，处3万元以下的罚款，5年内不受理其新的探矿权、采矿权申请。</w:t>
            </w:r>
          </w:p>
        </w:tc>
        <w:tc>
          <w:tcPr>
            <w:tcW w:w="3585" w:type="dxa"/>
            <w:vAlign w:val="center"/>
          </w:tcPr>
          <w:p w14:paraId="414C38F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184454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4E471F7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27DB76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23F91B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14255D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412C13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098038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A26ECBC">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8E60F24">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DC076B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556EEB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522925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42DE60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AD4728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EC292A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A0034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4D59F4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BE5115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DED442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ECB204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D61112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BA57C8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A41103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F498BD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A546D1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9791CA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2ECE9E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E92EE16">
            <w:pPr>
              <w:snapToGrid w:val="0"/>
              <w:spacing w:line="240" w:lineRule="atLeast"/>
              <w:jc w:val="center"/>
              <w:rPr>
                <w:rFonts w:ascii="仿宋_GB2312" w:hAnsi="仿宋_GB2312" w:eastAsia="仿宋_GB2312" w:cs="仿宋_GB2312"/>
                <w:sz w:val="20"/>
                <w:szCs w:val="20"/>
              </w:rPr>
            </w:pPr>
          </w:p>
        </w:tc>
      </w:tr>
    </w:tbl>
    <w:p w14:paraId="4134A66C"/>
    <w:p w14:paraId="0FE5594A"/>
    <w:p w14:paraId="2617B8C2"/>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994"/>
        <w:gridCol w:w="615"/>
        <w:gridCol w:w="600"/>
        <w:gridCol w:w="1140"/>
        <w:gridCol w:w="4425"/>
        <w:gridCol w:w="3585"/>
        <w:gridCol w:w="9515"/>
        <w:gridCol w:w="330"/>
      </w:tblGrid>
      <w:tr w14:paraId="449F0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BAA6CA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4BE5182">
            <w:pPr>
              <w:spacing w:line="240" w:lineRule="atLeast"/>
              <w:rPr>
                <w:rFonts w:asciiTheme="majorEastAsia" w:hAnsiTheme="majorEastAsia" w:eastAsiaTheme="majorEastAsia" w:cstheme="majorEastAsia"/>
                <w:spacing w:val="-20"/>
                <w:sz w:val="20"/>
                <w:szCs w:val="20"/>
              </w:rPr>
            </w:pPr>
          </w:p>
          <w:p w14:paraId="0687673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2421D8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5D6B3C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CDBC1F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3FD4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DAFD346">
            <w:pPr>
              <w:spacing w:line="240" w:lineRule="atLeast"/>
              <w:jc w:val="left"/>
              <w:rPr>
                <w:rFonts w:ascii="仿宋_GB2312" w:hAnsi="仿宋_GB2312" w:eastAsia="仿宋_GB2312" w:cs="仿宋_GB2312"/>
                <w:sz w:val="20"/>
                <w:szCs w:val="20"/>
              </w:rPr>
            </w:pPr>
          </w:p>
        </w:tc>
        <w:tc>
          <w:tcPr>
            <w:tcW w:w="555" w:type="dxa"/>
            <w:vMerge w:val="continue"/>
          </w:tcPr>
          <w:p w14:paraId="7D405D78">
            <w:pPr>
              <w:spacing w:line="240" w:lineRule="atLeast"/>
              <w:jc w:val="left"/>
              <w:rPr>
                <w:rFonts w:ascii="仿宋_GB2312" w:hAnsi="仿宋_GB2312" w:eastAsia="仿宋_GB2312" w:cs="仿宋_GB2312"/>
                <w:sz w:val="20"/>
                <w:szCs w:val="20"/>
              </w:rPr>
            </w:pPr>
          </w:p>
        </w:tc>
        <w:tc>
          <w:tcPr>
            <w:tcW w:w="994" w:type="dxa"/>
            <w:vAlign w:val="center"/>
          </w:tcPr>
          <w:p w14:paraId="03C6241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0A6695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15" w:type="dxa"/>
            <w:vAlign w:val="center"/>
          </w:tcPr>
          <w:p w14:paraId="4BC58DB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00" w:type="dxa"/>
            <w:vAlign w:val="center"/>
          </w:tcPr>
          <w:p w14:paraId="1C1DBC1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40" w:type="dxa"/>
            <w:vAlign w:val="center"/>
          </w:tcPr>
          <w:p w14:paraId="212D9EA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425" w:type="dxa"/>
            <w:vAlign w:val="center"/>
          </w:tcPr>
          <w:p w14:paraId="3B2E6F2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113FAB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59DCB6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CAD48B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595B74A">
            <w:pPr>
              <w:spacing w:line="240" w:lineRule="atLeast"/>
              <w:jc w:val="left"/>
              <w:rPr>
                <w:rFonts w:ascii="仿宋_GB2312" w:hAnsi="仿宋_GB2312" w:eastAsia="仿宋_GB2312" w:cs="仿宋_GB2312"/>
                <w:sz w:val="20"/>
                <w:szCs w:val="20"/>
              </w:rPr>
            </w:pPr>
          </w:p>
        </w:tc>
      </w:tr>
      <w:tr w14:paraId="55931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C2DD4C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74</w:t>
            </w:r>
          </w:p>
        </w:tc>
        <w:tc>
          <w:tcPr>
            <w:tcW w:w="555" w:type="dxa"/>
            <w:vAlign w:val="center"/>
          </w:tcPr>
          <w:p w14:paraId="4D346C0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6BD7EB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0F5594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994" w:type="dxa"/>
            <w:vAlign w:val="center"/>
          </w:tcPr>
          <w:p w14:paraId="7A8E180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擅自移动和破坏碑石、界标，进行采石、取土、开矿、放牧、砍伐以及采集标本化石，对地质遗迹造成污染和破坏，不服从保护区管理机构管理以及从事科研活动未向管理单位提交研究成果副本行为的处罚</w:t>
            </w:r>
          </w:p>
        </w:tc>
        <w:tc>
          <w:tcPr>
            <w:tcW w:w="615" w:type="dxa"/>
            <w:vAlign w:val="center"/>
          </w:tcPr>
          <w:p w14:paraId="50A266DF">
            <w:pPr>
              <w:snapToGrid w:val="0"/>
              <w:spacing w:line="240" w:lineRule="atLeast"/>
              <w:jc w:val="center"/>
              <w:rPr>
                <w:rFonts w:ascii="仿宋_GB2312" w:hAnsi="仿宋_GB2312" w:eastAsia="仿宋_GB2312" w:cs="仿宋_GB2312"/>
                <w:sz w:val="20"/>
                <w:szCs w:val="20"/>
              </w:rPr>
            </w:pPr>
          </w:p>
        </w:tc>
        <w:tc>
          <w:tcPr>
            <w:tcW w:w="600" w:type="dxa"/>
            <w:vAlign w:val="center"/>
          </w:tcPr>
          <w:p w14:paraId="107B34D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40" w:type="dxa"/>
            <w:vAlign w:val="center"/>
          </w:tcPr>
          <w:p w14:paraId="54F62AE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425" w:type="dxa"/>
            <w:vAlign w:val="center"/>
          </w:tcPr>
          <w:p w14:paraId="700134C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1.【行政法规】《中华人民共和国自然保护区条例 》（1994年国务院令167号公布，2017年国务院令第687号修订）第三十四条：违反本条例规定，有下列行为之一的单位和个人，由自然保护区管理机构责令其改正，并可以根据不同情节处以100元以上5000元以下的罚款：</w:t>
            </w:r>
          </w:p>
          <w:p w14:paraId="26905CD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（一）擅自移动或者破坏自然保护区界标的；</w:t>
            </w:r>
          </w:p>
          <w:p w14:paraId="7D16B3B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（二）未经批准进入自然保护区或者在自然保护区内不服从管理机构管理的；</w:t>
            </w:r>
          </w:p>
          <w:p w14:paraId="170C635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（三）经批准在自然保护区的缓冲区内从事科学研究、教学实习和标本采集的单位和个人，不向自然保护区管理机构提交活动成果副本的。</w:t>
            </w:r>
          </w:p>
          <w:p w14:paraId="045F658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五条：违反本条例规定，在自然保护区进行砍伐、放牧、狩猎、捕捞、采药、开垦、烧荒、开矿、采石、挖沙等活动的单位和个人，除可以依照有关法律、行政法规规定给予处罚的以外，由县级以上人民政府有关自然保护区行政主管部门或者其授权的自然保护区管理机构没收违法所得，责令停止违法行为，限期恢复原状或者采取其他补救措施；对自然保护区造成破坏的，可以处以300元以上10000元以下的罚款。</w:t>
            </w:r>
          </w:p>
          <w:p w14:paraId="56F3B80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第四十条：违反本条例规定，造成自然保护区重大污染或者破坏事故，导致公私财产重大损失或者人身伤亡的严重后果，构成犯罪的，对直接负责的主管人员和其他直接责任人员依法追究刑事责任。</w:t>
            </w:r>
          </w:p>
          <w:p w14:paraId="763BFBB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部门规章】《地质遗迹保护管理规定》（1995年地质矿产部令第21号）第二十条：有下列行为之一者，地质遗迹保护区管理机构可根据《中华人民共和国自然保护区条例》的有关规定，视不同情节，分别给予警告、罚款、没收非法所得，并责令赔偿损失。</w:t>
            </w:r>
          </w:p>
          <w:p w14:paraId="505666C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一、违反本规定第十四条，擅自移动和破坏碑石、界标的；</w:t>
            </w:r>
          </w:p>
          <w:p w14:paraId="696450C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二、违反本规定第十七条，进行采石、取土、开矿、放牧、砍伐以及采集标本化石的；</w:t>
            </w:r>
          </w:p>
          <w:p w14:paraId="4E00303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三、违反本规定第十八条，对地质遗迹造成污染和破坏的；</w:t>
            </w:r>
          </w:p>
          <w:p w14:paraId="40D70FC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四、违反本规定第十九条，不服从保护区管理机构管理以及从事科研活动未向管理单位提交研究成果副本的。</w:t>
            </w:r>
          </w:p>
          <w:p w14:paraId="759CF56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条：国务院地质矿产行政主管部门在国务院环境保护行政主管部门协助下，对全国地质遗迹保护实施监督管理。县级以上人民政府地质矿产行政主管部门在同级环境保护行政主管部门协助下，对本辖区内的地质遗迹保护实施监督管理。</w:t>
            </w:r>
          </w:p>
        </w:tc>
        <w:tc>
          <w:tcPr>
            <w:tcW w:w="3585" w:type="dxa"/>
            <w:vAlign w:val="center"/>
          </w:tcPr>
          <w:p w14:paraId="1F46487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E48CFF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1A79610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BF2455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DD0D62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7F808CF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6449ED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141D9A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897E1E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7E03D94">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5D18C1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5565E8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A45A3B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4E431A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0FFB1C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CFD29D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D40248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0ED244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A2998A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442190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51CB16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5C7E6F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B71ED2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B8356D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AD5855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1534F4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0736C3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83A9E3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32097B1">
            <w:pPr>
              <w:snapToGrid w:val="0"/>
              <w:spacing w:line="240" w:lineRule="atLeast"/>
              <w:jc w:val="center"/>
              <w:rPr>
                <w:rFonts w:ascii="仿宋_GB2312" w:hAnsi="仿宋_GB2312" w:eastAsia="仿宋_GB2312" w:cs="仿宋_GB2312"/>
                <w:sz w:val="20"/>
                <w:szCs w:val="20"/>
              </w:rPr>
            </w:pPr>
          </w:p>
        </w:tc>
      </w:tr>
    </w:tbl>
    <w:p w14:paraId="5CBB9FEB"/>
    <w:p w14:paraId="3505FBBB"/>
    <w:p w14:paraId="123BFDC2"/>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7285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F175257">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F1D586D">
            <w:pPr>
              <w:spacing w:line="240" w:lineRule="atLeast"/>
              <w:rPr>
                <w:rFonts w:asciiTheme="majorEastAsia" w:hAnsiTheme="majorEastAsia" w:eastAsiaTheme="majorEastAsia" w:cstheme="majorEastAsia"/>
                <w:spacing w:val="-20"/>
                <w:sz w:val="20"/>
                <w:szCs w:val="20"/>
              </w:rPr>
            </w:pPr>
          </w:p>
          <w:p w14:paraId="0C87749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775B94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68DDE4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8E830F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9F68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33914DD">
            <w:pPr>
              <w:spacing w:line="240" w:lineRule="atLeast"/>
              <w:jc w:val="left"/>
              <w:rPr>
                <w:rFonts w:ascii="仿宋_GB2312" w:hAnsi="仿宋_GB2312" w:eastAsia="仿宋_GB2312" w:cs="仿宋_GB2312"/>
                <w:sz w:val="20"/>
                <w:szCs w:val="20"/>
              </w:rPr>
            </w:pPr>
          </w:p>
        </w:tc>
        <w:tc>
          <w:tcPr>
            <w:tcW w:w="555" w:type="dxa"/>
            <w:vMerge w:val="continue"/>
          </w:tcPr>
          <w:p w14:paraId="1E795099">
            <w:pPr>
              <w:spacing w:line="240" w:lineRule="atLeast"/>
              <w:jc w:val="left"/>
              <w:rPr>
                <w:rFonts w:ascii="仿宋_GB2312" w:hAnsi="仿宋_GB2312" w:eastAsia="仿宋_GB2312" w:cs="仿宋_GB2312"/>
                <w:sz w:val="20"/>
                <w:szCs w:val="20"/>
              </w:rPr>
            </w:pPr>
          </w:p>
        </w:tc>
        <w:tc>
          <w:tcPr>
            <w:tcW w:w="784" w:type="dxa"/>
            <w:vAlign w:val="center"/>
          </w:tcPr>
          <w:p w14:paraId="21E82FB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96684E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ABEB35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27FCB3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FCF9F5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BDE076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97D635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BCA27A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4E940E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657568B">
            <w:pPr>
              <w:spacing w:line="240" w:lineRule="atLeast"/>
              <w:jc w:val="left"/>
              <w:rPr>
                <w:rFonts w:ascii="仿宋_GB2312" w:hAnsi="仿宋_GB2312" w:eastAsia="仿宋_GB2312" w:cs="仿宋_GB2312"/>
                <w:sz w:val="20"/>
                <w:szCs w:val="20"/>
              </w:rPr>
            </w:pPr>
          </w:p>
        </w:tc>
      </w:tr>
      <w:tr w14:paraId="5B8C4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9A06DF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75</w:t>
            </w:r>
          </w:p>
        </w:tc>
        <w:tc>
          <w:tcPr>
            <w:tcW w:w="555" w:type="dxa"/>
            <w:vAlign w:val="center"/>
          </w:tcPr>
          <w:p w14:paraId="57006B5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262E21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6778BB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084178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对矿业权人不按照批准的勘查设计或者矿产资源开发利用方案施工行为的处罚</w:t>
            </w:r>
          </w:p>
        </w:tc>
        <w:tc>
          <w:tcPr>
            <w:tcW w:w="660" w:type="dxa"/>
            <w:vAlign w:val="center"/>
          </w:tcPr>
          <w:p w14:paraId="4054C83E">
            <w:pPr>
              <w:snapToGrid w:val="0"/>
              <w:spacing w:line="240" w:lineRule="atLeast"/>
              <w:jc w:val="center"/>
              <w:rPr>
                <w:rFonts w:ascii="仿宋_GB2312" w:hAnsi="仿宋_GB2312" w:eastAsia="仿宋_GB2312" w:cs="仿宋_GB2312"/>
                <w:sz w:val="20"/>
                <w:szCs w:val="20"/>
              </w:rPr>
            </w:pPr>
          </w:p>
        </w:tc>
        <w:tc>
          <w:tcPr>
            <w:tcW w:w="615" w:type="dxa"/>
            <w:vAlign w:val="center"/>
          </w:tcPr>
          <w:p w14:paraId="393D567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EDF9D9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EA428F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地方性法规】《广西壮族自治区矿产资源管理条例》（2000年12月2日广西壮族自治区第九届人民代表大会常务委员会第二十一次会议通过，自2011年1月1日起施行，根据2016年11月30日广西壮族自治区第十二届人民代表大会常务委员会第二十六次会议《关于废止和修改部分地方性法规的决定》修正）第四十一条：不按照批准的勘查设计或者矿产资源开发利用方案施工的，由地质矿产主管部门责令限期改正；逾期不改正的，处一千元以上五万元以下的罚款；情节严重的，原发证机关可以吊销勘查许可证或者采矿许可证。</w:t>
            </w:r>
          </w:p>
        </w:tc>
        <w:tc>
          <w:tcPr>
            <w:tcW w:w="3585" w:type="dxa"/>
            <w:vAlign w:val="center"/>
          </w:tcPr>
          <w:p w14:paraId="7746F83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9F4440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4EF7EC3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2D8B45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0DAACD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EED74A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981A9A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9773BE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43A4889">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9665D6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2A8B41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E801D6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FC5C2E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466E45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260F0F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05A938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86F04F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F25630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36016F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91EE6C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5DF00C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82EF5A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B8CE30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13D941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9DEC8C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163623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EE7179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89D85A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4AAE1F6">
            <w:pPr>
              <w:snapToGrid w:val="0"/>
              <w:spacing w:line="240" w:lineRule="atLeast"/>
              <w:jc w:val="center"/>
              <w:rPr>
                <w:rFonts w:ascii="仿宋_GB2312" w:hAnsi="仿宋_GB2312" w:eastAsia="仿宋_GB2312" w:cs="仿宋_GB2312"/>
                <w:sz w:val="20"/>
                <w:szCs w:val="20"/>
              </w:rPr>
            </w:pPr>
          </w:p>
        </w:tc>
      </w:tr>
    </w:tbl>
    <w:p w14:paraId="45F0A200"/>
    <w:p w14:paraId="292898D1"/>
    <w:p w14:paraId="5831918A"/>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2024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97F3FE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F2C3117">
            <w:pPr>
              <w:spacing w:line="240" w:lineRule="atLeast"/>
              <w:rPr>
                <w:rFonts w:asciiTheme="majorEastAsia" w:hAnsiTheme="majorEastAsia" w:eastAsiaTheme="majorEastAsia" w:cstheme="majorEastAsia"/>
                <w:spacing w:val="-20"/>
                <w:sz w:val="20"/>
                <w:szCs w:val="20"/>
              </w:rPr>
            </w:pPr>
          </w:p>
          <w:p w14:paraId="31D03B8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4610F0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929FA4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5EEF02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227A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B1C738D">
            <w:pPr>
              <w:spacing w:line="240" w:lineRule="atLeast"/>
              <w:jc w:val="left"/>
              <w:rPr>
                <w:rFonts w:ascii="仿宋_GB2312" w:hAnsi="仿宋_GB2312" w:eastAsia="仿宋_GB2312" w:cs="仿宋_GB2312"/>
                <w:sz w:val="20"/>
                <w:szCs w:val="20"/>
              </w:rPr>
            </w:pPr>
          </w:p>
        </w:tc>
        <w:tc>
          <w:tcPr>
            <w:tcW w:w="555" w:type="dxa"/>
            <w:vMerge w:val="continue"/>
          </w:tcPr>
          <w:p w14:paraId="28C1CBEA">
            <w:pPr>
              <w:spacing w:line="240" w:lineRule="atLeast"/>
              <w:jc w:val="left"/>
              <w:rPr>
                <w:rFonts w:ascii="仿宋_GB2312" w:hAnsi="仿宋_GB2312" w:eastAsia="仿宋_GB2312" w:cs="仿宋_GB2312"/>
                <w:sz w:val="20"/>
                <w:szCs w:val="20"/>
              </w:rPr>
            </w:pPr>
          </w:p>
        </w:tc>
        <w:tc>
          <w:tcPr>
            <w:tcW w:w="784" w:type="dxa"/>
            <w:vAlign w:val="center"/>
          </w:tcPr>
          <w:p w14:paraId="5DDB224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B3C742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91766A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7747D1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392F48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E1DE96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18FBAC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92F767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F620BA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ED624C9">
            <w:pPr>
              <w:spacing w:line="240" w:lineRule="atLeast"/>
              <w:jc w:val="left"/>
              <w:rPr>
                <w:rFonts w:ascii="仿宋_GB2312" w:hAnsi="仿宋_GB2312" w:eastAsia="仿宋_GB2312" w:cs="仿宋_GB2312"/>
                <w:sz w:val="20"/>
                <w:szCs w:val="20"/>
              </w:rPr>
            </w:pPr>
          </w:p>
        </w:tc>
      </w:tr>
      <w:tr w14:paraId="08932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E6945F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76</w:t>
            </w:r>
          </w:p>
        </w:tc>
        <w:tc>
          <w:tcPr>
            <w:tcW w:w="555" w:type="dxa"/>
            <w:vAlign w:val="center"/>
          </w:tcPr>
          <w:p w14:paraId="5EC46DD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CD3809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9BBC6B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944A1A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对探矿权人不及时对遗留的钻孔、探井、巷道和形成的危岩、危坡采取回填、封闭或者其他消除地质灾害隐患措施行为的处罚</w:t>
            </w:r>
          </w:p>
        </w:tc>
        <w:tc>
          <w:tcPr>
            <w:tcW w:w="660" w:type="dxa"/>
            <w:vAlign w:val="center"/>
          </w:tcPr>
          <w:p w14:paraId="44084D9B">
            <w:pPr>
              <w:snapToGrid w:val="0"/>
              <w:spacing w:line="240" w:lineRule="atLeast"/>
              <w:jc w:val="center"/>
              <w:rPr>
                <w:rFonts w:ascii="仿宋_GB2312" w:hAnsi="仿宋_GB2312" w:eastAsia="仿宋_GB2312" w:cs="仿宋_GB2312"/>
                <w:sz w:val="20"/>
                <w:szCs w:val="20"/>
              </w:rPr>
            </w:pPr>
          </w:p>
        </w:tc>
        <w:tc>
          <w:tcPr>
            <w:tcW w:w="615" w:type="dxa"/>
            <w:vAlign w:val="center"/>
          </w:tcPr>
          <w:p w14:paraId="462A286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6E5AAE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170E96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【地方性法规】《广西壮族自治区地质环境保护条例》（2006年3月30日广西壮族自治区第十届人民代表大会常务委员会第十九次会议通过　根据2019年7月25日广西壮族自治区第十三届人民代表大会常务委员会第十次会议《关于修改〈广西壮族自治区环境保护条例〉等二十一件地方性法规的决定》修正） 第十一条：探矿权人应当及时对勘查作业完毕后遗留的钻孔、探井、巷道和形成的危岩、危坡采取回填、封闭或者其他消除地质灾害隐患的措施。</w:t>
            </w:r>
          </w:p>
          <w:p w14:paraId="5845B80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第二十一条： 违反本条例第十一条规定，探矿权人不及时对遗留的钻孔、探井、巷道和形成的危岩、危坡采取回填、封闭或者其他消除地质灾害隐患措施的，由县级以上人民政府国土资源行政主管部门责令限期治理；逾期不治理的，可以处1万元以上10万元以下的罚款。</w:t>
            </w:r>
          </w:p>
        </w:tc>
        <w:tc>
          <w:tcPr>
            <w:tcW w:w="3585" w:type="dxa"/>
            <w:vAlign w:val="center"/>
          </w:tcPr>
          <w:p w14:paraId="23E3B0C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4B87AF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562E98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187041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9AEC81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7750363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2E765D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58731A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4A1322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E10B51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76828B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78268B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D9C530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B54D11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C32089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7C9FC8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451504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1B5ADA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D2EACA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9332A4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773672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B19CB6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3F24AF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F7CC5B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BA9A0D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AA399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F3C0C3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BA11F7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921ECFF">
            <w:pPr>
              <w:snapToGrid w:val="0"/>
              <w:spacing w:line="240" w:lineRule="atLeast"/>
              <w:jc w:val="center"/>
              <w:rPr>
                <w:rFonts w:ascii="仿宋_GB2312" w:hAnsi="仿宋_GB2312" w:eastAsia="仿宋_GB2312" w:cs="仿宋_GB2312"/>
                <w:sz w:val="20"/>
                <w:szCs w:val="20"/>
              </w:rPr>
            </w:pPr>
          </w:p>
        </w:tc>
      </w:tr>
    </w:tbl>
    <w:p w14:paraId="6B6A04E5"/>
    <w:p w14:paraId="256B5466"/>
    <w:p w14:paraId="66F6B98E"/>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B2FD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36586D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208D216">
            <w:pPr>
              <w:spacing w:line="240" w:lineRule="atLeast"/>
              <w:rPr>
                <w:rFonts w:asciiTheme="majorEastAsia" w:hAnsiTheme="majorEastAsia" w:eastAsiaTheme="majorEastAsia" w:cstheme="majorEastAsia"/>
                <w:spacing w:val="-20"/>
                <w:sz w:val="20"/>
                <w:szCs w:val="20"/>
              </w:rPr>
            </w:pPr>
          </w:p>
          <w:p w14:paraId="63E9322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BB34CF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55E92A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231810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D624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76FCF35">
            <w:pPr>
              <w:spacing w:line="240" w:lineRule="atLeast"/>
              <w:jc w:val="left"/>
              <w:rPr>
                <w:rFonts w:ascii="仿宋_GB2312" w:hAnsi="仿宋_GB2312" w:eastAsia="仿宋_GB2312" w:cs="仿宋_GB2312"/>
                <w:sz w:val="20"/>
                <w:szCs w:val="20"/>
              </w:rPr>
            </w:pPr>
          </w:p>
        </w:tc>
        <w:tc>
          <w:tcPr>
            <w:tcW w:w="555" w:type="dxa"/>
            <w:vMerge w:val="continue"/>
          </w:tcPr>
          <w:p w14:paraId="576C41A4">
            <w:pPr>
              <w:spacing w:line="240" w:lineRule="atLeast"/>
              <w:jc w:val="left"/>
              <w:rPr>
                <w:rFonts w:ascii="仿宋_GB2312" w:hAnsi="仿宋_GB2312" w:eastAsia="仿宋_GB2312" w:cs="仿宋_GB2312"/>
                <w:sz w:val="20"/>
                <w:szCs w:val="20"/>
              </w:rPr>
            </w:pPr>
          </w:p>
        </w:tc>
        <w:tc>
          <w:tcPr>
            <w:tcW w:w="784" w:type="dxa"/>
            <w:vAlign w:val="center"/>
          </w:tcPr>
          <w:p w14:paraId="46E0C7B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51340D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C16FE7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4E69C3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28736B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CF8CFB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62E75B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E063C3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9D8CBA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B779274">
            <w:pPr>
              <w:spacing w:line="240" w:lineRule="atLeast"/>
              <w:jc w:val="left"/>
              <w:rPr>
                <w:rFonts w:ascii="仿宋_GB2312" w:hAnsi="仿宋_GB2312" w:eastAsia="仿宋_GB2312" w:cs="仿宋_GB2312"/>
                <w:sz w:val="20"/>
                <w:szCs w:val="20"/>
              </w:rPr>
            </w:pPr>
          </w:p>
        </w:tc>
      </w:tr>
      <w:tr w14:paraId="06766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84BA27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77</w:t>
            </w:r>
          </w:p>
        </w:tc>
        <w:tc>
          <w:tcPr>
            <w:tcW w:w="555" w:type="dxa"/>
            <w:vAlign w:val="center"/>
          </w:tcPr>
          <w:p w14:paraId="25FC647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6C515D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072F8F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37D196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对采矿权人逾期履行地质环境治理责任行为的处罚</w:t>
            </w:r>
          </w:p>
        </w:tc>
        <w:tc>
          <w:tcPr>
            <w:tcW w:w="660" w:type="dxa"/>
            <w:vAlign w:val="center"/>
          </w:tcPr>
          <w:p w14:paraId="2E109BB5">
            <w:pPr>
              <w:snapToGrid w:val="0"/>
              <w:spacing w:line="240" w:lineRule="atLeast"/>
              <w:jc w:val="center"/>
              <w:rPr>
                <w:rFonts w:ascii="仿宋_GB2312" w:hAnsi="仿宋_GB2312" w:eastAsia="仿宋_GB2312" w:cs="仿宋_GB2312"/>
                <w:sz w:val="20"/>
                <w:szCs w:val="20"/>
              </w:rPr>
            </w:pPr>
          </w:p>
        </w:tc>
        <w:tc>
          <w:tcPr>
            <w:tcW w:w="615" w:type="dxa"/>
            <w:vAlign w:val="center"/>
          </w:tcPr>
          <w:p w14:paraId="6F5D244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097A4A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7B0ECD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地质环境保护条例》（2006年3月30日广西壮族自治区第十届人民代表大会常务委员会第十九次会议通过，2019年7月25日广西壮族自治区第十三届人民代表大会常务委员会第十次会议修正）第十二条：采矿权人在采矿过程中，应当履行下列地质环境治理责任：</w:t>
            </w:r>
          </w:p>
          <w:p w14:paraId="7CD7E76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（一）整治被破坏的土地、河道、航道，使之能够种植、养殖、行洪、通航或者可供其他利用；</w:t>
            </w:r>
          </w:p>
          <w:p w14:paraId="27018A0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（二）整修露天采矿的边坡、断面并种草植树，使之与周围环境相协调；</w:t>
            </w:r>
          </w:p>
          <w:p w14:paraId="13A960E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（三）消除崩塌、滑坡、泥石流、地面塌陷等地质灾害隐患；</w:t>
            </w:r>
          </w:p>
          <w:p w14:paraId="1A21B34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（四）采取封闭、充填或者人工放顶等措施，使地下井巷采空区及其地面安全稳定；</w:t>
            </w:r>
          </w:p>
          <w:p w14:paraId="11D075D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（五）法律、法规规定的其他地质环境治理责任。</w:t>
            </w:r>
          </w:p>
          <w:p w14:paraId="30D4B96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第二十二条： 违反本条例第十二条规定，采矿权人未依法履行地质环境治理责任的，由县级以上人民政府国土资源行政主管部门责令限期治理；逾期不治理的，可以处2万元以上20万元以下的罚款。</w:t>
            </w:r>
          </w:p>
        </w:tc>
        <w:tc>
          <w:tcPr>
            <w:tcW w:w="3585" w:type="dxa"/>
            <w:vAlign w:val="center"/>
          </w:tcPr>
          <w:p w14:paraId="401372E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A3A30A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9DA3B9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F63692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3E721A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19134B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D2A61D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1B9431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798CA8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BB2BAE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36A35A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F93E9C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EA38DE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70563A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A7F5CF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CFA773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7E730C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D03120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5E7132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A8F4B4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E5F35E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15A159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E3326A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2BB9C5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832A48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154241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25DCC7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8B9F02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627C5F1">
            <w:pPr>
              <w:snapToGrid w:val="0"/>
              <w:spacing w:line="240" w:lineRule="atLeast"/>
              <w:jc w:val="center"/>
              <w:rPr>
                <w:rFonts w:ascii="仿宋_GB2312" w:hAnsi="仿宋_GB2312" w:eastAsia="仿宋_GB2312" w:cs="仿宋_GB2312"/>
                <w:sz w:val="20"/>
                <w:szCs w:val="20"/>
              </w:rPr>
            </w:pPr>
          </w:p>
        </w:tc>
      </w:tr>
    </w:tbl>
    <w:p w14:paraId="5ECF8496"/>
    <w:p w14:paraId="5B0D16B1"/>
    <w:p w14:paraId="1AEC0985"/>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7F30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116D51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82370F3">
            <w:pPr>
              <w:spacing w:line="240" w:lineRule="atLeast"/>
              <w:rPr>
                <w:rFonts w:asciiTheme="majorEastAsia" w:hAnsiTheme="majorEastAsia" w:eastAsiaTheme="majorEastAsia" w:cstheme="majorEastAsia"/>
                <w:spacing w:val="-20"/>
                <w:sz w:val="20"/>
                <w:szCs w:val="20"/>
              </w:rPr>
            </w:pPr>
          </w:p>
          <w:p w14:paraId="2A6BACC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699D74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B7F890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2F3508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D486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3797B4C">
            <w:pPr>
              <w:spacing w:line="240" w:lineRule="atLeast"/>
              <w:jc w:val="left"/>
              <w:rPr>
                <w:rFonts w:ascii="仿宋_GB2312" w:hAnsi="仿宋_GB2312" w:eastAsia="仿宋_GB2312" w:cs="仿宋_GB2312"/>
                <w:sz w:val="20"/>
                <w:szCs w:val="20"/>
              </w:rPr>
            </w:pPr>
          </w:p>
        </w:tc>
        <w:tc>
          <w:tcPr>
            <w:tcW w:w="555" w:type="dxa"/>
            <w:vMerge w:val="continue"/>
          </w:tcPr>
          <w:p w14:paraId="4A3B326A">
            <w:pPr>
              <w:spacing w:line="240" w:lineRule="atLeast"/>
              <w:jc w:val="left"/>
              <w:rPr>
                <w:rFonts w:ascii="仿宋_GB2312" w:hAnsi="仿宋_GB2312" w:eastAsia="仿宋_GB2312" w:cs="仿宋_GB2312"/>
                <w:sz w:val="20"/>
                <w:szCs w:val="20"/>
              </w:rPr>
            </w:pPr>
          </w:p>
        </w:tc>
        <w:tc>
          <w:tcPr>
            <w:tcW w:w="784" w:type="dxa"/>
            <w:vAlign w:val="center"/>
          </w:tcPr>
          <w:p w14:paraId="4008519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B88B73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71FA49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38742D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C30D96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07991D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CD72FF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E6A90E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8FE346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7B67D7D">
            <w:pPr>
              <w:spacing w:line="240" w:lineRule="atLeast"/>
              <w:jc w:val="left"/>
              <w:rPr>
                <w:rFonts w:ascii="仿宋_GB2312" w:hAnsi="仿宋_GB2312" w:eastAsia="仿宋_GB2312" w:cs="仿宋_GB2312"/>
                <w:sz w:val="20"/>
                <w:szCs w:val="20"/>
              </w:rPr>
            </w:pPr>
          </w:p>
        </w:tc>
      </w:tr>
      <w:tr w14:paraId="304A9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96C2B1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78</w:t>
            </w:r>
          </w:p>
        </w:tc>
        <w:tc>
          <w:tcPr>
            <w:tcW w:w="555" w:type="dxa"/>
            <w:vAlign w:val="center"/>
          </w:tcPr>
          <w:p w14:paraId="6A99880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5DD211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CF616F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091D24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对违反规定侵占、损毁和擅自移动地质环境监测和保护标志、设施，非法买卖和擅自采掘古生物化石，工程建设采石、施工开挖破坏地质地貌不予绿化或者治理行为的处罚</w:t>
            </w:r>
          </w:p>
        </w:tc>
        <w:tc>
          <w:tcPr>
            <w:tcW w:w="660" w:type="dxa"/>
            <w:vAlign w:val="center"/>
          </w:tcPr>
          <w:p w14:paraId="353FD3C2">
            <w:pPr>
              <w:snapToGrid w:val="0"/>
              <w:spacing w:line="240" w:lineRule="atLeast"/>
              <w:jc w:val="center"/>
              <w:rPr>
                <w:rFonts w:ascii="仿宋_GB2312" w:hAnsi="仿宋_GB2312" w:eastAsia="仿宋_GB2312" w:cs="仿宋_GB2312"/>
                <w:sz w:val="20"/>
                <w:szCs w:val="20"/>
              </w:rPr>
            </w:pPr>
          </w:p>
        </w:tc>
        <w:tc>
          <w:tcPr>
            <w:tcW w:w="615" w:type="dxa"/>
            <w:vAlign w:val="center"/>
          </w:tcPr>
          <w:p w14:paraId="25AB183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57BDAF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6C6789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地质环境保护条例》（2006年3月30日广西壮族自治区第十届人民代表大会常务委员会第十九次会议通过，2019年7月25日广西壮族自治区第十三届人民代表大会常务委员会第十次会议修正） 第二十三条：违反本条例规定，有下列情形之一的，由县级以上人民政府国土资源行政主管部门责令改正或者停止违法行为；有违法所得的，没收违法所得；情节严重的，可以并处5千元以上5万元以下的罚款：</w:t>
            </w:r>
          </w:p>
          <w:p w14:paraId="5A01459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（一）侵占、损毁和擅自移动地质环境监测和保护标志、设施的；</w:t>
            </w:r>
          </w:p>
          <w:p w14:paraId="7C58952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（二）非法买卖和擅自采掘古生物化石的；</w:t>
            </w:r>
          </w:p>
          <w:p w14:paraId="432EBCE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（三）工程建设采石、施工开挖破坏地质地貌不予绿化或者治理的。</w:t>
            </w:r>
          </w:p>
        </w:tc>
        <w:tc>
          <w:tcPr>
            <w:tcW w:w="3585" w:type="dxa"/>
            <w:vAlign w:val="center"/>
          </w:tcPr>
          <w:p w14:paraId="154BC0A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614F040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2E45FA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2BA54C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212B09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9F4DEF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E0AB2C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9E3880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4FAFB1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A3B3F54">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D0C423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27B1E1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B64B39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F6CAF9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CCD56F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70A7E4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1FFD7B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CDD8AF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D7173C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65CD16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B0D5B4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6998B7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D7018B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509712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72A096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D8B212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947989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AB54CC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2A630C7">
            <w:pPr>
              <w:snapToGrid w:val="0"/>
              <w:spacing w:line="240" w:lineRule="atLeast"/>
              <w:jc w:val="center"/>
              <w:rPr>
                <w:rFonts w:ascii="仿宋_GB2312" w:hAnsi="仿宋_GB2312" w:eastAsia="仿宋_GB2312" w:cs="仿宋_GB2312"/>
                <w:sz w:val="20"/>
                <w:szCs w:val="20"/>
              </w:rPr>
            </w:pPr>
          </w:p>
        </w:tc>
      </w:tr>
    </w:tbl>
    <w:p w14:paraId="4DE1B43C"/>
    <w:p w14:paraId="6170F704"/>
    <w:p w14:paraId="4CD7F5D9"/>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5126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33625C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32A7F1F">
            <w:pPr>
              <w:spacing w:line="240" w:lineRule="atLeast"/>
              <w:rPr>
                <w:rFonts w:asciiTheme="majorEastAsia" w:hAnsiTheme="majorEastAsia" w:eastAsiaTheme="majorEastAsia" w:cstheme="majorEastAsia"/>
                <w:spacing w:val="-20"/>
                <w:sz w:val="20"/>
                <w:szCs w:val="20"/>
              </w:rPr>
            </w:pPr>
          </w:p>
          <w:p w14:paraId="6501867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EFC135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55821D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2FF36F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2B6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80C8263">
            <w:pPr>
              <w:spacing w:line="240" w:lineRule="atLeast"/>
              <w:jc w:val="left"/>
              <w:rPr>
                <w:rFonts w:ascii="仿宋_GB2312" w:hAnsi="仿宋_GB2312" w:eastAsia="仿宋_GB2312" w:cs="仿宋_GB2312"/>
                <w:sz w:val="20"/>
                <w:szCs w:val="20"/>
              </w:rPr>
            </w:pPr>
          </w:p>
        </w:tc>
        <w:tc>
          <w:tcPr>
            <w:tcW w:w="555" w:type="dxa"/>
            <w:vMerge w:val="continue"/>
          </w:tcPr>
          <w:p w14:paraId="3083A7D1">
            <w:pPr>
              <w:spacing w:line="240" w:lineRule="atLeast"/>
              <w:jc w:val="left"/>
              <w:rPr>
                <w:rFonts w:ascii="仿宋_GB2312" w:hAnsi="仿宋_GB2312" w:eastAsia="仿宋_GB2312" w:cs="仿宋_GB2312"/>
                <w:sz w:val="20"/>
                <w:szCs w:val="20"/>
              </w:rPr>
            </w:pPr>
          </w:p>
        </w:tc>
        <w:tc>
          <w:tcPr>
            <w:tcW w:w="784" w:type="dxa"/>
            <w:vAlign w:val="center"/>
          </w:tcPr>
          <w:p w14:paraId="109BC5A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9AF683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11D70B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DA7CDD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A3C10A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C081FE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10E2E6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6F9F2A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47B1E1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909129E">
            <w:pPr>
              <w:spacing w:line="240" w:lineRule="atLeast"/>
              <w:jc w:val="left"/>
              <w:rPr>
                <w:rFonts w:ascii="仿宋_GB2312" w:hAnsi="仿宋_GB2312" w:eastAsia="仿宋_GB2312" w:cs="仿宋_GB2312"/>
                <w:sz w:val="20"/>
                <w:szCs w:val="20"/>
              </w:rPr>
            </w:pPr>
          </w:p>
        </w:tc>
      </w:tr>
      <w:tr w14:paraId="38F90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4AFD0F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79</w:t>
            </w:r>
          </w:p>
        </w:tc>
        <w:tc>
          <w:tcPr>
            <w:tcW w:w="555" w:type="dxa"/>
            <w:vAlign w:val="center"/>
          </w:tcPr>
          <w:p w14:paraId="6402189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2F5400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0F509B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34F78B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对违反规定侵占、破坏或者擅自开采钟乳石行为的处罚</w:t>
            </w:r>
          </w:p>
        </w:tc>
        <w:tc>
          <w:tcPr>
            <w:tcW w:w="660" w:type="dxa"/>
            <w:vAlign w:val="center"/>
          </w:tcPr>
          <w:p w14:paraId="08ED419E">
            <w:pPr>
              <w:snapToGrid w:val="0"/>
              <w:spacing w:line="240" w:lineRule="atLeast"/>
              <w:jc w:val="center"/>
              <w:rPr>
                <w:rFonts w:ascii="仿宋_GB2312" w:hAnsi="仿宋_GB2312" w:eastAsia="仿宋_GB2312" w:cs="仿宋_GB2312"/>
                <w:sz w:val="20"/>
                <w:szCs w:val="20"/>
              </w:rPr>
            </w:pPr>
          </w:p>
        </w:tc>
        <w:tc>
          <w:tcPr>
            <w:tcW w:w="615" w:type="dxa"/>
            <w:vAlign w:val="center"/>
          </w:tcPr>
          <w:p w14:paraId="5B6B93F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1305FD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4FE595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四条：钟乳石资源属于国家所有，禁止任何组织或者个人侵占、破坏、擅自开采或者非法经营。</w:t>
            </w:r>
          </w:p>
          <w:p w14:paraId="6B85048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一条：违反本条例第四条规定，侵占、破坏或者擅自开采钟乳石的，由县级以上自然资源主管部门责令停止违法行为、赔偿损失，没收采出的钟乳石和违法所得，可以并处二千元以上十万元以下的罚款；构成犯罪的，依法追究刑事责任。</w:t>
            </w:r>
          </w:p>
        </w:tc>
        <w:tc>
          <w:tcPr>
            <w:tcW w:w="3585" w:type="dxa"/>
            <w:vAlign w:val="center"/>
          </w:tcPr>
          <w:p w14:paraId="63934B3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467D14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558FDE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C8ED6D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4BDB24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6C695E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8E20DE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1A079B3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9D1731C">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F286E4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3BE1CB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E1C3FB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3ACC65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E88586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F247B3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5F0D08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09BE56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24945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D1CE31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1E1EA1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1D7B75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B811C1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E05FE5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6EC9A6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C0DB95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B09204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A19669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3F5FBA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B29D663">
            <w:pPr>
              <w:snapToGrid w:val="0"/>
              <w:spacing w:line="240" w:lineRule="atLeast"/>
              <w:jc w:val="center"/>
              <w:rPr>
                <w:rFonts w:ascii="仿宋_GB2312" w:hAnsi="仿宋_GB2312" w:eastAsia="仿宋_GB2312" w:cs="仿宋_GB2312"/>
                <w:sz w:val="20"/>
                <w:szCs w:val="20"/>
              </w:rPr>
            </w:pPr>
          </w:p>
        </w:tc>
      </w:tr>
    </w:tbl>
    <w:p w14:paraId="76FEDDC2"/>
    <w:p w14:paraId="746E198B"/>
    <w:p w14:paraId="3B8690D7"/>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0579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109EB29">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41768B7">
            <w:pPr>
              <w:spacing w:line="240" w:lineRule="atLeast"/>
              <w:rPr>
                <w:rFonts w:asciiTheme="majorEastAsia" w:hAnsiTheme="majorEastAsia" w:eastAsiaTheme="majorEastAsia" w:cstheme="majorEastAsia"/>
                <w:spacing w:val="-20"/>
                <w:sz w:val="20"/>
                <w:szCs w:val="20"/>
              </w:rPr>
            </w:pPr>
          </w:p>
          <w:p w14:paraId="338B566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5F440E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17979A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DFBC31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177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BB9D3C3">
            <w:pPr>
              <w:spacing w:line="240" w:lineRule="atLeast"/>
              <w:jc w:val="left"/>
              <w:rPr>
                <w:rFonts w:ascii="仿宋_GB2312" w:hAnsi="仿宋_GB2312" w:eastAsia="仿宋_GB2312" w:cs="仿宋_GB2312"/>
                <w:sz w:val="20"/>
                <w:szCs w:val="20"/>
              </w:rPr>
            </w:pPr>
          </w:p>
        </w:tc>
        <w:tc>
          <w:tcPr>
            <w:tcW w:w="555" w:type="dxa"/>
            <w:vMerge w:val="continue"/>
          </w:tcPr>
          <w:p w14:paraId="20149FFF">
            <w:pPr>
              <w:spacing w:line="240" w:lineRule="atLeast"/>
              <w:jc w:val="left"/>
              <w:rPr>
                <w:rFonts w:ascii="仿宋_GB2312" w:hAnsi="仿宋_GB2312" w:eastAsia="仿宋_GB2312" w:cs="仿宋_GB2312"/>
                <w:sz w:val="20"/>
                <w:szCs w:val="20"/>
              </w:rPr>
            </w:pPr>
          </w:p>
        </w:tc>
        <w:tc>
          <w:tcPr>
            <w:tcW w:w="784" w:type="dxa"/>
            <w:vAlign w:val="center"/>
          </w:tcPr>
          <w:p w14:paraId="3D3FF8B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D778D0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812C98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5694FF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E90EB6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EF4B77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101ECA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5C4E03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74952E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485C310">
            <w:pPr>
              <w:spacing w:line="240" w:lineRule="atLeast"/>
              <w:jc w:val="left"/>
              <w:rPr>
                <w:rFonts w:ascii="仿宋_GB2312" w:hAnsi="仿宋_GB2312" w:eastAsia="仿宋_GB2312" w:cs="仿宋_GB2312"/>
                <w:sz w:val="20"/>
                <w:szCs w:val="20"/>
              </w:rPr>
            </w:pPr>
          </w:p>
        </w:tc>
      </w:tr>
      <w:tr w14:paraId="7E8EE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54F509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80</w:t>
            </w:r>
          </w:p>
        </w:tc>
        <w:tc>
          <w:tcPr>
            <w:tcW w:w="555" w:type="dxa"/>
            <w:vAlign w:val="center"/>
          </w:tcPr>
          <w:p w14:paraId="1FD351A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F20DD9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B54250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0FF895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对违反规定未取得采矿许可证擅自采集钟乳石行为的处罚</w:t>
            </w:r>
          </w:p>
        </w:tc>
        <w:tc>
          <w:tcPr>
            <w:tcW w:w="660" w:type="dxa"/>
            <w:vAlign w:val="center"/>
          </w:tcPr>
          <w:p w14:paraId="1AE7F591">
            <w:pPr>
              <w:snapToGrid w:val="0"/>
              <w:spacing w:line="240" w:lineRule="atLeast"/>
              <w:jc w:val="center"/>
              <w:rPr>
                <w:rFonts w:ascii="仿宋_GB2312" w:hAnsi="仿宋_GB2312" w:eastAsia="仿宋_GB2312" w:cs="仿宋_GB2312"/>
                <w:sz w:val="20"/>
                <w:szCs w:val="20"/>
              </w:rPr>
            </w:pPr>
          </w:p>
        </w:tc>
        <w:tc>
          <w:tcPr>
            <w:tcW w:w="615" w:type="dxa"/>
            <w:vAlign w:val="center"/>
          </w:tcPr>
          <w:p w14:paraId="5F4A747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3599AD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89B486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七条：因铁路、公路、桥梁、机场、水利等重大工程建设致使钟乳石洞穴中的钟乳石无法保留，确需采集该洞穴内钟乳石的，建设单位应当及时向当地县级以上自然资源主管部门报告。采集人应当向自治区自然资源主管部门申请领取采矿许可证后，方可采集。</w:t>
            </w:r>
          </w:p>
          <w:p w14:paraId="3E66A81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第二十二条：违反本条例第七条规定，未取得采矿许可证擅自采集钟乳石的，由县级以上自然资源主管部门责令停止采集、赔偿损失，没收采出的钟乳石；情节严重的，可以并处二千元以上十万元以下的罚款。</w:t>
            </w:r>
          </w:p>
        </w:tc>
        <w:tc>
          <w:tcPr>
            <w:tcW w:w="3585" w:type="dxa"/>
            <w:vAlign w:val="center"/>
          </w:tcPr>
          <w:p w14:paraId="09A1715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4E4E73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E20E56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2D1086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BBB11D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7360B5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990D17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9A69F3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304E6E9">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E6A5499">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5DD0B5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32606E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F7D6B8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B89D96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248E9A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837BB11">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9ADA9B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3EA1A4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3C0ACD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4CD7D9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B210E0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FF0AF5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35DAE1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79F833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4551CB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723580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543FF3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E57B89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4C1D6F0">
            <w:pPr>
              <w:snapToGrid w:val="0"/>
              <w:spacing w:line="240" w:lineRule="atLeast"/>
              <w:jc w:val="center"/>
              <w:rPr>
                <w:rFonts w:ascii="仿宋_GB2312" w:hAnsi="仿宋_GB2312" w:eastAsia="仿宋_GB2312" w:cs="仿宋_GB2312"/>
                <w:sz w:val="20"/>
                <w:szCs w:val="20"/>
              </w:rPr>
            </w:pPr>
          </w:p>
        </w:tc>
      </w:tr>
    </w:tbl>
    <w:p w14:paraId="037F61FB"/>
    <w:p w14:paraId="4BB197E5"/>
    <w:p w14:paraId="5E9D784B"/>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1161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88BA94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B05D536">
            <w:pPr>
              <w:spacing w:line="240" w:lineRule="atLeast"/>
              <w:rPr>
                <w:rFonts w:asciiTheme="majorEastAsia" w:hAnsiTheme="majorEastAsia" w:eastAsiaTheme="majorEastAsia" w:cstheme="majorEastAsia"/>
                <w:spacing w:val="-20"/>
                <w:sz w:val="20"/>
                <w:szCs w:val="20"/>
              </w:rPr>
            </w:pPr>
          </w:p>
          <w:p w14:paraId="5C6E498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28B52D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E3F298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56A997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A94D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55D8EEC">
            <w:pPr>
              <w:spacing w:line="240" w:lineRule="atLeast"/>
              <w:jc w:val="left"/>
              <w:rPr>
                <w:rFonts w:ascii="仿宋_GB2312" w:hAnsi="仿宋_GB2312" w:eastAsia="仿宋_GB2312" w:cs="仿宋_GB2312"/>
                <w:sz w:val="20"/>
                <w:szCs w:val="20"/>
              </w:rPr>
            </w:pPr>
          </w:p>
        </w:tc>
        <w:tc>
          <w:tcPr>
            <w:tcW w:w="555" w:type="dxa"/>
            <w:vMerge w:val="continue"/>
          </w:tcPr>
          <w:p w14:paraId="5075C109">
            <w:pPr>
              <w:spacing w:line="240" w:lineRule="atLeast"/>
              <w:jc w:val="left"/>
              <w:rPr>
                <w:rFonts w:ascii="仿宋_GB2312" w:hAnsi="仿宋_GB2312" w:eastAsia="仿宋_GB2312" w:cs="仿宋_GB2312"/>
                <w:sz w:val="20"/>
                <w:szCs w:val="20"/>
              </w:rPr>
            </w:pPr>
          </w:p>
        </w:tc>
        <w:tc>
          <w:tcPr>
            <w:tcW w:w="784" w:type="dxa"/>
            <w:vAlign w:val="center"/>
          </w:tcPr>
          <w:p w14:paraId="5B5E67F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4F165A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52102D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64A52E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899955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820059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7A6750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8BDA6B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2D1F14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B2E2713">
            <w:pPr>
              <w:spacing w:line="240" w:lineRule="atLeast"/>
              <w:jc w:val="left"/>
              <w:rPr>
                <w:rFonts w:ascii="仿宋_GB2312" w:hAnsi="仿宋_GB2312" w:eastAsia="仿宋_GB2312" w:cs="仿宋_GB2312"/>
                <w:sz w:val="20"/>
                <w:szCs w:val="20"/>
              </w:rPr>
            </w:pPr>
          </w:p>
        </w:tc>
      </w:tr>
      <w:tr w14:paraId="41EA7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79B682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81</w:t>
            </w:r>
          </w:p>
        </w:tc>
        <w:tc>
          <w:tcPr>
            <w:tcW w:w="555" w:type="dxa"/>
            <w:vAlign w:val="center"/>
          </w:tcPr>
          <w:p w14:paraId="61F9376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22B792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3F2D32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ED44B4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对违反规定出售钟乳石样品行为的处罚</w:t>
            </w:r>
          </w:p>
        </w:tc>
        <w:tc>
          <w:tcPr>
            <w:tcW w:w="660" w:type="dxa"/>
            <w:vAlign w:val="center"/>
          </w:tcPr>
          <w:p w14:paraId="0A3ACFF3">
            <w:pPr>
              <w:snapToGrid w:val="0"/>
              <w:spacing w:line="240" w:lineRule="atLeast"/>
              <w:jc w:val="center"/>
              <w:rPr>
                <w:rFonts w:ascii="仿宋_GB2312" w:hAnsi="仿宋_GB2312" w:eastAsia="仿宋_GB2312" w:cs="仿宋_GB2312"/>
                <w:sz w:val="20"/>
                <w:szCs w:val="20"/>
              </w:rPr>
            </w:pPr>
          </w:p>
        </w:tc>
        <w:tc>
          <w:tcPr>
            <w:tcW w:w="615" w:type="dxa"/>
            <w:vAlign w:val="center"/>
          </w:tcPr>
          <w:p w14:paraId="422A3F9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FE2A6B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F30806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八条第二款 ：依照前款规定采集的钟乳石样品，不得出售。</w:t>
            </w:r>
          </w:p>
          <w:p w14:paraId="421CDD5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第二十三条：违反本条例第八条第二款规定，出售钟乳石样品的，由县级以上自然资源主管部门没收违法所得，可以并处一万元以下的罚款。</w:t>
            </w:r>
          </w:p>
        </w:tc>
        <w:tc>
          <w:tcPr>
            <w:tcW w:w="3585" w:type="dxa"/>
            <w:vAlign w:val="center"/>
          </w:tcPr>
          <w:p w14:paraId="55A9376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175147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65DE95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572D0D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90D056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72AEC38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887844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8AC2AD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DB4719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AC82ABA">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D35A4B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42F21A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4CCEB2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4F46AE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B5FE21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53D067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6500E8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1C06D2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E03083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1B0BDE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470744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9E378C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AF7219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788927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EB8F15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74474F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13825A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1AEF30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F17AFB7">
            <w:pPr>
              <w:snapToGrid w:val="0"/>
              <w:spacing w:line="240" w:lineRule="atLeast"/>
              <w:jc w:val="center"/>
              <w:rPr>
                <w:rFonts w:ascii="仿宋_GB2312" w:hAnsi="仿宋_GB2312" w:eastAsia="仿宋_GB2312" w:cs="仿宋_GB2312"/>
                <w:sz w:val="20"/>
                <w:szCs w:val="20"/>
              </w:rPr>
            </w:pPr>
          </w:p>
        </w:tc>
      </w:tr>
    </w:tbl>
    <w:p w14:paraId="6DA1D428"/>
    <w:p w14:paraId="70781405"/>
    <w:p w14:paraId="5F913A4E"/>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1CC8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D56B43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1C58E46">
            <w:pPr>
              <w:spacing w:line="240" w:lineRule="atLeast"/>
              <w:rPr>
                <w:rFonts w:asciiTheme="majorEastAsia" w:hAnsiTheme="majorEastAsia" w:eastAsiaTheme="majorEastAsia" w:cstheme="majorEastAsia"/>
                <w:spacing w:val="-20"/>
                <w:sz w:val="20"/>
                <w:szCs w:val="20"/>
              </w:rPr>
            </w:pPr>
          </w:p>
          <w:p w14:paraId="7CB8AAD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CD2BDE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A015E8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4E0FA0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31DE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AF9876F">
            <w:pPr>
              <w:spacing w:line="240" w:lineRule="atLeast"/>
              <w:jc w:val="left"/>
              <w:rPr>
                <w:rFonts w:ascii="仿宋_GB2312" w:hAnsi="仿宋_GB2312" w:eastAsia="仿宋_GB2312" w:cs="仿宋_GB2312"/>
                <w:sz w:val="20"/>
                <w:szCs w:val="20"/>
              </w:rPr>
            </w:pPr>
          </w:p>
        </w:tc>
        <w:tc>
          <w:tcPr>
            <w:tcW w:w="555" w:type="dxa"/>
            <w:vMerge w:val="continue"/>
          </w:tcPr>
          <w:p w14:paraId="62AB6608">
            <w:pPr>
              <w:spacing w:line="240" w:lineRule="atLeast"/>
              <w:jc w:val="left"/>
              <w:rPr>
                <w:rFonts w:ascii="仿宋_GB2312" w:hAnsi="仿宋_GB2312" w:eastAsia="仿宋_GB2312" w:cs="仿宋_GB2312"/>
                <w:sz w:val="20"/>
                <w:szCs w:val="20"/>
              </w:rPr>
            </w:pPr>
          </w:p>
        </w:tc>
        <w:tc>
          <w:tcPr>
            <w:tcW w:w="784" w:type="dxa"/>
            <w:vAlign w:val="center"/>
          </w:tcPr>
          <w:p w14:paraId="6DEA20C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506393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89B55E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47A09F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31BAB2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23F7FE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191A70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8EB13E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63BBD2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FE45134">
            <w:pPr>
              <w:spacing w:line="240" w:lineRule="atLeast"/>
              <w:jc w:val="left"/>
              <w:rPr>
                <w:rFonts w:ascii="仿宋_GB2312" w:hAnsi="仿宋_GB2312" w:eastAsia="仿宋_GB2312" w:cs="仿宋_GB2312"/>
                <w:sz w:val="20"/>
                <w:szCs w:val="20"/>
              </w:rPr>
            </w:pPr>
          </w:p>
        </w:tc>
      </w:tr>
      <w:tr w14:paraId="108EA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AEA63B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82</w:t>
            </w:r>
          </w:p>
        </w:tc>
        <w:tc>
          <w:tcPr>
            <w:tcW w:w="555" w:type="dxa"/>
            <w:vAlign w:val="center"/>
          </w:tcPr>
          <w:p w14:paraId="764972B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A4BE92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AB9471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05BF42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对违反规定未按照批准的采集方案采集或者使用破坏性的爆破、击打等方式采集钟乳石行为的处罚</w:t>
            </w:r>
          </w:p>
        </w:tc>
        <w:tc>
          <w:tcPr>
            <w:tcW w:w="660" w:type="dxa"/>
            <w:vAlign w:val="center"/>
          </w:tcPr>
          <w:p w14:paraId="12E9A31E">
            <w:pPr>
              <w:snapToGrid w:val="0"/>
              <w:spacing w:line="240" w:lineRule="atLeast"/>
              <w:jc w:val="center"/>
              <w:rPr>
                <w:rFonts w:ascii="仿宋_GB2312" w:hAnsi="仿宋_GB2312" w:eastAsia="仿宋_GB2312" w:cs="仿宋_GB2312"/>
                <w:sz w:val="20"/>
                <w:szCs w:val="20"/>
              </w:rPr>
            </w:pPr>
          </w:p>
        </w:tc>
        <w:tc>
          <w:tcPr>
            <w:tcW w:w="615" w:type="dxa"/>
            <w:vAlign w:val="center"/>
          </w:tcPr>
          <w:p w14:paraId="0EEAD88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09D6A8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D3F8A3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十一条：钟乳石采集人必须按照批准的采集方案采集，禁止使用破坏性的爆破、击打等方式采集钟乳石。</w:t>
            </w:r>
          </w:p>
          <w:p w14:paraId="6BE3200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四条：违反本条例第十一条规定，未按照批准的采集方案采集或者使用破坏性的爆破、击打等方式采集钟乳石的，由县级以上自然资源主管部门处以一千元以上五万元以下的罚款，可以并处吊销采矿许可证；造成矿产资源严重破坏的，依照刑法有关规定对直接责任人员追究刑事责任。</w:t>
            </w:r>
          </w:p>
        </w:tc>
        <w:tc>
          <w:tcPr>
            <w:tcW w:w="3585" w:type="dxa"/>
            <w:vAlign w:val="center"/>
          </w:tcPr>
          <w:p w14:paraId="7BE8A3E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CE6B77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3607A8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544F20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2F9CCD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A95A1F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20EDFA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9C4E4F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F4BE699">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77544D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7DAF4A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3696BE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6E28E0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E53B9B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80A9EC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4A587F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D7671D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0A8755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7D2F9B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36DFB0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3AEBD7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08D7C5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982625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E9FF65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729D0A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61F579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4C6EC7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85C4BE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5A72D00">
            <w:pPr>
              <w:snapToGrid w:val="0"/>
              <w:spacing w:line="240" w:lineRule="atLeast"/>
              <w:jc w:val="center"/>
              <w:rPr>
                <w:rFonts w:ascii="仿宋_GB2312" w:hAnsi="仿宋_GB2312" w:eastAsia="仿宋_GB2312" w:cs="仿宋_GB2312"/>
                <w:sz w:val="20"/>
                <w:szCs w:val="20"/>
              </w:rPr>
            </w:pPr>
          </w:p>
        </w:tc>
      </w:tr>
    </w:tbl>
    <w:p w14:paraId="1EB610BC"/>
    <w:p w14:paraId="27319F09"/>
    <w:p w14:paraId="046949B9"/>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611"/>
        <w:gridCol w:w="784"/>
        <w:gridCol w:w="660"/>
        <w:gridCol w:w="615"/>
        <w:gridCol w:w="1110"/>
        <w:gridCol w:w="4605"/>
        <w:gridCol w:w="3585"/>
        <w:gridCol w:w="9515"/>
        <w:gridCol w:w="330"/>
      </w:tblGrid>
      <w:tr w14:paraId="51D16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555" w:type="dxa"/>
            <w:vMerge w:val="restart"/>
            <w:vAlign w:val="center"/>
          </w:tcPr>
          <w:p w14:paraId="0155918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611" w:type="dxa"/>
            <w:vMerge w:val="restart"/>
            <w:vAlign w:val="center"/>
          </w:tcPr>
          <w:p w14:paraId="32502038">
            <w:pPr>
              <w:spacing w:line="240" w:lineRule="atLeast"/>
              <w:rPr>
                <w:rFonts w:asciiTheme="majorEastAsia" w:hAnsiTheme="majorEastAsia" w:eastAsiaTheme="majorEastAsia" w:cstheme="majorEastAsia"/>
                <w:spacing w:val="-20"/>
                <w:sz w:val="20"/>
                <w:szCs w:val="20"/>
              </w:rPr>
            </w:pPr>
          </w:p>
          <w:p w14:paraId="5ABC49F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7B0F67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828E61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094960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EBB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55" w:type="dxa"/>
            <w:vMerge w:val="continue"/>
          </w:tcPr>
          <w:p w14:paraId="7B62D1C7">
            <w:pPr>
              <w:spacing w:line="240" w:lineRule="atLeast"/>
              <w:jc w:val="left"/>
              <w:rPr>
                <w:rFonts w:ascii="仿宋_GB2312" w:hAnsi="仿宋_GB2312" w:eastAsia="仿宋_GB2312" w:cs="仿宋_GB2312"/>
                <w:sz w:val="20"/>
                <w:szCs w:val="20"/>
              </w:rPr>
            </w:pPr>
          </w:p>
        </w:tc>
        <w:tc>
          <w:tcPr>
            <w:tcW w:w="611" w:type="dxa"/>
            <w:vMerge w:val="continue"/>
          </w:tcPr>
          <w:p w14:paraId="7BFF57B2">
            <w:pPr>
              <w:spacing w:line="240" w:lineRule="atLeast"/>
              <w:jc w:val="left"/>
              <w:rPr>
                <w:rFonts w:ascii="仿宋_GB2312" w:hAnsi="仿宋_GB2312" w:eastAsia="仿宋_GB2312" w:cs="仿宋_GB2312"/>
                <w:sz w:val="20"/>
                <w:szCs w:val="20"/>
              </w:rPr>
            </w:pPr>
          </w:p>
        </w:tc>
        <w:tc>
          <w:tcPr>
            <w:tcW w:w="784" w:type="dxa"/>
            <w:vAlign w:val="center"/>
          </w:tcPr>
          <w:p w14:paraId="062BB40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AAF84B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898D2C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3606A8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C72C93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0B5F9D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0500AF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720570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DD9282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0901BCD">
            <w:pPr>
              <w:spacing w:line="240" w:lineRule="atLeast"/>
              <w:jc w:val="left"/>
              <w:rPr>
                <w:rFonts w:ascii="仿宋_GB2312" w:hAnsi="仿宋_GB2312" w:eastAsia="仿宋_GB2312" w:cs="仿宋_GB2312"/>
                <w:sz w:val="20"/>
                <w:szCs w:val="20"/>
              </w:rPr>
            </w:pPr>
          </w:p>
        </w:tc>
      </w:tr>
      <w:tr w14:paraId="76E75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555" w:type="dxa"/>
            <w:vAlign w:val="center"/>
          </w:tcPr>
          <w:p w14:paraId="613640A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83</w:t>
            </w:r>
          </w:p>
        </w:tc>
        <w:tc>
          <w:tcPr>
            <w:tcW w:w="611" w:type="dxa"/>
            <w:vAlign w:val="center"/>
          </w:tcPr>
          <w:p w14:paraId="2CC7790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9FF8B8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E00F3C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9BA959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对违反规定未经批准擅自开发钟乳石洞穴进行旅游活动行为的处罚</w:t>
            </w:r>
          </w:p>
        </w:tc>
        <w:tc>
          <w:tcPr>
            <w:tcW w:w="660" w:type="dxa"/>
            <w:vAlign w:val="center"/>
          </w:tcPr>
          <w:p w14:paraId="47F4E6B5">
            <w:pPr>
              <w:snapToGrid w:val="0"/>
              <w:spacing w:line="240" w:lineRule="atLeast"/>
              <w:jc w:val="center"/>
              <w:rPr>
                <w:rFonts w:ascii="仿宋_GB2312" w:hAnsi="仿宋_GB2312" w:eastAsia="仿宋_GB2312" w:cs="仿宋_GB2312"/>
                <w:sz w:val="20"/>
                <w:szCs w:val="20"/>
              </w:rPr>
            </w:pPr>
          </w:p>
        </w:tc>
        <w:tc>
          <w:tcPr>
            <w:tcW w:w="615" w:type="dxa"/>
            <w:vAlign w:val="center"/>
          </w:tcPr>
          <w:p w14:paraId="2C943EF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CBD560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FA0408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十三条第一款 ：开发钟乳石洞穴进行旅游活动，由开发地设区的市自然资源主管部门征求设区的市文化和旅游主管部门的意见后批准。</w:t>
            </w:r>
          </w:p>
          <w:p w14:paraId="7321B3A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第二十五条：违反本条例第十三条第一款规定，未经批准擅自开发钟乳石洞穴进行旅游活动的，由县级以上自然资源主管部门给予警告，责令停止开发行为；情节严重的，可以并处二千元以上十万元以下的罚款。</w:t>
            </w:r>
          </w:p>
        </w:tc>
        <w:tc>
          <w:tcPr>
            <w:tcW w:w="3585" w:type="dxa"/>
            <w:vAlign w:val="center"/>
          </w:tcPr>
          <w:p w14:paraId="604154C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3FF366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8BEE6E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D29ACC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61DB32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3ED0BE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BCCC6B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5EB025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1BE6E2C">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FA94BC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039583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467B90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93EC3A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394230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4E93ED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59461F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9AB972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8E39FB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AEA631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6B225F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481C6D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71C54C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997904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B32C10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ADDE13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EC1AC7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7370FF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D50D24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2AB66E1">
            <w:pPr>
              <w:snapToGrid w:val="0"/>
              <w:spacing w:line="240" w:lineRule="atLeast"/>
              <w:jc w:val="center"/>
              <w:rPr>
                <w:rFonts w:ascii="仿宋_GB2312" w:hAnsi="仿宋_GB2312" w:eastAsia="仿宋_GB2312" w:cs="仿宋_GB2312"/>
                <w:sz w:val="20"/>
                <w:szCs w:val="20"/>
              </w:rPr>
            </w:pPr>
          </w:p>
        </w:tc>
      </w:tr>
    </w:tbl>
    <w:p w14:paraId="0253F03A"/>
    <w:p w14:paraId="6A9DE0EE"/>
    <w:p w14:paraId="50E12FA7"/>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E3B9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425658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007947B">
            <w:pPr>
              <w:spacing w:line="240" w:lineRule="atLeast"/>
              <w:rPr>
                <w:rFonts w:asciiTheme="majorEastAsia" w:hAnsiTheme="majorEastAsia" w:eastAsiaTheme="majorEastAsia" w:cstheme="majorEastAsia"/>
                <w:spacing w:val="-20"/>
                <w:sz w:val="20"/>
                <w:szCs w:val="20"/>
              </w:rPr>
            </w:pPr>
          </w:p>
          <w:p w14:paraId="6121700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8D1A71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AEDFD1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708235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AA46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FF25550">
            <w:pPr>
              <w:spacing w:line="240" w:lineRule="atLeast"/>
              <w:jc w:val="left"/>
              <w:rPr>
                <w:rFonts w:ascii="仿宋_GB2312" w:hAnsi="仿宋_GB2312" w:eastAsia="仿宋_GB2312" w:cs="仿宋_GB2312"/>
                <w:sz w:val="20"/>
                <w:szCs w:val="20"/>
              </w:rPr>
            </w:pPr>
          </w:p>
        </w:tc>
        <w:tc>
          <w:tcPr>
            <w:tcW w:w="555" w:type="dxa"/>
            <w:vMerge w:val="continue"/>
          </w:tcPr>
          <w:p w14:paraId="51495758">
            <w:pPr>
              <w:spacing w:line="240" w:lineRule="atLeast"/>
              <w:jc w:val="left"/>
              <w:rPr>
                <w:rFonts w:ascii="仿宋_GB2312" w:hAnsi="仿宋_GB2312" w:eastAsia="仿宋_GB2312" w:cs="仿宋_GB2312"/>
                <w:sz w:val="20"/>
                <w:szCs w:val="20"/>
              </w:rPr>
            </w:pPr>
          </w:p>
        </w:tc>
        <w:tc>
          <w:tcPr>
            <w:tcW w:w="784" w:type="dxa"/>
            <w:vAlign w:val="center"/>
          </w:tcPr>
          <w:p w14:paraId="3716CA1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976DAB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1360CB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CC96B6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2621E3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5F7803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5AB488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E65EF3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F91103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34E2009">
            <w:pPr>
              <w:spacing w:line="240" w:lineRule="atLeast"/>
              <w:jc w:val="left"/>
              <w:rPr>
                <w:rFonts w:ascii="仿宋_GB2312" w:hAnsi="仿宋_GB2312" w:eastAsia="仿宋_GB2312" w:cs="仿宋_GB2312"/>
                <w:sz w:val="20"/>
                <w:szCs w:val="20"/>
              </w:rPr>
            </w:pPr>
          </w:p>
        </w:tc>
      </w:tr>
      <w:tr w14:paraId="3B301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A9569C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84</w:t>
            </w:r>
          </w:p>
        </w:tc>
        <w:tc>
          <w:tcPr>
            <w:tcW w:w="555" w:type="dxa"/>
            <w:vAlign w:val="center"/>
          </w:tcPr>
          <w:p w14:paraId="5C47472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272545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BCE83A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C8E9F2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对违反规定采集钟乳石的类型、数量、具体位置未经核准或者经核准后未委托有相应资质条件的专业人员采集行为的处罚</w:t>
            </w:r>
          </w:p>
        </w:tc>
        <w:tc>
          <w:tcPr>
            <w:tcW w:w="660" w:type="dxa"/>
            <w:vAlign w:val="center"/>
          </w:tcPr>
          <w:p w14:paraId="036F6857">
            <w:pPr>
              <w:snapToGrid w:val="0"/>
              <w:spacing w:line="240" w:lineRule="atLeast"/>
              <w:jc w:val="center"/>
              <w:rPr>
                <w:rFonts w:ascii="仿宋_GB2312" w:hAnsi="仿宋_GB2312" w:eastAsia="仿宋_GB2312" w:cs="仿宋_GB2312"/>
                <w:sz w:val="20"/>
                <w:szCs w:val="20"/>
              </w:rPr>
            </w:pPr>
          </w:p>
        </w:tc>
        <w:tc>
          <w:tcPr>
            <w:tcW w:w="615" w:type="dxa"/>
            <w:vAlign w:val="center"/>
          </w:tcPr>
          <w:p w14:paraId="405A192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B2058B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83A982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十四条第二款 ： 因兴建洞穴内游览道路、照明灯光等旅游设施确需采集钟乳石的，采集钟乳石的类型、数量、具体位置应当报自治区自然资源主管部门核准。</w:t>
            </w:r>
          </w:p>
          <w:p w14:paraId="4B0AF99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第二十六条：违反本条例第十四条第二款规定，采集钟乳石的类型、数量、具体位置未经核准的，由县级以上自然资源主管部门责令停止采集，可以并处一千元以上五万元以下的罚款。</w:t>
            </w:r>
          </w:p>
        </w:tc>
        <w:tc>
          <w:tcPr>
            <w:tcW w:w="3585" w:type="dxa"/>
            <w:vAlign w:val="center"/>
          </w:tcPr>
          <w:p w14:paraId="58EE8E0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BC3927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A34AE9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8D9374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D293A3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E45C84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D66057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A46283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C4180F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569847F">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E5B51E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2F7B11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5A1617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C695DC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3B5B75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BB8F0D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CF4DE7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43DE22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FA2BC8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595CED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BF78A4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D84E5E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26F09C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1560E6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9072D4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3C1343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42C4E1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3BC0DC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B303893">
            <w:pPr>
              <w:snapToGrid w:val="0"/>
              <w:spacing w:line="240" w:lineRule="atLeast"/>
              <w:jc w:val="center"/>
              <w:rPr>
                <w:rFonts w:ascii="仿宋_GB2312" w:hAnsi="仿宋_GB2312" w:eastAsia="仿宋_GB2312" w:cs="仿宋_GB2312"/>
                <w:sz w:val="20"/>
                <w:szCs w:val="20"/>
              </w:rPr>
            </w:pPr>
          </w:p>
        </w:tc>
      </w:tr>
    </w:tbl>
    <w:p w14:paraId="76CCAA1E"/>
    <w:p w14:paraId="3A6C3749"/>
    <w:p w14:paraId="0A4DE4BB"/>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D5CE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C26F66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D604311">
            <w:pPr>
              <w:spacing w:line="240" w:lineRule="atLeast"/>
              <w:rPr>
                <w:rFonts w:asciiTheme="majorEastAsia" w:hAnsiTheme="majorEastAsia" w:eastAsiaTheme="majorEastAsia" w:cstheme="majorEastAsia"/>
                <w:spacing w:val="-20"/>
                <w:sz w:val="20"/>
                <w:szCs w:val="20"/>
              </w:rPr>
            </w:pPr>
          </w:p>
          <w:p w14:paraId="22C5DD9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9DB9DA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A4DA4D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5FA0A7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033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061E421">
            <w:pPr>
              <w:spacing w:line="240" w:lineRule="atLeast"/>
              <w:jc w:val="left"/>
              <w:rPr>
                <w:rFonts w:ascii="仿宋_GB2312" w:hAnsi="仿宋_GB2312" w:eastAsia="仿宋_GB2312" w:cs="仿宋_GB2312"/>
                <w:sz w:val="20"/>
                <w:szCs w:val="20"/>
              </w:rPr>
            </w:pPr>
          </w:p>
        </w:tc>
        <w:tc>
          <w:tcPr>
            <w:tcW w:w="555" w:type="dxa"/>
            <w:vMerge w:val="continue"/>
          </w:tcPr>
          <w:p w14:paraId="583823CA">
            <w:pPr>
              <w:spacing w:line="240" w:lineRule="atLeast"/>
              <w:jc w:val="left"/>
              <w:rPr>
                <w:rFonts w:ascii="仿宋_GB2312" w:hAnsi="仿宋_GB2312" w:eastAsia="仿宋_GB2312" w:cs="仿宋_GB2312"/>
                <w:sz w:val="20"/>
                <w:szCs w:val="20"/>
              </w:rPr>
            </w:pPr>
          </w:p>
        </w:tc>
        <w:tc>
          <w:tcPr>
            <w:tcW w:w="784" w:type="dxa"/>
            <w:vAlign w:val="center"/>
          </w:tcPr>
          <w:p w14:paraId="3BDF866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FC6070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0A27E7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2278A0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50AB20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AE964E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51E901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3603DD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1CB9BE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E515D1A">
            <w:pPr>
              <w:spacing w:line="240" w:lineRule="atLeast"/>
              <w:jc w:val="left"/>
              <w:rPr>
                <w:rFonts w:ascii="仿宋_GB2312" w:hAnsi="仿宋_GB2312" w:eastAsia="仿宋_GB2312" w:cs="仿宋_GB2312"/>
                <w:sz w:val="20"/>
                <w:szCs w:val="20"/>
              </w:rPr>
            </w:pPr>
          </w:p>
        </w:tc>
      </w:tr>
      <w:tr w14:paraId="347B1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EED323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85</w:t>
            </w:r>
          </w:p>
        </w:tc>
        <w:tc>
          <w:tcPr>
            <w:tcW w:w="555" w:type="dxa"/>
            <w:vAlign w:val="center"/>
          </w:tcPr>
          <w:p w14:paraId="7F5DDB2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7348A7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E5DDE3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7FD4E3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对违反规定实施损坏钟乳石行为的处罚</w:t>
            </w:r>
          </w:p>
        </w:tc>
        <w:tc>
          <w:tcPr>
            <w:tcW w:w="660" w:type="dxa"/>
            <w:vAlign w:val="center"/>
          </w:tcPr>
          <w:p w14:paraId="15316B22">
            <w:pPr>
              <w:snapToGrid w:val="0"/>
              <w:spacing w:line="240" w:lineRule="atLeast"/>
              <w:jc w:val="center"/>
              <w:rPr>
                <w:rFonts w:ascii="仿宋_GB2312" w:hAnsi="仿宋_GB2312" w:eastAsia="仿宋_GB2312" w:cs="仿宋_GB2312"/>
                <w:sz w:val="20"/>
                <w:szCs w:val="20"/>
              </w:rPr>
            </w:pPr>
          </w:p>
        </w:tc>
        <w:tc>
          <w:tcPr>
            <w:tcW w:w="615" w:type="dxa"/>
            <w:vAlign w:val="center"/>
          </w:tcPr>
          <w:p w14:paraId="471D8B2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0AC76D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E6B8D8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十五条第二款：进入洞穴的旅游者和其他人员不得损坏钟乳石。</w:t>
            </w:r>
          </w:p>
          <w:p w14:paraId="1F5546E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第二十七条：违反本条例第十五条第二款规定，实施损坏钟乳石行为的，由县级以上自然资源主管部门给予警告，责令停止损坏行为；造成钟乳石损坏的，责令赔偿损失。</w:t>
            </w:r>
          </w:p>
        </w:tc>
        <w:tc>
          <w:tcPr>
            <w:tcW w:w="3585" w:type="dxa"/>
            <w:vAlign w:val="center"/>
          </w:tcPr>
          <w:p w14:paraId="4CD580C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24DA1D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50E2D3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5B92EE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1B236F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AA6030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648423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CFC50F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C04CC3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02E3DD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4A8DD2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7D04ED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7FD154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B9BAA8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96D71A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63E8A4F">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16C648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45A1D3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3684F7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6DF11F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A3648A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034706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FDCAD5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198532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514381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399CF6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8B32B7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94889D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95017A5">
            <w:pPr>
              <w:snapToGrid w:val="0"/>
              <w:spacing w:line="240" w:lineRule="atLeast"/>
              <w:jc w:val="center"/>
              <w:rPr>
                <w:rFonts w:ascii="仿宋_GB2312" w:hAnsi="仿宋_GB2312" w:eastAsia="仿宋_GB2312" w:cs="仿宋_GB2312"/>
                <w:sz w:val="20"/>
                <w:szCs w:val="20"/>
              </w:rPr>
            </w:pPr>
          </w:p>
        </w:tc>
      </w:tr>
    </w:tbl>
    <w:p w14:paraId="2739A3DD"/>
    <w:p w14:paraId="5A8F77C1"/>
    <w:p w14:paraId="3568D0DF"/>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1054"/>
        <w:gridCol w:w="645"/>
        <w:gridCol w:w="645"/>
        <w:gridCol w:w="960"/>
        <w:gridCol w:w="4470"/>
        <w:gridCol w:w="3585"/>
        <w:gridCol w:w="9515"/>
        <w:gridCol w:w="330"/>
      </w:tblGrid>
      <w:tr w14:paraId="08FE6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A7292C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6226790">
            <w:pPr>
              <w:spacing w:line="240" w:lineRule="atLeast"/>
              <w:rPr>
                <w:rFonts w:asciiTheme="majorEastAsia" w:hAnsiTheme="majorEastAsia" w:eastAsiaTheme="majorEastAsia" w:cstheme="majorEastAsia"/>
                <w:spacing w:val="-20"/>
                <w:sz w:val="20"/>
                <w:szCs w:val="20"/>
              </w:rPr>
            </w:pPr>
          </w:p>
          <w:p w14:paraId="46E9009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D51576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3B48C0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A13638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B391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6F7FC3B">
            <w:pPr>
              <w:spacing w:line="240" w:lineRule="atLeast"/>
              <w:jc w:val="left"/>
              <w:rPr>
                <w:rFonts w:ascii="仿宋_GB2312" w:hAnsi="仿宋_GB2312" w:eastAsia="仿宋_GB2312" w:cs="仿宋_GB2312"/>
                <w:sz w:val="20"/>
                <w:szCs w:val="20"/>
              </w:rPr>
            </w:pPr>
          </w:p>
        </w:tc>
        <w:tc>
          <w:tcPr>
            <w:tcW w:w="555" w:type="dxa"/>
            <w:vMerge w:val="continue"/>
          </w:tcPr>
          <w:p w14:paraId="1EB910D4">
            <w:pPr>
              <w:spacing w:line="240" w:lineRule="atLeast"/>
              <w:jc w:val="left"/>
              <w:rPr>
                <w:rFonts w:ascii="仿宋_GB2312" w:hAnsi="仿宋_GB2312" w:eastAsia="仿宋_GB2312" w:cs="仿宋_GB2312"/>
                <w:sz w:val="20"/>
                <w:szCs w:val="20"/>
              </w:rPr>
            </w:pPr>
          </w:p>
        </w:tc>
        <w:tc>
          <w:tcPr>
            <w:tcW w:w="1054" w:type="dxa"/>
            <w:vAlign w:val="center"/>
          </w:tcPr>
          <w:p w14:paraId="71554C0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AC5F03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45" w:type="dxa"/>
            <w:vAlign w:val="center"/>
          </w:tcPr>
          <w:p w14:paraId="1E4DD9E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45" w:type="dxa"/>
            <w:vAlign w:val="center"/>
          </w:tcPr>
          <w:p w14:paraId="3F99D6A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960" w:type="dxa"/>
            <w:vAlign w:val="center"/>
          </w:tcPr>
          <w:p w14:paraId="5AB04E4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470" w:type="dxa"/>
            <w:vAlign w:val="center"/>
          </w:tcPr>
          <w:p w14:paraId="788EF39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3EAAB8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EE24F3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34B09A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CEC8399">
            <w:pPr>
              <w:spacing w:line="240" w:lineRule="atLeast"/>
              <w:jc w:val="left"/>
              <w:rPr>
                <w:rFonts w:ascii="仿宋_GB2312" w:hAnsi="仿宋_GB2312" w:eastAsia="仿宋_GB2312" w:cs="仿宋_GB2312"/>
                <w:sz w:val="20"/>
                <w:szCs w:val="20"/>
              </w:rPr>
            </w:pPr>
          </w:p>
        </w:tc>
      </w:tr>
      <w:tr w14:paraId="0B5D4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F7FD75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86</w:t>
            </w:r>
          </w:p>
        </w:tc>
        <w:tc>
          <w:tcPr>
            <w:tcW w:w="555" w:type="dxa"/>
            <w:vAlign w:val="center"/>
          </w:tcPr>
          <w:p w14:paraId="3C4F76F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8EFADE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DEA463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1054" w:type="dxa"/>
            <w:vAlign w:val="center"/>
          </w:tcPr>
          <w:p w14:paraId="5D16947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钟乳石经营者未在其经营的钟乳石上标明来源、采集的时间、地点和钟乳石类型、未随附该钟乳石采集人依法取得的采矿许可证复印件或者未将《广西壮族自治区钟乳石资源保护条例》施行前已采集的钟乳石的有关资料报送当地县级以上自然资源主管部门登记、造册行为的处罚</w:t>
            </w:r>
          </w:p>
        </w:tc>
        <w:tc>
          <w:tcPr>
            <w:tcW w:w="645" w:type="dxa"/>
            <w:vAlign w:val="center"/>
          </w:tcPr>
          <w:p w14:paraId="7010CADF">
            <w:pPr>
              <w:snapToGrid w:val="0"/>
              <w:spacing w:line="240" w:lineRule="atLeast"/>
              <w:jc w:val="center"/>
              <w:rPr>
                <w:rFonts w:ascii="仿宋_GB2312" w:hAnsi="仿宋_GB2312" w:eastAsia="仿宋_GB2312" w:cs="仿宋_GB2312"/>
                <w:sz w:val="20"/>
                <w:szCs w:val="20"/>
              </w:rPr>
            </w:pPr>
          </w:p>
        </w:tc>
        <w:tc>
          <w:tcPr>
            <w:tcW w:w="645" w:type="dxa"/>
            <w:vAlign w:val="center"/>
          </w:tcPr>
          <w:p w14:paraId="4B3AB89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960" w:type="dxa"/>
            <w:vAlign w:val="center"/>
          </w:tcPr>
          <w:p w14:paraId="4C95CCE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470" w:type="dxa"/>
            <w:vAlign w:val="center"/>
          </w:tcPr>
          <w:p w14:paraId="0526A25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二十八条第二款：钟乳石经营者违反本条例第十八条第二款、第四款规定，未在其经营的钟乳石上标明来源、采集的时间、地点和钟乳石类型、未随附该钟乳石采集人依法取得的采矿许可证复印件或者未将本条例施行前已采集的钟乳石的有关资料报送当地县级以上自然资源主管部门登记、造册的，由县级以上市场监督管理部门没收钟乳石和违法所得，可以并处货值一倍以下的罚款。</w:t>
            </w:r>
          </w:p>
        </w:tc>
        <w:tc>
          <w:tcPr>
            <w:tcW w:w="3585" w:type="dxa"/>
            <w:vAlign w:val="center"/>
          </w:tcPr>
          <w:p w14:paraId="7BF059C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365650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BE2BB0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65FAFE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AAD7F2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9AD93C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54F8997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88DD06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B2BD3E0">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A29E2F8">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9EA0A7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B7AC84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E28742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D6D6B5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B9ECAA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05C5FE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7136CB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04F297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3706F9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EEAA0D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B32A55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71737B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FBE6AA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66C8A0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E56DAD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371B33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64317C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B10720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388019D">
            <w:pPr>
              <w:snapToGrid w:val="0"/>
              <w:spacing w:line="240" w:lineRule="atLeast"/>
              <w:jc w:val="center"/>
              <w:rPr>
                <w:rFonts w:ascii="仿宋_GB2312" w:hAnsi="仿宋_GB2312" w:eastAsia="仿宋_GB2312" w:cs="仿宋_GB2312"/>
                <w:sz w:val="20"/>
                <w:szCs w:val="20"/>
              </w:rPr>
            </w:pPr>
          </w:p>
        </w:tc>
      </w:tr>
    </w:tbl>
    <w:p w14:paraId="7D91D182"/>
    <w:p w14:paraId="786C471C"/>
    <w:p w14:paraId="3032AACA"/>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1B97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892675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03400A9">
            <w:pPr>
              <w:spacing w:line="240" w:lineRule="atLeast"/>
              <w:rPr>
                <w:rFonts w:asciiTheme="majorEastAsia" w:hAnsiTheme="majorEastAsia" w:eastAsiaTheme="majorEastAsia" w:cstheme="majorEastAsia"/>
                <w:spacing w:val="-20"/>
                <w:sz w:val="20"/>
                <w:szCs w:val="20"/>
              </w:rPr>
            </w:pPr>
          </w:p>
          <w:p w14:paraId="68964DA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E743D3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DB6923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F2CAB8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D718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E77A9C9">
            <w:pPr>
              <w:spacing w:line="240" w:lineRule="atLeast"/>
              <w:jc w:val="left"/>
              <w:rPr>
                <w:rFonts w:ascii="仿宋_GB2312" w:hAnsi="仿宋_GB2312" w:eastAsia="仿宋_GB2312" w:cs="仿宋_GB2312"/>
                <w:sz w:val="20"/>
                <w:szCs w:val="20"/>
              </w:rPr>
            </w:pPr>
          </w:p>
        </w:tc>
        <w:tc>
          <w:tcPr>
            <w:tcW w:w="555" w:type="dxa"/>
            <w:vMerge w:val="continue"/>
          </w:tcPr>
          <w:p w14:paraId="5DB8AB9B">
            <w:pPr>
              <w:spacing w:line="240" w:lineRule="atLeast"/>
              <w:jc w:val="left"/>
              <w:rPr>
                <w:rFonts w:ascii="仿宋_GB2312" w:hAnsi="仿宋_GB2312" w:eastAsia="仿宋_GB2312" w:cs="仿宋_GB2312"/>
                <w:sz w:val="20"/>
                <w:szCs w:val="20"/>
              </w:rPr>
            </w:pPr>
          </w:p>
        </w:tc>
        <w:tc>
          <w:tcPr>
            <w:tcW w:w="784" w:type="dxa"/>
            <w:vAlign w:val="center"/>
          </w:tcPr>
          <w:p w14:paraId="63CD740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318E37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382C02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65B57E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C5648D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74CBAC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FC3BAB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613D2B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73C823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E061533">
            <w:pPr>
              <w:spacing w:line="240" w:lineRule="atLeast"/>
              <w:jc w:val="left"/>
              <w:rPr>
                <w:rFonts w:ascii="仿宋_GB2312" w:hAnsi="仿宋_GB2312" w:eastAsia="仿宋_GB2312" w:cs="仿宋_GB2312"/>
                <w:sz w:val="20"/>
                <w:szCs w:val="20"/>
              </w:rPr>
            </w:pPr>
          </w:p>
        </w:tc>
      </w:tr>
      <w:tr w14:paraId="32D5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54EC52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87</w:t>
            </w:r>
          </w:p>
        </w:tc>
        <w:tc>
          <w:tcPr>
            <w:tcW w:w="555" w:type="dxa"/>
            <w:vAlign w:val="center"/>
          </w:tcPr>
          <w:p w14:paraId="18F8A8A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D0E95F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BEDA23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F745BD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对钟乳石经营者依法取得营业执照，未办理备案手续行为的处罚</w:t>
            </w:r>
          </w:p>
        </w:tc>
        <w:tc>
          <w:tcPr>
            <w:tcW w:w="660" w:type="dxa"/>
            <w:vAlign w:val="center"/>
          </w:tcPr>
          <w:p w14:paraId="37771760">
            <w:pPr>
              <w:snapToGrid w:val="0"/>
              <w:spacing w:line="240" w:lineRule="atLeast"/>
              <w:jc w:val="center"/>
              <w:rPr>
                <w:rFonts w:ascii="仿宋_GB2312" w:hAnsi="仿宋_GB2312" w:eastAsia="仿宋_GB2312" w:cs="仿宋_GB2312"/>
                <w:sz w:val="20"/>
                <w:szCs w:val="20"/>
              </w:rPr>
            </w:pPr>
          </w:p>
        </w:tc>
        <w:tc>
          <w:tcPr>
            <w:tcW w:w="615" w:type="dxa"/>
            <w:vAlign w:val="center"/>
          </w:tcPr>
          <w:p w14:paraId="34C7BF1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D572EB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009EA8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十八条第一款：从事钟乳石经营活动，应当在依法取得营业执照后，向经营地县级以自然资源主管部门办理备案手续。</w:t>
            </w:r>
          </w:p>
          <w:p w14:paraId="49FEFE9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第二十八条：违反本条例第十八条第一款规定，未办理备案手续的，由县级以上自然资源主管部门，责令限期改正。</w:t>
            </w:r>
          </w:p>
        </w:tc>
        <w:tc>
          <w:tcPr>
            <w:tcW w:w="3585" w:type="dxa"/>
            <w:vAlign w:val="center"/>
          </w:tcPr>
          <w:p w14:paraId="55C8952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6B1105B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2D2D03F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7B4C1F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15B21C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0394E8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18E7CF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104834C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8E25BB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249123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0A8C3D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1C17D4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11B49B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9196D2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8C9BDF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835C01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138AAE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621B90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D78FAA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D0FEA4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E524E7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5A4F63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431D36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3867B7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D2AE54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FB1BB9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E518F8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1EC3D1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0BB42FE">
            <w:pPr>
              <w:snapToGrid w:val="0"/>
              <w:spacing w:line="240" w:lineRule="atLeast"/>
              <w:jc w:val="center"/>
              <w:rPr>
                <w:rFonts w:ascii="仿宋_GB2312" w:hAnsi="仿宋_GB2312" w:eastAsia="仿宋_GB2312" w:cs="仿宋_GB2312"/>
                <w:sz w:val="20"/>
                <w:szCs w:val="20"/>
              </w:rPr>
            </w:pPr>
          </w:p>
        </w:tc>
      </w:tr>
    </w:tbl>
    <w:p w14:paraId="4669952B"/>
    <w:p w14:paraId="3DB253E5"/>
    <w:p w14:paraId="24B8083B"/>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050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28AB81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71E9F8F">
            <w:pPr>
              <w:spacing w:line="240" w:lineRule="atLeast"/>
              <w:rPr>
                <w:rFonts w:asciiTheme="majorEastAsia" w:hAnsiTheme="majorEastAsia" w:eastAsiaTheme="majorEastAsia" w:cstheme="majorEastAsia"/>
                <w:spacing w:val="-20"/>
                <w:sz w:val="20"/>
                <w:szCs w:val="20"/>
              </w:rPr>
            </w:pPr>
          </w:p>
          <w:p w14:paraId="0F7DFE4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EA1F38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D42A18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9C1CC6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8070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A982B88">
            <w:pPr>
              <w:spacing w:line="240" w:lineRule="atLeast"/>
              <w:jc w:val="left"/>
              <w:rPr>
                <w:rFonts w:ascii="仿宋_GB2312" w:hAnsi="仿宋_GB2312" w:eastAsia="仿宋_GB2312" w:cs="仿宋_GB2312"/>
                <w:sz w:val="20"/>
                <w:szCs w:val="20"/>
              </w:rPr>
            </w:pPr>
          </w:p>
        </w:tc>
        <w:tc>
          <w:tcPr>
            <w:tcW w:w="555" w:type="dxa"/>
            <w:vMerge w:val="continue"/>
          </w:tcPr>
          <w:p w14:paraId="4F21DE06">
            <w:pPr>
              <w:spacing w:line="240" w:lineRule="atLeast"/>
              <w:jc w:val="left"/>
              <w:rPr>
                <w:rFonts w:ascii="仿宋_GB2312" w:hAnsi="仿宋_GB2312" w:eastAsia="仿宋_GB2312" w:cs="仿宋_GB2312"/>
                <w:sz w:val="20"/>
                <w:szCs w:val="20"/>
              </w:rPr>
            </w:pPr>
          </w:p>
        </w:tc>
        <w:tc>
          <w:tcPr>
            <w:tcW w:w="784" w:type="dxa"/>
            <w:vAlign w:val="center"/>
          </w:tcPr>
          <w:p w14:paraId="19FB8F0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695C90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6288F0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A0A40D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EBB06D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8602AB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0BB5B6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0BD1E4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6C5425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7053296">
            <w:pPr>
              <w:spacing w:line="240" w:lineRule="atLeast"/>
              <w:jc w:val="left"/>
              <w:rPr>
                <w:rFonts w:ascii="仿宋_GB2312" w:hAnsi="仿宋_GB2312" w:eastAsia="仿宋_GB2312" w:cs="仿宋_GB2312"/>
                <w:sz w:val="20"/>
                <w:szCs w:val="20"/>
              </w:rPr>
            </w:pPr>
          </w:p>
        </w:tc>
      </w:tr>
      <w:tr w14:paraId="40FD7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A40ECC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88</w:t>
            </w:r>
          </w:p>
        </w:tc>
        <w:tc>
          <w:tcPr>
            <w:tcW w:w="555" w:type="dxa"/>
            <w:vAlign w:val="center"/>
          </w:tcPr>
          <w:p w14:paraId="3EE9586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345DC3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56F2B4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1BE0A6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对违反规定未建立钟乳石采集、经营档案或者未将钟乳石经营档案报当地县级以上自然资源主管部门备案行为的处罚</w:t>
            </w:r>
          </w:p>
        </w:tc>
        <w:tc>
          <w:tcPr>
            <w:tcW w:w="660" w:type="dxa"/>
            <w:vAlign w:val="center"/>
          </w:tcPr>
          <w:p w14:paraId="7CA1E2C5">
            <w:pPr>
              <w:snapToGrid w:val="0"/>
              <w:spacing w:line="240" w:lineRule="atLeast"/>
              <w:jc w:val="center"/>
              <w:rPr>
                <w:rFonts w:ascii="仿宋_GB2312" w:hAnsi="仿宋_GB2312" w:eastAsia="仿宋_GB2312" w:cs="仿宋_GB2312"/>
                <w:sz w:val="20"/>
                <w:szCs w:val="20"/>
              </w:rPr>
            </w:pPr>
          </w:p>
        </w:tc>
        <w:tc>
          <w:tcPr>
            <w:tcW w:w="615" w:type="dxa"/>
            <w:vAlign w:val="center"/>
          </w:tcPr>
          <w:p w14:paraId="7A4747B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D7F1E0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28E808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十条：钟乳石采集人应当建立钟乳石采集档案，载明采集的钟乳石类型、数量、销售去向等内容。</w:t>
            </w:r>
          </w:p>
          <w:p w14:paraId="6CD761E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第十八条第三款：钟乳石经营者应当建立钟乳石经营档案，载明经营的钟乳石来源、类型、数量、销售去向等内容，并报当地县级以上自然资源主管部门备案。</w:t>
            </w:r>
          </w:p>
          <w:p w14:paraId="798747E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钟乳石经营者应当建立钟乳石经营档案，载明经营的钟乳石来源、类型、数量、销售去向等内容，并报当地县级以上自然资源主管部门备案。</w:t>
            </w:r>
          </w:p>
          <w:p w14:paraId="09618D5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九条：违反本条例第十条、第十八条第三款规定，未建立钟乳石采集、经营档案或者未将钟乳石经营档案报当地县级以上自然资源主管部门备案的，由县级以上自然资源主管部门给予警告，责令限期改正；逾期不改正的，可以处一万元以下的罚款。</w:t>
            </w:r>
          </w:p>
        </w:tc>
        <w:tc>
          <w:tcPr>
            <w:tcW w:w="3585" w:type="dxa"/>
            <w:vAlign w:val="center"/>
          </w:tcPr>
          <w:p w14:paraId="716A0A3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34E0E1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1B911E8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03C3CC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C737FF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4E0A7B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17E3D3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9CADBF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4433BB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5A0726F">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05824E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BFCCEC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5503FE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B50EC2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B7B357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78793CF">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1C70B8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AA37F9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C29262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0016C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93A6D2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22280A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47090B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B0EA24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2ED5F7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68D7EA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58BEEC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160EE5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0ED05A2">
            <w:pPr>
              <w:snapToGrid w:val="0"/>
              <w:spacing w:line="240" w:lineRule="atLeast"/>
              <w:jc w:val="center"/>
              <w:rPr>
                <w:rFonts w:ascii="仿宋_GB2312" w:hAnsi="仿宋_GB2312" w:eastAsia="仿宋_GB2312" w:cs="仿宋_GB2312"/>
                <w:sz w:val="20"/>
                <w:szCs w:val="20"/>
              </w:rPr>
            </w:pPr>
          </w:p>
        </w:tc>
      </w:tr>
    </w:tbl>
    <w:p w14:paraId="1FD33533"/>
    <w:p w14:paraId="29FAF6F0"/>
    <w:p w14:paraId="5AE634EC"/>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40B0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FC3B41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5122EB2">
            <w:pPr>
              <w:spacing w:line="240" w:lineRule="atLeast"/>
              <w:rPr>
                <w:rFonts w:asciiTheme="majorEastAsia" w:hAnsiTheme="majorEastAsia" w:eastAsiaTheme="majorEastAsia" w:cstheme="majorEastAsia"/>
                <w:spacing w:val="-20"/>
                <w:sz w:val="20"/>
                <w:szCs w:val="20"/>
              </w:rPr>
            </w:pPr>
          </w:p>
          <w:p w14:paraId="15F4ACA7">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D36236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96B5C3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E42799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A87E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39165C2">
            <w:pPr>
              <w:spacing w:line="240" w:lineRule="atLeast"/>
              <w:jc w:val="left"/>
              <w:rPr>
                <w:rFonts w:ascii="仿宋_GB2312" w:hAnsi="仿宋_GB2312" w:eastAsia="仿宋_GB2312" w:cs="仿宋_GB2312"/>
                <w:sz w:val="20"/>
                <w:szCs w:val="20"/>
              </w:rPr>
            </w:pPr>
          </w:p>
        </w:tc>
        <w:tc>
          <w:tcPr>
            <w:tcW w:w="555" w:type="dxa"/>
            <w:vMerge w:val="continue"/>
          </w:tcPr>
          <w:p w14:paraId="1ED4A5A5">
            <w:pPr>
              <w:spacing w:line="240" w:lineRule="atLeast"/>
              <w:jc w:val="left"/>
              <w:rPr>
                <w:rFonts w:ascii="仿宋_GB2312" w:hAnsi="仿宋_GB2312" w:eastAsia="仿宋_GB2312" w:cs="仿宋_GB2312"/>
                <w:sz w:val="20"/>
                <w:szCs w:val="20"/>
              </w:rPr>
            </w:pPr>
          </w:p>
        </w:tc>
        <w:tc>
          <w:tcPr>
            <w:tcW w:w="784" w:type="dxa"/>
            <w:vAlign w:val="center"/>
          </w:tcPr>
          <w:p w14:paraId="5C328AF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E5613D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09F652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FCB7A8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2AE755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841EA9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C50E6A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38419A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988AAC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8B6692E">
            <w:pPr>
              <w:spacing w:line="240" w:lineRule="atLeast"/>
              <w:jc w:val="left"/>
              <w:rPr>
                <w:rFonts w:ascii="仿宋_GB2312" w:hAnsi="仿宋_GB2312" w:eastAsia="仿宋_GB2312" w:cs="仿宋_GB2312"/>
                <w:sz w:val="20"/>
                <w:szCs w:val="20"/>
              </w:rPr>
            </w:pPr>
          </w:p>
        </w:tc>
      </w:tr>
      <w:tr w14:paraId="623E6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2D07D1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89</w:t>
            </w:r>
          </w:p>
        </w:tc>
        <w:tc>
          <w:tcPr>
            <w:tcW w:w="555" w:type="dxa"/>
            <w:vAlign w:val="center"/>
          </w:tcPr>
          <w:p w14:paraId="66D4C4D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8DAD90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F286E0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D6AE8A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对违反规定未携带采矿许可证在自治区境内运输钟乳石行为的处罚</w:t>
            </w:r>
          </w:p>
        </w:tc>
        <w:tc>
          <w:tcPr>
            <w:tcW w:w="660" w:type="dxa"/>
            <w:vAlign w:val="center"/>
          </w:tcPr>
          <w:p w14:paraId="371A7A82">
            <w:pPr>
              <w:snapToGrid w:val="0"/>
              <w:spacing w:line="240" w:lineRule="atLeast"/>
              <w:jc w:val="center"/>
              <w:rPr>
                <w:rFonts w:ascii="仿宋_GB2312" w:hAnsi="仿宋_GB2312" w:eastAsia="仿宋_GB2312" w:cs="仿宋_GB2312"/>
                <w:sz w:val="20"/>
                <w:szCs w:val="20"/>
              </w:rPr>
            </w:pPr>
          </w:p>
        </w:tc>
        <w:tc>
          <w:tcPr>
            <w:tcW w:w="615" w:type="dxa"/>
            <w:vAlign w:val="center"/>
          </w:tcPr>
          <w:p w14:paraId="43ACFBA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58B8A1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459F4D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十九条第一款：钟乳石采集者在自治区境内运输钟乳石，应当携带采矿许可证。</w:t>
            </w:r>
          </w:p>
          <w:p w14:paraId="1A9BB53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条：违反本条例第十九条第一款规定，未携带采矿许可证的，由县级以上自然资源主管部门责令限期提供采矿许可证，逾期未能提供的，没收运输的钟乳石；情节严重的，可以并处二千元以上十万元以下的罚款。</w:t>
            </w:r>
          </w:p>
        </w:tc>
        <w:tc>
          <w:tcPr>
            <w:tcW w:w="3585" w:type="dxa"/>
            <w:vAlign w:val="center"/>
          </w:tcPr>
          <w:p w14:paraId="79BD9E7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CF2B1D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8D3E4F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A335BB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73077C6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7FC37B8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340AF7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1DA906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48349B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FCFE840">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4F97EA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F07DBD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E20F04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BBA54E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9E3659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4103F2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CF5278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B215CF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C60A2C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E8838B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EB2590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7B487B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9EE2F3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CBFD43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970EC4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C66FD5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15B0A7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FDC974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80D16D4">
            <w:pPr>
              <w:snapToGrid w:val="0"/>
              <w:spacing w:line="240" w:lineRule="atLeast"/>
              <w:jc w:val="center"/>
              <w:rPr>
                <w:rFonts w:ascii="仿宋_GB2312" w:hAnsi="仿宋_GB2312" w:eastAsia="仿宋_GB2312" w:cs="仿宋_GB2312"/>
                <w:sz w:val="20"/>
                <w:szCs w:val="20"/>
              </w:rPr>
            </w:pPr>
          </w:p>
        </w:tc>
      </w:tr>
    </w:tbl>
    <w:p w14:paraId="71A2E3E5"/>
    <w:p w14:paraId="6ED0E8F9"/>
    <w:p w14:paraId="2F846E24"/>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964"/>
        <w:gridCol w:w="645"/>
        <w:gridCol w:w="675"/>
        <w:gridCol w:w="1200"/>
        <w:gridCol w:w="4290"/>
        <w:gridCol w:w="3585"/>
        <w:gridCol w:w="9515"/>
        <w:gridCol w:w="330"/>
      </w:tblGrid>
      <w:tr w14:paraId="62B35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A4D649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A76AF9A">
            <w:pPr>
              <w:spacing w:line="240" w:lineRule="atLeast"/>
              <w:rPr>
                <w:rFonts w:asciiTheme="majorEastAsia" w:hAnsiTheme="majorEastAsia" w:eastAsiaTheme="majorEastAsia" w:cstheme="majorEastAsia"/>
                <w:spacing w:val="-20"/>
                <w:sz w:val="20"/>
                <w:szCs w:val="20"/>
              </w:rPr>
            </w:pPr>
          </w:p>
          <w:p w14:paraId="3D1F3F0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B33D7B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F43679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50E790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6411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56A8338">
            <w:pPr>
              <w:spacing w:line="240" w:lineRule="atLeast"/>
              <w:jc w:val="left"/>
              <w:rPr>
                <w:rFonts w:ascii="仿宋_GB2312" w:hAnsi="仿宋_GB2312" w:eastAsia="仿宋_GB2312" w:cs="仿宋_GB2312"/>
                <w:sz w:val="20"/>
                <w:szCs w:val="20"/>
              </w:rPr>
            </w:pPr>
          </w:p>
        </w:tc>
        <w:tc>
          <w:tcPr>
            <w:tcW w:w="555" w:type="dxa"/>
            <w:vMerge w:val="continue"/>
          </w:tcPr>
          <w:p w14:paraId="44197FA4">
            <w:pPr>
              <w:spacing w:line="240" w:lineRule="atLeast"/>
              <w:jc w:val="left"/>
              <w:rPr>
                <w:rFonts w:ascii="仿宋_GB2312" w:hAnsi="仿宋_GB2312" w:eastAsia="仿宋_GB2312" w:cs="仿宋_GB2312"/>
                <w:sz w:val="20"/>
                <w:szCs w:val="20"/>
              </w:rPr>
            </w:pPr>
          </w:p>
        </w:tc>
        <w:tc>
          <w:tcPr>
            <w:tcW w:w="964" w:type="dxa"/>
            <w:vAlign w:val="center"/>
          </w:tcPr>
          <w:p w14:paraId="02DDDC9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3684AA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45" w:type="dxa"/>
            <w:vAlign w:val="center"/>
          </w:tcPr>
          <w:p w14:paraId="20B72C9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75" w:type="dxa"/>
            <w:vAlign w:val="center"/>
          </w:tcPr>
          <w:p w14:paraId="57D5C74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200" w:type="dxa"/>
            <w:vAlign w:val="center"/>
          </w:tcPr>
          <w:p w14:paraId="5CA295B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290" w:type="dxa"/>
            <w:vAlign w:val="center"/>
          </w:tcPr>
          <w:p w14:paraId="6513BFB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9DB822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6CC314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9D96E0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C1ECE83">
            <w:pPr>
              <w:spacing w:line="240" w:lineRule="atLeast"/>
              <w:jc w:val="left"/>
              <w:rPr>
                <w:rFonts w:ascii="仿宋_GB2312" w:hAnsi="仿宋_GB2312" w:eastAsia="仿宋_GB2312" w:cs="仿宋_GB2312"/>
                <w:sz w:val="20"/>
                <w:szCs w:val="20"/>
              </w:rPr>
            </w:pPr>
          </w:p>
        </w:tc>
      </w:tr>
      <w:tr w14:paraId="28253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D323F5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90</w:t>
            </w:r>
          </w:p>
        </w:tc>
        <w:tc>
          <w:tcPr>
            <w:tcW w:w="555" w:type="dxa"/>
            <w:vAlign w:val="center"/>
          </w:tcPr>
          <w:p w14:paraId="5BFDB54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62198B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6FFA24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964" w:type="dxa"/>
            <w:vAlign w:val="center"/>
          </w:tcPr>
          <w:p w14:paraId="469AB79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对建设单位未按照规定对地质灾害易发区内的建设工程进行地质灾害危险性评估、配套的地质灾害治理工程未经验收或者经验收不合格主体工程即投入生产或者使用行为的处罚</w:t>
            </w:r>
          </w:p>
        </w:tc>
        <w:tc>
          <w:tcPr>
            <w:tcW w:w="645" w:type="dxa"/>
            <w:vAlign w:val="center"/>
          </w:tcPr>
          <w:p w14:paraId="00D0AB68">
            <w:pPr>
              <w:snapToGrid w:val="0"/>
              <w:spacing w:line="240" w:lineRule="atLeast"/>
              <w:jc w:val="center"/>
              <w:rPr>
                <w:rFonts w:ascii="仿宋_GB2312" w:hAnsi="仿宋_GB2312" w:eastAsia="仿宋_GB2312" w:cs="仿宋_GB2312"/>
                <w:sz w:val="20"/>
                <w:szCs w:val="20"/>
              </w:rPr>
            </w:pPr>
          </w:p>
        </w:tc>
        <w:tc>
          <w:tcPr>
            <w:tcW w:w="675" w:type="dxa"/>
            <w:vAlign w:val="center"/>
          </w:tcPr>
          <w:p w14:paraId="5F78AB3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200" w:type="dxa"/>
            <w:vAlign w:val="center"/>
          </w:tcPr>
          <w:p w14:paraId="6ADAE6C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290" w:type="dxa"/>
            <w:vAlign w:val="center"/>
          </w:tcPr>
          <w:p w14:paraId="36BE8C6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地质灾害防治条例》（2003年国务院令第394号）第四十一条：违反本条例规定，建设单位有下列行为之一的，由县级以上地方人民政府国土资源主管部门责令限期改正；逾期不改正的，责令停止生产、施工或者使用，处10万元以上50万元以下的罚款；构成犯罪的，依法追究刑事责任：</w:t>
            </w:r>
          </w:p>
          <w:p w14:paraId="1346FE5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（一）未按照规定对地质灾害易发区内的建设工程进行地质灾害危险性评估的；</w:t>
            </w:r>
          </w:p>
          <w:p w14:paraId="78F975B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（二）配套的地质灾害治理工程未经验收或者经验收不合格，主体工程即投入生产或者使用的。</w:t>
            </w:r>
          </w:p>
        </w:tc>
        <w:tc>
          <w:tcPr>
            <w:tcW w:w="3585" w:type="dxa"/>
            <w:vAlign w:val="center"/>
          </w:tcPr>
          <w:p w14:paraId="27B9F0D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898B02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2EA631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94A0D6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EB81AB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DA97D5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72276E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EB30C0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B3C366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A4D51F4">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3E40DB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999135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081511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1F51F7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1A4DD8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1D31A9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BCCCDE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9CCF69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8E8C4D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1172F1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E4B748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4E8175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A73A5D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C6A15A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65FBCE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836A41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943128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BAAC4F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003B483">
            <w:pPr>
              <w:snapToGrid w:val="0"/>
              <w:spacing w:line="240" w:lineRule="atLeast"/>
              <w:jc w:val="center"/>
              <w:rPr>
                <w:rFonts w:ascii="仿宋_GB2312" w:hAnsi="仿宋_GB2312" w:eastAsia="仿宋_GB2312" w:cs="仿宋_GB2312"/>
                <w:sz w:val="20"/>
                <w:szCs w:val="20"/>
              </w:rPr>
            </w:pPr>
          </w:p>
        </w:tc>
      </w:tr>
    </w:tbl>
    <w:p w14:paraId="66198B2B"/>
    <w:p w14:paraId="29FEAFF2"/>
    <w:p w14:paraId="614EE39D"/>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C962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3ED86A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355ED7B">
            <w:pPr>
              <w:spacing w:line="240" w:lineRule="atLeast"/>
              <w:rPr>
                <w:rFonts w:asciiTheme="majorEastAsia" w:hAnsiTheme="majorEastAsia" w:eastAsiaTheme="majorEastAsia" w:cstheme="majorEastAsia"/>
                <w:spacing w:val="-20"/>
                <w:sz w:val="20"/>
                <w:szCs w:val="20"/>
              </w:rPr>
            </w:pPr>
          </w:p>
          <w:p w14:paraId="0A10AED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585444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E90155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7686C3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08BD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F5FA16F">
            <w:pPr>
              <w:spacing w:line="240" w:lineRule="atLeast"/>
              <w:jc w:val="left"/>
              <w:rPr>
                <w:rFonts w:ascii="仿宋_GB2312" w:hAnsi="仿宋_GB2312" w:eastAsia="仿宋_GB2312" w:cs="仿宋_GB2312"/>
                <w:sz w:val="20"/>
                <w:szCs w:val="20"/>
              </w:rPr>
            </w:pPr>
          </w:p>
        </w:tc>
        <w:tc>
          <w:tcPr>
            <w:tcW w:w="555" w:type="dxa"/>
            <w:vMerge w:val="continue"/>
          </w:tcPr>
          <w:p w14:paraId="4D2BE27A">
            <w:pPr>
              <w:spacing w:line="240" w:lineRule="atLeast"/>
              <w:jc w:val="left"/>
              <w:rPr>
                <w:rFonts w:ascii="仿宋_GB2312" w:hAnsi="仿宋_GB2312" w:eastAsia="仿宋_GB2312" w:cs="仿宋_GB2312"/>
                <w:sz w:val="20"/>
                <w:szCs w:val="20"/>
              </w:rPr>
            </w:pPr>
          </w:p>
        </w:tc>
        <w:tc>
          <w:tcPr>
            <w:tcW w:w="784" w:type="dxa"/>
            <w:vAlign w:val="center"/>
          </w:tcPr>
          <w:p w14:paraId="4DF4472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FA97DD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2B567E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5CF840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DA13F7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F266EC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A5A074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3EA47F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4DDBD8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AB27D91">
            <w:pPr>
              <w:spacing w:line="240" w:lineRule="atLeast"/>
              <w:jc w:val="left"/>
              <w:rPr>
                <w:rFonts w:ascii="仿宋_GB2312" w:hAnsi="仿宋_GB2312" w:eastAsia="仿宋_GB2312" w:cs="仿宋_GB2312"/>
                <w:sz w:val="20"/>
                <w:szCs w:val="20"/>
              </w:rPr>
            </w:pPr>
          </w:p>
        </w:tc>
      </w:tr>
      <w:tr w14:paraId="3073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79704C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91</w:t>
            </w:r>
          </w:p>
        </w:tc>
        <w:tc>
          <w:tcPr>
            <w:tcW w:w="555" w:type="dxa"/>
            <w:vAlign w:val="center"/>
          </w:tcPr>
          <w:p w14:paraId="7CF2EE5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CCD5D7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8D66FC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A479FB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对工程建设等人为活动引发的地质灾害不予治理、逾期不治理或者治理不符合要求行为的处罚</w:t>
            </w:r>
          </w:p>
        </w:tc>
        <w:tc>
          <w:tcPr>
            <w:tcW w:w="660" w:type="dxa"/>
            <w:vAlign w:val="center"/>
          </w:tcPr>
          <w:p w14:paraId="286A0AA8">
            <w:pPr>
              <w:snapToGrid w:val="0"/>
              <w:spacing w:line="240" w:lineRule="atLeast"/>
              <w:jc w:val="center"/>
              <w:rPr>
                <w:rFonts w:ascii="仿宋_GB2312" w:hAnsi="仿宋_GB2312" w:eastAsia="仿宋_GB2312" w:cs="仿宋_GB2312"/>
                <w:sz w:val="20"/>
                <w:szCs w:val="20"/>
              </w:rPr>
            </w:pPr>
          </w:p>
        </w:tc>
        <w:tc>
          <w:tcPr>
            <w:tcW w:w="615" w:type="dxa"/>
            <w:vAlign w:val="center"/>
          </w:tcPr>
          <w:p w14:paraId="5C82E5A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6B3BE7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41306A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地质灾害防治条例》（2003年国务院令第394号）第四十二条：违反本条例规定，对工程建设等人为活动引发的地质灾害不予治理的，由县级以上人民政府国土资源主管部门责令限期治理；逾期不治理或者治理不符合要求的，由责令限期治理的国土资源主管部门组织治理，所需费用由责任单位承担，处10万元以上50万元以下的罚款；给他人造成损失的，依法承担赔偿责任。</w:t>
            </w:r>
          </w:p>
        </w:tc>
        <w:tc>
          <w:tcPr>
            <w:tcW w:w="3585" w:type="dxa"/>
            <w:vAlign w:val="center"/>
          </w:tcPr>
          <w:p w14:paraId="7655AA7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887D5F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CECD52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报分管领导批准召开案件会审会；重大案件须提交局长办公会或更高层次研究。</w:t>
            </w:r>
          </w:p>
          <w:p w14:paraId="2BBFA68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607314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D4FBFF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D87675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B4BEEA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05DCDD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9AEAA5A">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D49BE6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197F13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D0244C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9239F2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7512A6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12CC1C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749FCD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36E628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5DDA40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88BCC9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8A80FA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A33849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D5E333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41B640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7D72F7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1A74B9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E9C7FC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20A4C5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2831224">
            <w:pPr>
              <w:snapToGrid w:val="0"/>
              <w:spacing w:line="240" w:lineRule="atLeast"/>
              <w:jc w:val="center"/>
              <w:rPr>
                <w:rFonts w:ascii="仿宋_GB2312" w:hAnsi="仿宋_GB2312" w:eastAsia="仿宋_GB2312" w:cs="仿宋_GB2312"/>
                <w:sz w:val="20"/>
                <w:szCs w:val="20"/>
              </w:rPr>
            </w:pPr>
          </w:p>
        </w:tc>
      </w:tr>
    </w:tbl>
    <w:p w14:paraId="392F8F58"/>
    <w:p w14:paraId="5713D41B"/>
    <w:p w14:paraId="402F882E"/>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65FF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7D4F20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AD51FB1">
            <w:pPr>
              <w:spacing w:line="240" w:lineRule="atLeast"/>
              <w:rPr>
                <w:rFonts w:asciiTheme="majorEastAsia" w:hAnsiTheme="majorEastAsia" w:eastAsiaTheme="majorEastAsia" w:cstheme="majorEastAsia"/>
                <w:spacing w:val="-20"/>
                <w:sz w:val="20"/>
                <w:szCs w:val="20"/>
              </w:rPr>
            </w:pPr>
          </w:p>
          <w:p w14:paraId="206DB79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B9118D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C06916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59E51A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289E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EE66650">
            <w:pPr>
              <w:spacing w:line="240" w:lineRule="atLeast"/>
              <w:jc w:val="left"/>
              <w:rPr>
                <w:rFonts w:ascii="仿宋_GB2312" w:hAnsi="仿宋_GB2312" w:eastAsia="仿宋_GB2312" w:cs="仿宋_GB2312"/>
                <w:sz w:val="20"/>
                <w:szCs w:val="20"/>
              </w:rPr>
            </w:pPr>
          </w:p>
        </w:tc>
        <w:tc>
          <w:tcPr>
            <w:tcW w:w="555" w:type="dxa"/>
            <w:vMerge w:val="continue"/>
          </w:tcPr>
          <w:p w14:paraId="5FA5DA67">
            <w:pPr>
              <w:spacing w:line="240" w:lineRule="atLeast"/>
              <w:jc w:val="left"/>
              <w:rPr>
                <w:rFonts w:ascii="仿宋_GB2312" w:hAnsi="仿宋_GB2312" w:eastAsia="仿宋_GB2312" w:cs="仿宋_GB2312"/>
                <w:sz w:val="20"/>
                <w:szCs w:val="20"/>
              </w:rPr>
            </w:pPr>
          </w:p>
        </w:tc>
        <w:tc>
          <w:tcPr>
            <w:tcW w:w="784" w:type="dxa"/>
            <w:vAlign w:val="center"/>
          </w:tcPr>
          <w:p w14:paraId="7B53868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6E8413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D5DF44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F1A5D2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7E307D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603385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6648F6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357A1D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A54359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A9412AB">
            <w:pPr>
              <w:spacing w:line="240" w:lineRule="atLeast"/>
              <w:jc w:val="left"/>
              <w:rPr>
                <w:rFonts w:ascii="仿宋_GB2312" w:hAnsi="仿宋_GB2312" w:eastAsia="仿宋_GB2312" w:cs="仿宋_GB2312"/>
                <w:sz w:val="20"/>
                <w:szCs w:val="20"/>
              </w:rPr>
            </w:pPr>
          </w:p>
        </w:tc>
      </w:tr>
      <w:tr w14:paraId="6D855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E4F503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92</w:t>
            </w:r>
          </w:p>
        </w:tc>
        <w:tc>
          <w:tcPr>
            <w:tcW w:w="555" w:type="dxa"/>
            <w:vAlign w:val="center"/>
          </w:tcPr>
          <w:p w14:paraId="2483402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775A38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41B7E1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3A4111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对在地质灾害危险区内爆破、削坡、进行工程建设以及从事其他可能引发地质灾害活动行为的处罚</w:t>
            </w:r>
          </w:p>
        </w:tc>
        <w:tc>
          <w:tcPr>
            <w:tcW w:w="660" w:type="dxa"/>
            <w:vAlign w:val="center"/>
          </w:tcPr>
          <w:p w14:paraId="217C7226">
            <w:pPr>
              <w:snapToGrid w:val="0"/>
              <w:spacing w:line="240" w:lineRule="atLeast"/>
              <w:jc w:val="center"/>
              <w:rPr>
                <w:rFonts w:ascii="仿宋_GB2312" w:hAnsi="仿宋_GB2312" w:eastAsia="仿宋_GB2312" w:cs="仿宋_GB2312"/>
                <w:sz w:val="20"/>
                <w:szCs w:val="20"/>
              </w:rPr>
            </w:pPr>
          </w:p>
        </w:tc>
        <w:tc>
          <w:tcPr>
            <w:tcW w:w="615" w:type="dxa"/>
            <w:vAlign w:val="center"/>
          </w:tcPr>
          <w:p w14:paraId="087D0CA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E6136F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D77B2C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地质灾害防治条例》（2003年国务院令第394号）第四十三条：违反本条例规定，在地质灾害危险区内爆破、削坡、进行工程建设以及从事其他可能引发地质灾害活动的，由县级以上地方人民政府国土资源主管部门责令停止违法行为，对单位处5万元以上20万元以下的罚款，对个人处1万元以上5万元以下的罚款；构成犯罪的，依法追究刑事责任；给他人造成损失的，依法承担赔偿责任。</w:t>
            </w:r>
          </w:p>
        </w:tc>
        <w:tc>
          <w:tcPr>
            <w:tcW w:w="3585" w:type="dxa"/>
            <w:vAlign w:val="center"/>
          </w:tcPr>
          <w:p w14:paraId="4AA77A9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A7CD00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2449308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报分管领导批准召开案件会审会；重大案件须提交局长办公会或更高层次研究。</w:t>
            </w:r>
          </w:p>
          <w:p w14:paraId="57BFF70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903D38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CBA12D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B60F9A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F01FA0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28EF06A">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EB7551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5D69AB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82ED25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7D39DB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B0A17F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625AF8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8EA70D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732B00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2DCF81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104595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C090D1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97B8D1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814E99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0D8F03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1C4407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9D4116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B2D261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4AA5AA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82BB97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E5AD9A0">
            <w:pPr>
              <w:snapToGrid w:val="0"/>
              <w:spacing w:line="240" w:lineRule="atLeast"/>
              <w:jc w:val="center"/>
              <w:rPr>
                <w:rFonts w:ascii="仿宋_GB2312" w:hAnsi="仿宋_GB2312" w:eastAsia="仿宋_GB2312" w:cs="仿宋_GB2312"/>
                <w:sz w:val="20"/>
                <w:szCs w:val="20"/>
              </w:rPr>
            </w:pPr>
          </w:p>
        </w:tc>
      </w:tr>
    </w:tbl>
    <w:p w14:paraId="3A9308E6"/>
    <w:p w14:paraId="15A43A56"/>
    <w:p w14:paraId="4DFEECED"/>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3C85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8B98D6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3289908">
            <w:pPr>
              <w:spacing w:line="240" w:lineRule="atLeast"/>
              <w:rPr>
                <w:rFonts w:asciiTheme="majorEastAsia" w:hAnsiTheme="majorEastAsia" w:eastAsiaTheme="majorEastAsia" w:cstheme="majorEastAsia"/>
                <w:spacing w:val="-20"/>
                <w:sz w:val="20"/>
                <w:szCs w:val="20"/>
              </w:rPr>
            </w:pPr>
          </w:p>
          <w:p w14:paraId="50C8876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007045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682241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E6EA4B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CE65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04BF88E">
            <w:pPr>
              <w:spacing w:line="240" w:lineRule="atLeast"/>
              <w:jc w:val="left"/>
              <w:rPr>
                <w:rFonts w:ascii="仿宋_GB2312" w:hAnsi="仿宋_GB2312" w:eastAsia="仿宋_GB2312" w:cs="仿宋_GB2312"/>
                <w:sz w:val="20"/>
                <w:szCs w:val="20"/>
              </w:rPr>
            </w:pPr>
          </w:p>
        </w:tc>
        <w:tc>
          <w:tcPr>
            <w:tcW w:w="555" w:type="dxa"/>
            <w:vMerge w:val="continue"/>
          </w:tcPr>
          <w:p w14:paraId="3B0E9F0B">
            <w:pPr>
              <w:spacing w:line="240" w:lineRule="atLeast"/>
              <w:jc w:val="left"/>
              <w:rPr>
                <w:rFonts w:ascii="仿宋_GB2312" w:hAnsi="仿宋_GB2312" w:eastAsia="仿宋_GB2312" w:cs="仿宋_GB2312"/>
                <w:sz w:val="20"/>
                <w:szCs w:val="20"/>
              </w:rPr>
            </w:pPr>
          </w:p>
        </w:tc>
        <w:tc>
          <w:tcPr>
            <w:tcW w:w="784" w:type="dxa"/>
            <w:vAlign w:val="center"/>
          </w:tcPr>
          <w:p w14:paraId="58A609F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685989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48A4AE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1CA731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D3B872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DFC41C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B84EA3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0C4862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490801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393598A">
            <w:pPr>
              <w:spacing w:line="240" w:lineRule="atLeast"/>
              <w:jc w:val="left"/>
              <w:rPr>
                <w:rFonts w:ascii="仿宋_GB2312" w:hAnsi="仿宋_GB2312" w:eastAsia="仿宋_GB2312" w:cs="仿宋_GB2312"/>
                <w:sz w:val="20"/>
                <w:szCs w:val="20"/>
              </w:rPr>
            </w:pPr>
          </w:p>
        </w:tc>
      </w:tr>
      <w:tr w14:paraId="10165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DD390E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93</w:t>
            </w:r>
          </w:p>
        </w:tc>
        <w:tc>
          <w:tcPr>
            <w:tcW w:w="555" w:type="dxa"/>
            <w:vAlign w:val="center"/>
          </w:tcPr>
          <w:p w14:paraId="3A2C806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9FBD64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F07136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91DF6C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对在地质灾害危险性评估中弄虚作假或者故意隐瞒地质灾害真实情况行为的处罚</w:t>
            </w:r>
          </w:p>
        </w:tc>
        <w:tc>
          <w:tcPr>
            <w:tcW w:w="660" w:type="dxa"/>
            <w:vAlign w:val="center"/>
          </w:tcPr>
          <w:p w14:paraId="2ED275C1">
            <w:pPr>
              <w:snapToGrid w:val="0"/>
              <w:spacing w:line="240" w:lineRule="atLeast"/>
              <w:jc w:val="center"/>
              <w:rPr>
                <w:rFonts w:ascii="仿宋_GB2312" w:hAnsi="仿宋_GB2312" w:eastAsia="仿宋_GB2312" w:cs="仿宋_GB2312"/>
                <w:sz w:val="20"/>
                <w:szCs w:val="20"/>
              </w:rPr>
            </w:pPr>
          </w:p>
        </w:tc>
        <w:tc>
          <w:tcPr>
            <w:tcW w:w="615" w:type="dxa"/>
            <w:vAlign w:val="center"/>
          </w:tcPr>
          <w:p w14:paraId="34E3964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27F3D3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6B51F3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地质灾害防治条例》（2003年国务院令第394号）第四十四条：违反本条例规定，有下列行为之一的，由县级以上人民政府国土资源主管部门或者其他部门依据职责责令停止违法行为，对地质灾害危险性评估单位、地质灾害治理工程勘查、设计或者监理单位处合同约定的评估费、勘查费、设计费或者监理酬金1倍以上2倍以下的罚款，对地质灾害治理工程施工单位处工程价款2％以上4％以下的罚款，并可以责令停业整顿，降低资质等级；有违法所得的，没收违法所得；情节严重的，吊销其资质证书；构成犯罪的，依法追究刑事责任；给他人造成损失的，依法承担赔偿责任：</w:t>
            </w:r>
          </w:p>
          <w:p w14:paraId="7522A58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（一）在地质灾害危险性评估中弄虚作假或者故意隐瞒地质灾害真实情况的。</w:t>
            </w:r>
          </w:p>
        </w:tc>
        <w:tc>
          <w:tcPr>
            <w:tcW w:w="3585" w:type="dxa"/>
            <w:vAlign w:val="center"/>
          </w:tcPr>
          <w:p w14:paraId="4A610BB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10811B8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211904E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2CE139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E62622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F19CB5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D22446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1ADD744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C2A0A1C">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7285DDD">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8F4E5F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07201B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444330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27B5BF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279846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A486174">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7ED616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E920E5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7CDD54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C0B43F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44FF54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696A43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DC58B3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197024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589D72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301569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A1FAF4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498DB9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F95C31C">
            <w:pPr>
              <w:snapToGrid w:val="0"/>
              <w:spacing w:line="240" w:lineRule="atLeast"/>
              <w:jc w:val="center"/>
              <w:rPr>
                <w:rFonts w:ascii="仿宋_GB2312" w:hAnsi="仿宋_GB2312" w:eastAsia="仿宋_GB2312" w:cs="仿宋_GB2312"/>
                <w:sz w:val="20"/>
                <w:szCs w:val="20"/>
              </w:rPr>
            </w:pPr>
          </w:p>
        </w:tc>
      </w:tr>
    </w:tbl>
    <w:p w14:paraId="1A700E26"/>
    <w:p w14:paraId="4142A8C2"/>
    <w:p w14:paraId="7184F73D"/>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954C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8328DA8">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FE6B772">
            <w:pPr>
              <w:spacing w:line="240" w:lineRule="atLeast"/>
              <w:rPr>
                <w:rFonts w:asciiTheme="majorEastAsia" w:hAnsiTheme="majorEastAsia" w:eastAsiaTheme="majorEastAsia" w:cstheme="majorEastAsia"/>
                <w:spacing w:val="-20"/>
                <w:sz w:val="20"/>
                <w:szCs w:val="20"/>
              </w:rPr>
            </w:pPr>
          </w:p>
          <w:p w14:paraId="168C233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435DBD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FCFFB7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4A506F8">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444D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E57109D">
            <w:pPr>
              <w:spacing w:line="240" w:lineRule="atLeast"/>
              <w:jc w:val="left"/>
              <w:rPr>
                <w:rFonts w:ascii="仿宋_GB2312" w:hAnsi="仿宋_GB2312" w:eastAsia="仿宋_GB2312" w:cs="仿宋_GB2312"/>
                <w:sz w:val="20"/>
                <w:szCs w:val="20"/>
              </w:rPr>
            </w:pPr>
          </w:p>
        </w:tc>
        <w:tc>
          <w:tcPr>
            <w:tcW w:w="555" w:type="dxa"/>
            <w:vMerge w:val="continue"/>
          </w:tcPr>
          <w:p w14:paraId="05B851F9">
            <w:pPr>
              <w:spacing w:line="240" w:lineRule="atLeast"/>
              <w:jc w:val="left"/>
              <w:rPr>
                <w:rFonts w:ascii="仿宋_GB2312" w:hAnsi="仿宋_GB2312" w:eastAsia="仿宋_GB2312" w:cs="仿宋_GB2312"/>
                <w:sz w:val="20"/>
                <w:szCs w:val="20"/>
              </w:rPr>
            </w:pPr>
          </w:p>
        </w:tc>
        <w:tc>
          <w:tcPr>
            <w:tcW w:w="784" w:type="dxa"/>
            <w:vAlign w:val="center"/>
          </w:tcPr>
          <w:p w14:paraId="7ADCF12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26F49A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D085D3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DA6C36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B861F8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D01688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6105C0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DA3222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D450A5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E318EE3">
            <w:pPr>
              <w:spacing w:line="240" w:lineRule="atLeast"/>
              <w:jc w:val="left"/>
              <w:rPr>
                <w:rFonts w:ascii="仿宋_GB2312" w:hAnsi="仿宋_GB2312" w:eastAsia="仿宋_GB2312" w:cs="仿宋_GB2312"/>
                <w:sz w:val="20"/>
                <w:szCs w:val="20"/>
              </w:rPr>
            </w:pPr>
          </w:p>
        </w:tc>
      </w:tr>
      <w:tr w14:paraId="65ADE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8F1D06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94</w:t>
            </w:r>
          </w:p>
        </w:tc>
        <w:tc>
          <w:tcPr>
            <w:tcW w:w="555" w:type="dxa"/>
            <w:vAlign w:val="center"/>
          </w:tcPr>
          <w:p w14:paraId="7ED1285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3744EF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160C48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C4018F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对在地质灾害治理工程勘查、设计、施工以及监理活动中弄虚作假、降低工程质量行为的处罚</w:t>
            </w:r>
          </w:p>
        </w:tc>
        <w:tc>
          <w:tcPr>
            <w:tcW w:w="660" w:type="dxa"/>
            <w:vAlign w:val="center"/>
          </w:tcPr>
          <w:p w14:paraId="3AB67F15">
            <w:pPr>
              <w:snapToGrid w:val="0"/>
              <w:spacing w:line="240" w:lineRule="atLeast"/>
              <w:jc w:val="center"/>
              <w:rPr>
                <w:rFonts w:ascii="仿宋_GB2312" w:hAnsi="仿宋_GB2312" w:eastAsia="仿宋_GB2312" w:cs="仿宋_GB2312"/>
                <w:sz w:val="20"/>
                <w:szCs w:val="20"/>
              </w:rPr>
            </w:pPr>
          </w:p>
        </w:tc>
        <w:tc>
          <w:tcPr>
            <w:tcW w:w="615" w:type="dxa"/>
            <w:vAlign w:val="center"/>
          </w:tcPr>
          <w:p w14:paraId="309E969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626AF0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B6BD8C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地质灾害防治条例》（2003年国务院令第394号）第四十四条：违反本条例规定，有下列行为之一的，由县级以上人民政府国土资源主管部门或者其他部门依据职责责令停止违法行为，对地质灾害危险性评估单位、地质灾害治理工程勘查、设计或者监理单位处合同约定的评估费、勘查费、设计费或者监理酬金1倍以上2倍以下的罚款，对地质灾害治理工程施工单位处工程价款2％以上4％以下的罚款，并可以责令停业整顿，降低资质等级；有违法所得的，没收违法所得；情节严重的，吊销其资质证书；构成犯罪的，依法追究刑事责任；给他人造成损失的，依法承担赔偿责任：</w:t>
            </w:r>
          </w:p>
          <w:p w14:paraId="4D34611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（二）在地质灾害治理工程勘查、设计、施工以及监理活动中弄虚作假、降低工程质量的。</w:t>
            </w:r>
          </w:p>
        </w:tc>
        <w:tc>
          <w:tcPr>
            <w:tcW w:w="3585" w:type="dxa"/>
            <w:vAlign w:val="center"/>
          </w:tcPr>
          <w:p w14:paraId="12EBB48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0518A8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481C2A4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4BAF79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1BC88D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E7680C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6EAC30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FF7CE2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7A1945C">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CD02F60">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92177A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0FCDBD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BD44E8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731B4E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027A06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A2F326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3DD279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A56446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B85F0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A921D8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BCFECD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721194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3A81D7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AA5C7A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63ADB6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CA1377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3E3B36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6D1F59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12058D7">
            <w:pPr>
              <w:snapToGrid w:val="0"/>
              <w:spacing w:line="240" w:lineRule="atLeast"/>
              <w:jc w:val="center"/>
              <w:rPr>
                <w:rFonts w:ascii="仿宋_GB2312" w:hAnsi="仿宋_GB2312" w:eastAsia="仿宋_GB2312" w:cs="仿宋_GB2312"/>
                <w:sz w:val="20"/>
                <w:szCs w:val="20"/>
              </w:rPr>
            </w:pPr>
          </w:p>
        </w:tc>
      </w:tr>
    </w:tbl>
    <w:p w14:paraId="5BA22886"/>
    <w:p w14:paraId="181BE585"/>
    <w:p w14:paraId="0292A1BB"/>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E1C3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495F6D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68354D8">
            <w:pPr>
              <w:spacing w:line="240" w:lineRule="atLeast"/>
              <w:rPr>
                <w:rFonts w:asciiTheme="majorEastAsia" w:hAnsiTheme="majorEastAsia" w:eastAsiaTheme="majorEastAsia" w:cstheme="majorEastAsia"/>
                <w:spacing w:val="-20"/>
                <w:sz w:val="20"/>
                <w:szCs w:val="20"/>
              </w:rPr>
            </w:pPr>
          </w:p>
          <w:p w14:paraId="091B90D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88D74D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2C7B98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BE65D3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A775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6BD4A34">
            <w:pPr>
              <w:spacing w:line="240" w:lineRule="atLeast"/>
              <w:jc w:val="left"/>
              <w:rPr>
                <w:rFonts w:ascii="仿宋_GB2312" w:hAnsi="仿宋_GB2312" w:eastAsia="仿宋_GB2312" w:cs="仿宋_GB2312"/>
                <w:sz w:val="20"/>
                <w:szCs w:val="20"/>
              </w:rPr>
            </w:pPr>
          </w:p>
        </w:tc>
        <w:tc>
          <w:tcPr>
            <w:tcW w:w="555" w:type="dxa"/>
            <w:vMerge w:val="continue"/>
          </w:tcPr>
          <w:p w14:paraId="58FF8E32">
            <w:pPr>
              <w:spacing w:line="240" w:lineRule="atLeast"/>
              <w:jc w:val="left"/>
              <w:rPr>
                <w:rFonts w:ascii="仿宋_GB2312" w:hAnsi="仿宋_GB2312" w:eastAsia="仿宋_GB2312" w:cs="仿宋_GB2312"/>
                <w:sz w:val="20"/>
                <w:szCs w:val="20"/>
              </w:rPr>
            </w:pPr>
          </w:p>
        </w:tc>
        <w:tc>
          <w:tcPr>
            <w:tcW w:w="784" w:type="dxa"/>
            <w:vAlign w:val="center"/>
          </w:tcPr>
          <w:p w14:paraId="61784FD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0007D9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2BDD6A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DC1559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930F61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5DCBD7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4AB091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345CAC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4054C4A">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26F1479">
            <w:pPr>
              <w:spacing w:line="240" w:lineRule="atLeast"/>
              <w:jc w:val="left"/>
              <w:rPr>
                <w:rFonts w:ascii="仿宋_GB2312" w:hAnsi="仿宋_GB2312" w:eastAsia="仿宋_GB2312" w:cs="仿宋_GB2312"/>
                <w:sz w:val="20"/>
                <w:szCs w:val="20"/>
              </w:rPr>
            </w:pPr>
          </w:p>
        </w:tc>
      </w:tr>
      <w:tr w14:paraId="12CDE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BC24AB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95</w:t>
            </w:r>
          </w:p>
        </w:tc>
        <w:tc>
          <w:tcPr>
            <w:tcW w:w="555" w:type="dxa"/>
            <w:vAlign w:val="center"/>
          </w:tcPr>
          <w:p w14:paraId="053EE5C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068192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197C79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F08ED3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对无资质证书或者超越其资质等级许可的范围承揽地质灾害危险性评估、地质灾害治理工程勘查、设计、施工及监理业务行为的处罚</w:t>
            </w:r>
          </w:p>
        </w:tc>
        <w:tc>
          <w:tcPr>
            <w:tcW w:w="660" w:type="dxa"/>
            <w:vAlign w:val="center"/>
          </w:tcPr>
          <w:p w14:paraId="53074D43">
            <w:pPr>
              <w:snapToGrid w:val="0"/>
              <w:spacing w:line="240" w:lineRule="atLeast"/>
              <w:jc w:val="center"/>
              <w:rPr>
                <w:rFonts w:ascii="仿宋_GB2312" w:hAnsi="仿宋_GB2312" w:eastAsia="仿宋_GB2312" w:cs="仿宋_GB2312"/>
                <w:sz w:val="20"/>
                <w:szCs w:val="20"/>
              </w:rPr>
            </w:pPr>
          </w:p>
        </w:tc>
        <w:tc>
          <w:tcPr>
            <w:tcW w:w="615" w:type="dxa"/>
            <w:vAlign w:val="center"/>
          </w:tcPr>
          <w:p w14:paraId="3D92002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902E6D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3E9B63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地质灾害防治条例》（2003年国务院令第394号）第四十四条：违反本条例规定，有下列行为之一的，由县级以上人民政府国土资源主管部门或者其他部门依据职责责令停止违法行为，对地质灾害危险性评估单位、地质灾害治理工程勘查、设计或者监理单位处合同约定的评估费、勘查费、设计费或者监理酬金1倍以上2倍以下的罚款，对地质灾害治理工程施工单位处工程价款2％以上4％以下的罚款，并可以责令停业整顿，降低资质等级；有违法所得的，没收违法所得；情节严重的，吊销其资质证书；构成犯罪的，依法追究刑事责任；给他人造成损失的，依法承担赔偿责任：</w:t>
            </w:r>
          </w:p>
          <w:p w14:paraId="466D4CA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（三）无资质证书或者超越其资质等级许可的范围承揽地质灾害危险性评估、地质灾害治理工程勘查、设计、施工及监理业务的。</w:t>
            </w:r>
          </w:p>
        </w:tc>
        <w:tc>
          <w:tcPr>
            <w:tcW w:w="3585" w:type="dxa"/>
            <w:vAlign w:val="center"/>
          </w:tcPr>
          <w:p w14:paraId="73447A8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6FA3A58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E74721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C52B80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82133B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237F16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FB3DB8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4853A5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1CB538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898DEF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564623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6AC78D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D7DC11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03DADE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BD84D1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2515D6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B55287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546E75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2C65E9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DD81E8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287BD0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94C147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2C05D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0C08A5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1768FA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E19128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775D5D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581B16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9D9F2EB">
            <w:pPr>
              <w:snapToGrid w:val="0"/>
              <w:spacing w:line="240" w:lineRule="atLeast"/>
              <w:jc w:val="center"/>
              <w:rPr>
                <w:rFonts w:ascii="仿宋_GB2312" w:hAnsi="仿宋_GB2312" w:eastAsia="仿宋_GB2312" w:cs="仿宋_GB2312"/>
                <w:sz w:val="20"/>
                <w:szCs w:val="20"/>
              </w:rPr>
            </w:pPr>
          </w:p>
        </w:tc>
      </w:tr>
    </w:tbl>
    <w:p w14:paraId="4A350D0F"/>
    <w:p w14:paraId="0A3DB039"/>
    <w:p w14:paraId="7D7237AE"/>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E4C6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2972229">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71B562D">
            <w:pPr>
              <w:spacing w:line="240" w:lineRule="atLeast"/>
              <w:rPr>
                <w:rFonts w:asciiTheme="majorEastAsia" w:hAnsiTheme="majorEastAsia" w:eastAsiaTheme="majorEastAsia" w:cstheme="majorEastAsia"/>
                <w:spacing w:val="-20"/>
                <w:sz w:val="20"/>
                <w:szCs w:val="20"/>
              </w:rPr>
            </w:pPr>
          </w:p>
          <w:p w14:paraId="1A9AC17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CE6CF5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BE4CB2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CBD6B2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978E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4895E9B">
            <w:pPr>
              <w:spacing w:line="240" w:lineRule="atLeast"/>
              <w:jc w:val="left"/>
              <w:rPr>
                <w:rFonts w:ascii="仿宋_GB2312" w:hAnsi="仿宋_GB2312" w:eastAsia="仿宋_GB2312" w:cs="仿宋_GB2312"/>
                <w:sz w:val="20"/>
                <w:szCs w:val="20"/>
              </w:rPr>
            </w:pPr>
          </w:p>
        </w:tc>
        <w:tc>
          <w:tcPr>
            <w:tcW w:w="555" w:type="dxa"/>
            <w:vMerge w:val="continue"/>
          </w:tcPr>
          <w:p w14:paraId="09A00859">
            <w:pPr>
              <w:spacing w:line="240" w:lineRule="atLeast"/>
              <w:jc w:val="left"/>
              <w:rPr>
                <w:rFonts w:ascii="仿宋_GB2312" w:hAnsi="仿宋_GB2312" w:eastAsia="仿宋_GB2312" w:cs="仿宋_GB2312"/>
                <w:sz w:val="20"/>
                <w:szCs w:val="20"/>
              </w:rPr>
            </w:pPr>
          </w:p>
        </w:tc>
        <w:tc>
          <w:tcPr>
            <w:tcW w:w="784" w:type="dxa"/>
            <w:vAlign w:val="center"/>
          </w:tcPr>
          <w:p w14:paraId="200DEA3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AEAA6E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8F54A3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95C4BB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A62CFF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3ECAE5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1F1B6F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736156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B46FE3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7678150">
            <w:pPr>
              <w:spacing w:line="240" w:lineRule="atLeast"/>
              <w:jc w:val="left"/>
              <w:rPr>
                <w:rFonts w:ascii="仿宋_GB2312" w:hAnsi="仿宋_GB2312" w:eastAsia="仿宋_GB2312" w:cs="仿宋_GB2312"/>
                <w:sz w:val="20"/>
                <w:szCs w:val="20"/>
              </w:rPr>
            </w:pPr>
          </w:p>
        </w:tc>
      </w:tr>
      <w:tr w14:paraId="5213A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C6E2D5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96</w:t>
            </w:r>
          </w:p>
        </w:tc>
        <w:tc>
          <w:tcPr>
            <w:tcW w:w="555" w:type="dxa"/>
            <w:vAlign w:val="center"/>
          </w:tcPr>
          <w:p w14:paraId="0ADB95D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CD32EA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84B898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E571DF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对以其他单位的名义或者允许其他单位以本单位的名义承揽地质灾害危险性评估、地质灾害治理工程勘查、设计、施工和监理业务行为的处罚</w:t>
            </w:r>
          </w:p>
        </w:tc>
        <w:tc>
          <w:tcPr>
            <w:tcW w:w="660" w:type="dxa"/>
            <w:vAlign w:val="center"/>
          </w:tcPr>
          <w:p w14:paraId="08BA43B5">
            <w:pPr>
              <w:snapToGrid w:val="0"/>
              <w:spacing w:line="240" w:lineRule="atLeast"/>
              <w:jc w:val="center"/>
              <w:rPr>
                <w:rFonts w:ascii="仿宋_GB2312" w:hAnsi="仿宋_GB2312" w:eastAsia="仿宋_GB2312" w:cs="仿宋_GB2312"/>
                <w:sz w:val="20"/>
                <w:szCs w:val="20"/>
              </w:rPr>
            </w:pPr>
          </w:p>
        </w:tc>
        <w:tc>
          <w:tcPr>
            <w:tcW w:w="615" w:type="dxa"/>
            <w:vAlign w:val="center"/>
          </w:tcPr>
          <w:p w14:paraId="10278B1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A3E819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28F99E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地质灾害防治条例》（2003年国务院令第394号）第四十四条：违反本条例规定，有下列行为之一的，由县级以上人民政府国土资源主管部门或者其他部门依据职责责令停止违法行为，对地质灾害危险性评估单位、地质灾害治理工程勘查、设计或者监理单位处合同约定的评估费、勘查费、设计费或者监理酬金1倍以上2倍以下的罚款，对地质灾害治理工程施工单位处工程价款2％以上4％以下的罚款，并可以责令停业整顿，降低资质等级；有违法所得的，没收违法所得；情节严重的，吊销其资质证书；构成犯罪的，依法追究刑事责任；给他人造成损失的，依法承担赔偿责任：</w:t>
            </w:r>
          </w:p>
          <w:p w14:paraId="60FD260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（四）以其他单位的名义或者允许其他单位以本单位的名义承揽地质灾害危险性评估、地质灾害治理工程勘查、设计、施工和监理业务的。</w:t>
            </w:r>
          </w:p>
        </w:tc>
        <w:tc>
          <w:tcPr>
            <w:tcW w:w="3585" w:type="dxa"/>
            <w:vAlign w:val="center"/>
          </w:tcPr>
          <w:p w14:paraId="436105D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AB4E43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9E9608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27FDF1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731378E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894603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398989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FA69AD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A31EAE9">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95B1DF0">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938518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8C45E6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A5C446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350570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326E80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4EDB044">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A6551D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52646F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0E329C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403DDF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5D5A6E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8B60C0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165F46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702E6A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2DC114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E49912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AF9AFE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9893FF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7D5DC0F">
            <w:pPr>
              <w:snapToGrid w:val="0"/>
              <w:spacing w:line="240" w:lineRule="atLeast"/>
              <w:jc w:val="center"/>
              <w:rPr>
                <w:rFonts w:ascii="仿宋_GB2312" w:hAnsi="仿宋_GB2312" w:eastAsia="仿宋_GB2312" w:cs="仿宋_GB2312"/>
                <w:sz w:val="20"/>
                <w:szCs w:val="20"/>
              </w:rPr>
            </w:pPr>
          </w:p>
        </w:tc>
      </w:tr>
    </w:tbl>
    <w:p w14:paraId="3DA15338"/>
    <w:p w14:paraId="4B59F073"/>
    <w:p w14:paraId="3034651E"/>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0892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E05AAC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08E10FC">
            <w:pPr>
              <w:spacing w:line="240" w:lineRule="atLeast"/>
              <w:rPr>
                <w:rFonts w:asciiTheme="majorEastAsia" w:hAnsiTheme="majorEastAsia" w:eastAsiaTheme="majorEastAsia" w:cstheme="majorEastAsia"/>
                <w:spacing w:val="-20"/>
                <w:sz w:val="20"/>
                <w:szCs w:val="20"/>
              </w:rPr>
            </w:pPr>
          </w:p>
          <w:p w14:paraId="4B09342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5821AD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5ADD7F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B72B69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FA92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9240B8D">
            <w:pPr>
              <w:spacing w:line="240" w:lineRule="atLeast"/>
              <w:jc w:val="left"/>
              <w:rPr>
                <w:rFonts w:ascii="仿宋_GB2312" w:hAnsi="仿宋_GB2312" w:eastAsia="仿宋_GB2312" w:cs="仿宋_GB2312"/>
                <w:sz w:val="20"/>
                <w:szCs w:val="20"/>
              </w:rPr>
            </w:pPr>
          </w:p>
        </w:tc>
        <w:tc>
          <w:tcPr>
            <w:tcW w:w="555" w:type="dxa"/>
            <w:vMerge w:val="continue"/>
          </w:tcPr>
          <w:p w14:paraId="0D82BB60">
            <w:pPr>
              <w:spacing w:line="240" w:lineRule="atLeast"/>
              <w:jc w:val="left"/>
              <w:rPr>
                <w:rFonts w:ascii="仿宋_GB2312" w:hAnsi="仿宋_GB2312" w:eastAsia="仿宋_GB2312" w:cs="仿宋_GB2312"/>
                <w:sz w:val="20"/>
                <w:szCs w:val="20"/>
              </w:rPr>
            </w:pPr>
          </w:p>
        </w:tc>
        <w:tc>
          <w:tcPr>
            <w:tcW w:w="784" w:type="dxa"/>
            <w:vAlign w:val="center"/>
          </w:tcPr>
          <w:p w14:paraId="6BA552A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970E65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7923D8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86BF6B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630D62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51D8F0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377DDE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8B9072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B364F1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7AABB5F">
            <w:pPr>
              <w:spacing w:line="240" w:lineRule="atLeast"/>
              <w:jc w:val="left"/>
              <w:rPr>
                <w:rFonts w:ascii="仿宋_GB2312" w:hAnsi="仿宋_GB2312" w:eastAsia="仿宋_GB2312" w:cs="仿宋_GB2312"/>
                <w:sz w:val="20"/>
                <w:szCs w:val="20"/>
              </w:rPr>
            </w:pPr>
          </w:p>
        </w:tc>
      </w:tr>
      <w:tr w14:paraId="431F0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26D615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97</w:t>
            </w:r>
          </w:p>
        </w:tc>
        <w:tc>
          <w:tcPr>
            <w:tcW w:w="555" w:type="dxa"/>
            <w:vAlign w:val="center"/>
          </w:tcPr>
          <w:p w14:paraId="03C9B66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4227FC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F9EC2F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2404A9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对侵占、损毁、损坏地质灾害监测设施或者地质灾害治理工程设施行为的处罚</w:t>
            </w:r>
          </w:p>
        </w:tc>
        <w:tc>
          <w:tcPr>
            <w:tcW w:w="660" w:type="dxa"/>
            <w:vAlign w:val="center"/>
          </w:tcPr>
          <w:p w14:paraId="26C0BC4A">
            <w:pPr>
              <w:snapToGrid w:val="0"/>
              <w:spacing w:line="240" w:lineRule="atLeast"/>
              <w:jc w:val="center"/>
              <w:rPr>
                <w:rFonts w:ascii="仿宋_GB2312" w:hAnsi="仿宋_GB2312" w:eastAsia="仿宋_GB2312" w:cs="仿宋_GB2312"/>
                <w:sz w:val="20"/>
                <w:szCs w:val="20"/>
              </w:rPr>
            </w:pPr>
          </w:p>
        </w:tc>
        <w:tc>
          <w:tcPr>
            <w:tcW w:w="615" w:type="dxa"/>
            <w:vAlign w:val="center"/>
          </w:tcPr>
          <w:p w14:paraId="3AD23D7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79FACB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0AA536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地质灾害防治条例》（2003年国务院令第394号）第四十六条：违反本条例规定，侵占、损毁、损坏地质灾害监测设施或者地质灾害治理工程设施的，由县级以上地方人民政府国土资源主管部门责令停止违法行为，限期恢复原状或者采取补救措施，可以处5万元以下的罚款；构成犯罪的，依法追究刑事责任。</w:t>
            </w:r>
          </w:p>
        </w:tc>
        <w:tc>
          <w:tcPr>
            <w:tcW w:w="3585" w:type="dxa"/>
            <w:vAlign w:val="center"/>
          </w:tcPr>
          <w:p w14:paraId="5FD1B2E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C7A828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4EAAB97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报分管领导批准召开案件会审会；重大案件须提交局长办公会或更高层次研究。</w:t>
            </w:r>
          </w:p>
          <w:p w14:paraId="119E02D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74DFB7B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EDD7D0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5566830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D7E35E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15DCEC9">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2726837">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2CBCC9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F85EC8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5FDD6C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7D9907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6BF234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A34A6A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7F8432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C5DC44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835E4D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93CD22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229A29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FEF9BD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F12590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8B7878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3DBA9E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62A7D3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26C89A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955B96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DD0B3AE">
            <w:pPr>
              <w:snapToGrid w:val="0"/>
              <w:spacing w:line="240" w:lineRule="atLeast"/>
              <w:jc w:val="center"/>
              <w:rPr>
                <w:rFonts w:ascii="仿宋_GB2312" w:hAnsi="仿宋_GB2312" w:eastAsia="仿宋_GB2312" w:cs="仿宋_GB2312"/>
                <w:sz w:val="20"/>
                <w:szCs w:val="20"/>
              </w:rPr>
            </w:pPr>
          </w:p>
        </w:tc>
      </w:tr>
    </w:tbl>
    <w:p w14:paraId="28DB21C0"/>
    <w:p w14:paraId="107AA6A5"/>
    <w:p w14:paraId="6A20A405"/>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2922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297165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19C254E">
            <w:pPr>
              <w:spacing w:line="240" w:lineRule="atLeast"/>
              <w:rPr>
                <w:rFonts w:asciiTheme="majorEastAsia" w:hAnsiTheme="majorEastAsia" w:eastAsiaTheme="majorEastAsia" w:cstheme="majorEastAsia"/>
                <w:spacing w:val="-20"/>
                <w:sz w:val="20"/>
                <w:szCs w:val="20"/>
              </w:rPr>
            </w:pPr>
          </w:p>
          <w:p w14:paraId="630017C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373715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ACC454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3E4F5E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AFF6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CEA4B72">
            <w:pPr>
              <w:spacing w:line="240" w:lineRule="atLeast"/>
              <w:jc w:val="left"/>
              <w:rPr>
                <w:rFonts w:ascii="仿宋_GB2312" w:hAnsi="仿宋_GB2312" w:eastAsia="仿宋_GB2312" w:cs="仿宋_GB2312"/>
                <w:sz w:val="20"/>
                <w:szCs w:val="20"/>
              </w:rPr>
            </w:pPr>
          </w:p>
        </w:tc>
        <w:tc>
          <w:tcPr>
            <w:tcW w:w="555" w:type="dxa"/>
            <w:vMerge w:val="continue"/>
          </w:tcPr>
          <w:p w14:paraId="0C4DE0D8">
            <w:pPr>
              <w:spacing w:line="240" w:lineRule="atLeast"/>
              <w:jc w:val="left"/>
              <w:rPr>
                <w:rFonts w:ascii="仿宋_GB2312" w:hAnsi="仿宋_GB2312" w:eastAsia="仿宋_GB2312" w:cs="仿宋_GB2312"/>
                <w:sz w:val="20"/>
                <w:szCs w:val="20"/>
              </w:rPr>
            </w:pPr>
          </w:p>
        </w:tc>
        <w:tc>
          <w:tcPr>
            <w:tcW w:w="784" w:type="dxa"/>
            <w:vAlign w:val="center"/>
          </w:tcPr>
          <w:p w14:paraId="405CE3B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AF932B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E4660E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AC7D0A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0FDA63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9CF693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88C741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F714EF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DCFE33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0DBDD1C">
            <w:pPr>
              <w:spacing w:line="240" w:lineRule="atLeast"/>
              <w:jc w:val="left"/>
              <w:rPr>
                <w:rFonts w:ascii="仿宋_GB2312" w:hAnsi="仿宋_GB2312" w:eastAsia="仿宋_GB2312" w:cs="仿宋_GB2312"/>
                <w:sz w:val="20"/>
                <w:szCs w:val="20"/>
              </w:rPr>
            </w:pPr>
          </w:p>
        </w:tc>
      </w:tr>
      <w:tr w14:paraId="45CD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E89E4B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98</w:t>
            </w:r>
          </w:p>
        </w:tc>
        <w:tc>
          <w:tcPr>
            <w:tcW w:w="555" w:type="dxa"/>
            <w:vAlign w:val="center"/>
          </w:tcPr>
          <w:p w14:paraId="589E1FE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689131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020F8F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EB1C9E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对不及时办理地质灾害危险性评估资质证书变更、注销手续行为的处罚</w:t>
            </w:r>
          </w:p>
        </w:tc>
        <w:tc>
          <w:tcPr>
            <w:tcW w:w="660" w:type="dxa"/>
            <w:vAlign w:val="center"/>
          </w:tcPr>
          <w:p w14:paraId="1DEBBA61">
            <w:pPr>
              <w:snapToGrid w:val="0"/>
              <w:spacing w:line="240" w:lineRule="atLeast"/>
              <w:jc w:val="center"/>
              <w:rPr>
                <w:rFonts w:ascii="仿宋_GB2312" w:hAnsi="仿宋_GB2312" w:eastAsia="仿宋_GB2312" w:cs="仿宋_GB2312"/>
                <w:sz w:val="20"/>
                <w:szCs w:val="20"/>
              </w:rPr>
            </w:pPr>
          </w:p>
        </w:tc>
        <w:tc>
          <w:tcPr>
            <w:tcW w:w="615" w:type="dxa"/>
            <w:vAlign w:val="center"/>
          </w:tcPr>
          <w:p w14:paraId="03D7B76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5C692C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1E5B74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部门规章】《地质灾害危险性评估单位资质管理办法》（2005年国土资源部令第29号公布，2019年自然资源部令第5号修正）第二十二条：资质单位发生合并或者分立的，应当及时到原审批机关办理资质证书注销手续。需要继续从业的，应当重新申请。资质单位名称、地址、法定代表人、技术负责人等事项发生变更的，应当在变更后三十日内，到原审批机关办理资质证书变更手续。资质单位破产、歇业或者因其他原因终止业务活动的，应当在办理营业执照注销手续后十五日内，到原审批机关办理资质证书注销手续。</w:t>
            </w:r>
          </w:p>
          <w:p w14:paraId="1F9CA5B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第二十九条：资质单位违反本办法第二十二条的规定，不及时办理资质证书变更、注销手续的，由县级以上自然资源主管部门责令限期改正；逾期不改的，可以处五千元以下罚款。</w:t>
            </w:r>
          </w:p>
        </w:tc>
        <w:tc>
          <w:tcPr>
            <w:tcW w:w="3585" w:type="dxa"/>
            <w:vAlign w:val="center"/>
          </w:tcPr>
          <w:p w14:paraId="55B2F0F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9B627E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1374B70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DDAD88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3FE2DE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EFAC1E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98D55D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CC6F3B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DEC179D">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2C64DD4">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D9683A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226270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DB3817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BDB79C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B46919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A6D7278">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2F3B13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40E223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82FCEB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CB8951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425B25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38E162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3FFCAA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B90355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5D2449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10DC6C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C86564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5C9E32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10F751E">
            <w:pPr>
              <w:snapToGrid w:val="0"/>
              <w:spacing w:line="240" w:lineRule="atLeast"/>
              <w:jc w:val="center"/>
              <w:rPr>
                <w:rFonts w:ascii="仿宋_GB2312" w:hAnsi="仿宋_GB2312" w:eastAsia="仿宋_GB2312" w:cs="仿宋_GB2312"/>
                <w:sz w:val="20"/>
                <w:szCs w:val="20"/>
              </w:rPr>
            </w:pPr>
          </w:p>
        </w:tc>
      </w:tr>
    </w:tbl>
    <w:p w14:paraId="59282897"/>
    <w:p w14:paraId="4D76445B"/>
    <w:p w14:paraId="0B47C2FD"/>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7C54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371A4A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36D1630">
            <w:pPr>
              <w:spacing w:line="240" w:lineRule="atLeast"/>
              <w:rPr>
                <w:rFonts w:asciiTheme="majorEastAsia" w:hAnsiTheme="majorEastAsia" w:eastAsiaTheme="majorEastAsia" w:cstheme="majorEastAsia"/>
                <w:spacing w:val="-20"/>
                <w:sz w:val="20"/>
                <w:szCs w:val="20"/>
              </w:rPr>
            </w:pPr>
          </w:p>
          <w:p w14:paraId="7101E85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16CB28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6DC41E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88A051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45E6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1035905">
            <w:pPr>
              <w:spacing w:line="240" w:lineRule="atLeast"/>
              <w:jc w:val="left"/>
              <w:rPr>
                <w:rFonts w:ascii="仿宋_GB2312" w:hAnsi="仿宋_GB2312" w:eastAsia="仿宋_GB2312" w:cs="仿宋_GB2312"/>
                <w:sz w:val="20"/>
                <w:szCs w:val="20"/>
              </w:rPr>
            </w:pPr>
          </w:p>
        </w:tc>
        <w:tc>
          <w:tcPr>
            <w:tcW w:w="555" w:type="dxa"/>
            <w:vMerge w:val="continue"/>
          </w:tcPr>
          <w:p w14:paraId="331D0F84">
            <w:pPr>
              <w:spacing w:line="240" w:lineRule="atLeast"/>
              <w:jc w:val="left"/>
              <w:rPr>
                <w:rFonts w:ascii="仿宋_GB2312" w:hAnsi="仿宋_GB2312" w:eastAsia="仿宋_GB2312" w:cs="仿宋_GB2312"/>
                <w:sz w:val="20"/>
                <w:szCs w:val="20"/>
              </w:rPr>
            </w:pPr>
          </w:p>
        </w:tc>
        <w:tc>
          <w:tcPr>
            <w:tcW w:w="784" w:type="dxa"/>
            <w:vAlign w:val="center"/>
          </w:tcPr>
          <w:p w14:paraId="6104424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F61813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7D29BA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0AF948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2BA811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2CCF06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62AAAA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AB33D9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827A35A">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AF31FB1">
            <w:pPr>
              <w:spacing w:line="240" w:lineRule="atLeast"/>
              <w:jc w:val="left"/>
              <w:rPr>
                <w:rFonts w:ascii="仿宋_GB2312" w:hAnsi="仿宋_GB2312" w:eastAsia="仿宋_GB2312" w:cs="仿宋_GB2312"/>
                <w:sz w:val="20"/>
                <w:szCs w:val="20"/>
              </w:rPr>
            </w:pPr>
          </w:p>
        </w:tc>
      </w:tr>
      <w:tr w14:paraId="1405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9E65B4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99</w:t>
            </w:r>
          </w:p>
        </w:tc>
        <w:tc>
          <w:tcPr>
            <w:tcW w:w="555" w:type="dxa"/>
            <w:vAlign w:val="center"/>
          </w:tcPr>
          <w:p w14:paraId="07ADD27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A4C286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EEB1BE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636370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对不按时办理地质灾害危险性评估单位资质和项目备案行为的处罚</w:t>
            </w:r>
          </w:p>
        </w:tc>
        <w:tc>
          <w:tcPr>
            <w:tcW w:w="660" w:type="dxa"/>
            <w:vAlign w:val="center"/>
          </w:tcPr>
          <w:p w14:paraId="21116ABB">
            <w:pPr>
              <w:snapToGrid w:val="0"/>
              <w:spacing w:line="240" w:lineRule="atLeast"/>
              <w:jc w:val="center"/>
              <w:rPr>
                <w:rFonts w:ascii="仿宋_GB2312" w:hAnsi="仿宋_GB2312" w:eastAsia="仿宋_GB2312" w:cs="仿宋_GB2312"/>
                <w:sz w:val="20"/>
                <w:szCs w:val="20"/>
              </w:rPr>
            </w:pPr>
          </w:p>
        </w:tc>
        <w:tc>
          <w:tcPr>
            <w:tcW w:w="615" w:type="dxa"/>
            <w:vAlign w:val="center"/>
          </w:tcPr>
          <w:p w14:paraId="08D4855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D3280B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96C38B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部门规章】《地质灾害危险性评估单位资质管理办法》（2005年国土资源部令第29号公布，2019年自然资源部令第5号修正）第二十七条：资质单位应当在签订地质灾害危险性评估项目合同后十日内，到项目所在地的县级自然资源主管部门进行资质和项目备案。</w:t>
            </w:r>
          </w:p>
          <w:p w14:paraId="6B96360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评估项目跨行政区域的，资质单位应当向项目所跨行政区域共同的上一级自然资源主管部门备案。</w:t>
            </w:r>
          </w:p>
          <w:p w14:paraId="00F6B8C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第三十条：资质单位违反本办法第二十七条的规定，不按时进行资质和项目备案的，由县级以上自然资源主管部门责令限期改正；逾期不改的，可以处一万元以下的罚款。</w:t>
            </w:r>
          </w:p>
        </w:tc>
        <w:tc>
          <w:tcPr>
            <w:tcW w:w="3585" w:type="dxa"/>
            <w:vAlign w:val="center"/>
          </w:tcPr>
          <w:p w14:paraId="5C179DF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B8DC29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5EC2DC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48D59B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74A9979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F51B4C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AE7507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2C94E1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52E4E1A">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26D100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9844BA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05D675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040870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4351BB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D36DED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AA4EAA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EF415A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343868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567953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BCBF78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87B7B1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10E603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50AF18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81BB29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4B4B4B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2C31D5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944D5F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122451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F08D991">
            <w:pPr>
              <w:snapToGrid w:val="0"/>
              <w:spacing w:line="240" w:lineRule="atLeast"/>
              <w:jc w:val="center"/>
              <w:rPr>
                <w:rFonts w:ascii="仿宋_GB2312" w:hAnsi="仿宋_GB2312" w:eastAsia="仿宋_GB2312" w:cs="仿宋_GB2312"/>
                <w:sz w:val="20"/>
                <w:szCs w:val="20"/>
              </w:rPr>
            </w:pPr>
          </w:p>
        </w:tc>
      </w:tr>
    </w:tbl>
    <w:p w14:paraId="715EB69B"/>
    <w:p w14:paraId="0BD44C78"/>
    <w:p w14:paraId="0A470DD0"/>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E1F5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E8C32D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0B44FC1">
            <w:pPr>
              <w:spacing w:line="240" w:lineRule="atLeast"/>
              <w:rPr>
                <w:rFonts w:asciiTheme="majorEastAsia" w:hAnsiTheme="majorEastAsia" w:eastAsiaTheme="majorEastAsia" w:cstheme="majorEastAsia"/>
                <w:spacing w:val="-20"/>
                <w:sz w:val="20"/>
                <w:szCs w:val="20"/>
              </w:rPr>
            </w:pPr>
          </w:p>
          <w:p w14:paraId="0DEC5B7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9443B2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260674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51AB13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123E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B7C0EDC">
            <w:pPr>
              <w:spacing w:line="240" w:lineRule="atLeast"/>
              <w:jc w:val="left"/>
              <w:rPr>
                <w:rFonts w:ascii="仿宋_GB2312" w:hAnsi="仿宋_GB2312" w:eastAsia="仿宋_GB2312" w:cs="仿宋_GB2312"/>
                <w:sz w:val="20"/>
                <w:szCs w:val="20"/>
              </w:rPr>
            </w:pPr>
          </w:p>
        </w:tc>
        <w:tc>
          <w:tcPr>
            <w:tcW w:w="555" w:type="dxa"/>
            <w:vMerge w:val="continue"/>
          </w:tcPr>
          <w:p w14:paraId="2A9E8EEE">
            <w:pPr>
              <w:spacing w:line="240" w:lineRule="atLeast"/>
              <w:jc w:val="left"/>
              <w:rPr>
                <w:rFonts w:ascii="仿宋_GB2312" w:hAnsi="仿宋_GB2312" w:eastAsia="仿宋_GB2312" w:cs="仿宋_GB2312"/>
                <w:sz w:val="20"/>
                <w:szCs w:val="20"/>
              </w:rPr>
            </w:pPr>
          </w:p>
        </w:tc>
        <w:tc>
          <w:tcPr>
            <w:tcW w:w="784" w:type="dxa"/>
            <w:vAlign w:val="center"/>
          </w:tcPr>
          <w:p w14:paraId="5798177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8DE36A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216B0D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EE8BE4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885B2C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68CD4C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CB6A1D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3207EA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ED595A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C79D14D">
            <w:pPr>
              <w:spacing w:line="240" w:lineRule="atLeast"/>
              <w:jc w:val="left"/>
              <w:rPr>
                <w:rFonts w:ascii="仿宋_GB2312" w:hAnsi="仿宋_GB2312" w:eastAsia="仿宋_GB2312" w:cs="仿宋_GB2312"/>
                <w:sz w:val="20"/>
                <w:szCs w:val="20"/>
              </w:rPr>
            </w:pPr>
          </w:p>
        </w:tc>
      </w:tr>
      <w:tr w14:paraId="73280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3BBD2D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100</w:t>
            </w:r>
          </w:p>
        </w:tc>
        <w:tc>
          <w:tcPr>
            <w:tcW w:w="555" w:type="dxa"/>
            <w:vAlign w:val="center"/>
          </w:tcPr>
          <w:p w14:paraId="4413104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DDAE38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B6FBA4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938A3D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对不及时办理地质灾害治理工程勘查设计施工单位资质证书变更、注销手续行为的处罚</w:t>
            </w:r>
          </w:p>
        </w:tc>
        <w:tc>
          <w:tcPr>
            <w:tcW w:w="660" w:type="dxa"/>
            <w:vAlign w:val="center"/>
          </w:tcPr>
          <w:p w14:paraId="0AE6AE71">
            <w:pPr>
              <w:snapToGrid w:val="0"/>
              <w:spacing w:line="240" w:lineRule="atLeast"/>
              <w:jc w:val="center"/>
              <w:rPr>
                <w:rFonts w:ascii="仿宋_GB2312" w:hAnsi="仿宋_GB2312" w:eastAsia="仿宋_GB2312" w:cs="仿宋_GB2312"/>
                <w:sz w:val="20"/>
                <w:szCs w:val="20"/>
              </w:rPr>
            </w:pPr>
          </w:p>
        </w:tc>
        <w:tc>
          <w:tcPr>
            <w:tcW w:w="615" w:type="dxa"/>
            <w:vAlign w:val="center"/>
          </w:tcPr>
          <w:p w14:paraId="589B6F8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FC22EA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8EC17A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部门规章】《地质灾害治理工程勘查设计施工单位资质管理办法》（2005年国土资源部令第30号公布，2019年自然资源部令第5号修正）第二十八条：资质单位不按照本办法第二十一条的规定及时办理资质证书变更、注销手续的，由县级以上自然资源主管部门责令限期改正；逾期不改的，可以处五千元以下罚款。</w:t>
            </w:r>
          </w:p>
          <w:p w14:paraId="62275FD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第二十一条：资质单位发生合并或者分立的，应当及时到原审批机关办理资质证书注销手续。需要继续从业的，应当重新申请。</w:t>
            </w:r>
          </w:p>
          <w:p w14:paraId="5D3720F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资质单位名称、地址、法定代表人、技术负责人等事项发生变更的，应当在变更后三十日内，到原审批机关办理资质证书变更手续。</w:t>
            </w:r>
          </w:p>
          <w:p w14:paraId="00058A5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资质单位破产、歇业或者因其他原因终止业务活动的，应当在办理营业执照注销手续后十五日内，到原审批机关办理资质证书注销手续。</w:t>
            </w:r>
          </w:p>
        </w:tc>
        <w:tc>
          <w:tcPr>
            <w:tcW w:w="3585" w:type="dxa"/>
            <w:vAlign w:val="center"/>
          </w:tcPr>
          <w:p w14:paraId="610246C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D4A7C2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B6DCE2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759469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825271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107F46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1B4BAE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F0BC8B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730969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BC50300">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023881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84B7E1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7A3657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2DA650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6FA595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EE767A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9AF6DD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427A29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3CDF82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0BDB3B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1E9FF7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4C3FDB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13EC15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113710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DE9844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7F5FC5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E9BB98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9F184C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D3E1410">
            <w:pPr>
              <w:snapToGrid w:val="0"/>
              <w:spacing w:line="240" w:lineRule="atLeast"/>
              <w:jc w:val="center"/>
              <w:rPr>
                <w:rFonts w:ascii="仿宋_GB2312" w:hAnsi="仿宋_GB2312" w:eastAsia="仿宋_GB2312" w:cs="仿宋_GB2312"/>
                <w:sz w:val="20"/>
                <w:szCs w:val="20"/>
              </w:rPr>
            </w:pPr>
          </w:p>
        </w:tc>
      </w:tr>
    </w:tbl>
    <w:p w14:paraId="328C3BC3"/>
    <w:p w14:paraId="46E5CFEC"/>
    <w:p w14:paraId="488E9789"/>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945E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C5B892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ADBA275">
            <w:pPr>
              <w:spacing w:line="240" w:lineRule="atLeast"/>
              <w:rPr>
                <w:rFonts w:asciiTheme="majorEastAsia" w:hAnsiTheme="majorEastAsia" w:eastAsiaTheme="majorEastAsia" w:cstheme="majorEastAsia"/>
                <w:spacing w:val="-20"/>
                <w:sz w:val="20"/>
                <w:szCs w:val="20"/>
              </w:rPr>
            </w:pPr>
          </w:p>
          <w:p w14:paraId="536377D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D3F691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47BD8A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8C0BB1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757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57377F7">
            <w:pPr>
              <w:spacing w:line="240" w:lineRule="atLeast"/>
              <w:jc w:val="left"/>
              <w:rPr>
                <w:rFonts w:ascii="仿宋_GB2312" w:hAnsi="仿宋_GB2312" w:eastAsia="仿宋_GB2312" w:cs="仿宋_GB2312"/>
                <w:sz w:val="20"/>
                <w:szCs w:val="20"/>
              </w:rPr>
            </w:pPr>
          </w:p>
        </w:tc>
        <w:tc>
          <w:tcPr>
            <w:tcW w:w="555" w:type="dxa"/>
            <w:vMerge w:val="continue"/>
          </w:tcPr>
          <w:p w14:paraId="23BBBE2A">
            <w:pPr>
              <w:spacing w:line="240" w:lineRule="atLeast"/>
              <w:jc w:val="left"/>
              <w:rPr>
                <w:rFonts w:ascii="仿宋_GB2312" w:hAnsi="仿宋_GB2312" w:eastAsia="仿宋_GB2312" w:cs="仿宋_GB2312"/>
                <w:sz w:val="20"/>
                <w:szCs w:val="20"/>
              </w:rPr>
            </w:pPr>
          </w:p>
        </w:tc>
        <w:tc>
          <w:tcPr>
            <w:tcW w:w="784" w:type="dxa"/>
            <w:vAlign w:val="center"/>
          </w:tcPr>
          <w:p w14:paraId="0371D2C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5C09BC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A9E793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65A403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86C279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3B04AE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944A7C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1440CD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6C3A66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F587F2C">
            <w:pPr>
              <w:spacing w:line="240" w:lineRule="atLeast"/>
              <w:jc w:val="left"/>
              <w:rPr>
                <w:rFonts w:ascii="仿宋_GB2312" w:hAnsi="仿宋_GB2312" w:eastAsia="仿宋_GB2312" w:cs="仿宋_GB2312"/>
                <w:sz w:val="20"/>
                <w:szCs w:val="20"/>
              </w:rPr>
            </w:pPr>
          </w:p>
        </w:tc>
      </w:tr>
      <w:tr w14:paraId="08E4B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3B7E24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101</w:t>
            </w:r>
          </w:p>
        </w:tc>
        <w:tc>
          <w:tcPr>
            <w:tcW w:w="555" w:type="dxa"/>
            <w:vAlign w:val="center"/>
          </w:tcPr>
          <w:p w14:paraId="54330BB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3A000F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55F8D1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33367E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对未按规定及时办理地质灾害治理工程监理单位资质证书变更、注销手续行为的处罚</w:t>
            </w:r>
          </w:p>
        </w:tc>
        <w:tc>
          <w:tcPr>
            <w:tcW w:w="660" w:type="dxa"/>
            <w:vAlign w:val="center"/>
          </w:tcPr>
          <w:p w14:paraId="257598DB">
            <w:pPr>
              <w:snapToGrid w:val="0"/>
              <w:spacing w:line="240" w:lineRule="atLeast"/>
              <w:jc w:val="center"/>
              <w:rPr>
                <w:rFonts w:ascii="仿宋_GB2312" w:hAnsi="仿宋_GB2312" w:eastAsia="仿宋_GB2312" w:cs="仿宋_GB2312"/>
                <w:sz w:val="20"/>
                <w:szCs w:val="20"/>
              </w:rPr>
            </w:pPr>
          </w:p>
        </w:tc>
        <w:tc>
          <w:tcPr>
            <w:tcW w:w="615" w:type="dxa"/>
            <w:vAlign w:val="center"/>
          </w:tcPr>
          <w:p w14:paraId="1064FC4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799469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B52C35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部门规章】《地质灾害治理工程监理单位资质管理办法》（2005年国土资源部令第31号公布，2019年自然资源部令第5号修正）第十八条：资质单位发生合并或者分立的，应当及时到原审批机关办理资质证书注销手续。需要继续从业的，重新申请。</w:t>
            </w:r>
          </w:p>
          <w:p w14:paraId="37C8EC5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第十九条：资质单位名称、地址、法定代表人、技术负责人等事项发生变更的，应当在变更后三十日内，到原审批机关办理资质证书变更手续。</w:t>
            </w:r>
          </w:p>
          <w:p w14:paraId="53F4AE7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第二十条：资质单位破产、歇业或者因其他原因终止业务活动的，应当在办理营业执照注销手续后十五日内，到原审批机关办理资质证书注销手续。</w:t>
            </w:r>
          </w:p>
          <w:p w14:paraId="3C73315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第二十六条： 资质单位不按照本办法第十八条、第十九条和第二十条的规定及时办理资质证书变更、注销手续的，由县级以上自然资源主管部门责令限期改正；逾期不改的，可以处五千元以下罚款。</w:t>
            </w:r>
          </w:p>
        </w:tc>
        <w:tc>
          <w:tcPr>
            <w:tcW w:w="3585" w:type="dxa"/>
            <w:vAlign w:val="center"/>
          </w:tcPr>
          <w:p w14:paraId="0D81677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DDD1AD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367D0F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6BF503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C9A6AA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F95348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AF8126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0D4B11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586AB45">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50FE96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AFD0FC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35A552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BCE591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C8A24A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F88516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A31C69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FEF443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B1FB8D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4FB9CF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C445F2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0F03D6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3099AF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F6E410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6203A2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B0F7ED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DD7732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6D6857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85F092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3C56AEB">
            <w:pPr>
              <w:snapToGrid w:val="0"/>
              <w:spacing w:line="240" w:lineRule="atLeast"/>
              <w:jc w:val="center"/>
              <w:rPr>
                <w:rFonts w:ascii="仿宋_GB2312" w:hAnsi="仿宋_GB2312" w:eastAsia="仿宋_GB2312" w:cs="仿宋_GB2312"/>
                <w:sz w:val="20"/>
                <w:szCs w:val="20"/>
              </w:rPr>
            </w:pPr>
          </w:p>
        </w:tc>
      </w:tr>
    </w:tbl>
    <w:p w14:paraId="540688EF"/>
    <w:p w14:paraId="359D127C"/>
    <w:p w14:paraId="131505CF"/>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D973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7E8E7A7">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D6895D1">
            <w:pPr>
              <w:spacing w:line="240" w:lineRule="atLeast"/>
              <w:rPr>
                <w:rFonts w:asciiTheme="majorEastAsia" w:hAnsiTheme="majorEastAsia" w:eastAsiaTheme="majorEastAsia" w:cstheme="majorEastAsia"/>
                <w:spacing w:val="-20"/>
                <w:sz w:val="20"/>
                <w:szCs w:val="20"/>
              </w:rPr>
            </w:pPr>
          </w:p>
          <w:p w14:paraId="2B80972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7C34D3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917E9C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6E516E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BB5B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4A709AA">
            <w:pPr>
              <w:spacing w:line="240" w:lineRule="atLeast"/>
              <w:jc w:val="left"/>
              <w:rPr>
                <w:rFonts w:ascii="仿宋_GB2312" w:hAnsi="仿宋_GB2312" w:eastAsia="仿宋_GB2312" w:cs="仿宋_GB2312"/>
                <w:sz w:val="20"/>
                <w:szCs w:val="20"/>
              </w:rPr>
            </w:pPr>
          </w:p>
        </w:tc>
        <w:tc>
          <w:tcPr>
            <w:tcW w:w="555" w:type="dxa"/>
            <w:vMerge w:val="continue"/>
          </w:tcPr>
          <w:p w14:paraId="2DFB8ACF">
            <w:pPr>
              <w:spacing w:line="240" w:lineRule="atLeast"/>
              <w:jc w:val="left"/>
              <w:rPr>
                <w:rFonts w:ascii="仿宋_GB2312" w:hAnsi="仿宋_GB2312" w:eastAsia="仿宋_GB2312" w:cs="仿宋_GB2312"/>
                <w:sz w:val="20"/>
                <w:szCs w:val="20"/>
              </w:rPr>
            </w:pPr>
          </w:p>
        </w:tc>
        <w:tc>
          <w:tcPr>
            <w:tcW w:w="784" w:type="dxa"/>
            <w:vAlign w:val="center"/>
          </w:tcPr>
          <w:p w14:paraId="354010A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D924E4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D9C7DD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7E2BCF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F6ECE5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9FA284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4F795E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ABCE71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990413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0622BF0">
            <w:pPr>
              <w:spacing w:line="240" w:lineRule="atLeast"/>
              <w:jc w:val="left"/>
              <w:rPr>
                <w:rFonts w:ascii="仿宋_GB2312" w:hAnsi="仿宋_GB2312" w:eastAsia="仿宋_GB2312" w:cs="仿宋_GB2312"/>
                <w:sz w:val="20"/>
                <w:szCs w:val="20"/>
              </w:rPr>
            </w:pPr>
          </w:p>
        </w:tc>
      </w:tr>
      <w:tr w14:paraId="22539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2752A3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102</w:t>
            </w:r>
          </w:p>
        </w:tc>
        <w:tc>
          <w:tcPr>
            <w:tcW w:w="555" w:type="dxa"/>
            <w:vAlign w:val="center"/>
          </w:tcPr>
          <w:p w14:paraId="3F00587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95A57D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F3C971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45F19C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对不按规定办理地质灾害治理工程监理单位资质和项目备案手续行为的处罚</w:t>
            </w:r>
          </w:p>
        </w:tc>
        <w:tc>
          <w:tcPr>
            <w:tcW w:w="660" w:type="dxa"/>
            <w:vAlign w:val="center"/>
          </w:tcPr>
          <w:p w14:paraId="1FAF60FD">
            <w:pPr>
              <w:snapToGrid w:val="0"/>
              <w:spacing w:line="240" w:lineRule="atLeast"/>
              <w:jc w:val="center"/>
              <w:rPr>
                <w:rFonts w:ascii="仿宋_GB2312" w:hAnsi="仿宋_GB2312" w:eastAsia="仿宋_GB2312" w:cs="仿宋_GB2312"/>
                <w:sz w:val="20"/>
                <w:szCs w:val="20"/>
              </w:rPr>
            </w:pPr>
          </w:p>
        </w:tc>
        <w:tc>
          <w:tcPr>
            <w:tcW w:w="615" w:type="dxa"/>
            <w:vAlign w:val="center"/>
          </w:tcPr>
          <w:p w14:paraId="18FEE3B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024698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D51160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部门规章】《地质灾害治理工程勘查设计施工单位资质管理办法》（2005年国土资源部令第30号公布，2019年自然资源部令第5号修正）第二十七条：承担地质灾害治理工程项目的资质单位，应当在项目合同签订后十日内，到工程所在地的县级自然资源主管部门备案。</w:t>
            </w:r>
          </w:p>
          <w:p w14:paraId="78B91EA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地质灾害治理工程项目跨行政区域的，资质单位应当向项目所跨行政区域共同的上一级自然资源主管部门备案。</w:t>
            </w:r>
          </w:p>
          <w:p w14:paraId="5242EDD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第二十九条：资质单位不按照本办法第二十七条的规定进行备案的，由县级以上自然资源主管部门责令限期改正；逾期仍不改正的，可以处一万元以下罚款。</w:t>
            </w:r>
          </w:p>
        </w:tc>
        <w:tc>
          <w:tcPr>
            <w:tcW w:w="3585" w:type="dxa"/>
            <w:vAlign w:val="center"/>
          </w:tcPr>
          <w:p w14:paraId="6B84564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1DD4A0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B097B9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FAC6D3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5BAED7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FB9A44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5136F1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0E8CB5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5BF57AC">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8DD2CC6">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E62359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543EB4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EE5C79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95B21D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9CABAD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30BDF5F">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DD76F7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F5C12F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68DE4F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00B2B7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4BDE12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05E87A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DF0D0B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F93A94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098B75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9DE671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C9A1F4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9A6567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EB57D7D">
            <w:pPr>
              <w:snapToGrid w:val="0"/>
              <w:spacing w:line="240" w:lineRule="atLeast"/>
              <w:jc w:val="center"/>
              <w:rPr>
                <w:rFonts w:ascii="仿宋_GB2312" w:hAnsi="仿宋_GB2312" w:eastAsia="仿宋_GB2312" w:cs="仿宋_GB2312"/>
                <w:sz w:val="20"/>
                <w:szCs w:val="20"/>
              </w:rPr>
            </w:pPr>
          </w:p>
        </w:tc>
      </w:tr>
    </w:tbl>
    <w:p w14:paraId="61713329"/>
    <w:p w14:paraId="05ED67AE"/>
    <w:p w14:paraId="07A24BF0"/>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7C2E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1E0456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229AF21">
            <w:pPr>
              <w:spacing w:line="240" w:lineRule="atLeast"/>
              <w:rPr>
                <w:rFonts w:asciiTheme="majorEastAsia" w:hAnsiTheme="majorEastAsia" w:eastAsiaTheme="majorEastAsia" w:cstheme="majorEastAsia"/>
                <w:spacing w:val="-20"/>
                <w:sz w:val="20"/>
                <w:szCs w:val="20"/>
              </w:rPr>
            </w:pPr>
          </w:p>
          <w:p w14:paraId="1359B44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19CE4C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E97EBA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78264D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6E06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3DA110A">
            <w:pPr>
              <w:spacing w:line="240" w:lineRule="atLeast"/>
              <w:jc w:val="left"/>
              <w:rPr>
                <w:rFonts w:ascii="仿宋_GB2312" w:hAnsi="仿宋_GB2312" w:eastAsia="仿宋_GB2312" w:cs="仿宋_GB2312"/>
                <w:sz w:val="20"/>
                <w:szCs w:val="20"/>
              </w:rPr>
            </w:pPr>
          </w:p>
        </w:tc>
        <w:tc>
          <w:tcPr>
            <w:tcW w:w="555" w:type="dxa"/>
            <w:vMerge w:val="continue"/>
          </w:tcPr>
          <w:p w14:paraId="53C9D298">
            <w:pPr>
              <w:spacing w:line="240" w:lineRule="atLeast"/>
              <w:jc w:val="left"/>
              <w:rPr>
                <w:rFonts w:ascii="仿宋_GB2312" w:hAnsi="仿宋_GB2312" w:eastAsia="仿宋_GB2312" w:cs="仿宋_GB2312"/>
                <w:sz w:val="20"/>
                <w:szCs w:val="20"/>
              </w:rPr>
            </w:pPr>
          </w:p>
        </w:tc>
        <w:tc>
          <w:tcPr>
            <w:tcW w:w="784" w:type="dxa"/>
            <w:vAlign w:val="center"/>
          </w:tcPr>
          <w:p w14:paraId="06FED8C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4C524D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F7B7F6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6D9420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3FC863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B41B4B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144D15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46833C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83CA5B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F4B6DE4">
            <w:pPr>
              <w:spacing w:line="240" w:lineRule="atLeast"/>
              <w:jc w:val="left"/>
              <w:rPr>
                <w:rFonts w:ascii="仿宋_GB2312" w:hAnsi="仿宋_GB2312" w:eastAsia="仿宋_GB2312" w:cs="仿宋_GB2312"/>
                <w:sz w:val="20"/>
                <w:szCs w:val="20"/>
              </w:rPr>
            </w:pPr>
          </w:p>
        </w:tc>
      </w:tr>
      <w:tr w14:paraId="797A1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3CC711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103</w:t>
            </w:r>
          </w:p>
        </w:tc>
        <w:tc>
          <w:tcPr>
            <w:tcW w:w="555" w:type="dxa"/>
            <w:vAlign w:val="center"/>
          </w:tcPr>
          <w:p w14:paraId="1B91FE0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178044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E4005B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5E0B36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对未按照批准的矿山地质环境保护与治理恢复方案治理的，或者在矿山被批准关闭、闭坑前未完成治理恢复行为的处罚</w:t>
            </w:r>
          </w:p>
        </w:tc>
        <w:tc>
          <w:tcPr>
            <w:tcW w:w="660" w:type="dxa"/>
            <w:vAlign w:val="center"/>
          </w:tcPr>
          <w:p w14:paraId="5FE03D62">
            <w:pPr>
              <w:snapToGrid w:val="0"/>
              <w:spacing w:line="240" w:lineRule="atLeast"/>
              <w:jc w:val="center"/>
              <w:rPr>
                <w:rFonts w:ascii="仿宋_GB2312" w:hAnsi="仿宋_GB2312" w:eastAsia="仿宋_GB2312" w:cs="仿宋_GB2312"/>
                <w:sz w:val="20"/>
                <w:szCs w:val="20"/>
              </w:rPr>
            </w:pPr>
          </w:p>
        </w:tc>
        <w:tc>
          <w:tcPr>
            <w:tcW w:w="615" w:type="dxa"/>
            <w:vAlign w:val="center"/>
          </w:tcPr>
          <w:p w14:paraId="3813829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392743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73D0B7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【部门规章】《矿山地质环境保护规定》（2009年国土资源部令第44号发布，2019年自然资源部令第5号修正）第四条：自然资源部负责全国矿山地质环境的保护工作。</w:t>
            </w:r>
          </w:p>
          <w:p w14:paraId="5607AC7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县级以上地方自然资源主管部门负责本行政区的矿山地质环境保护工作。</w:t>
            </w:r>
          </w:p>
          <w:p w14:paraId="656F3B1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七条：违反本规定，未按照批准的矿山地质环境保护与土地复垦方案治理的，或者在矿山被批准关闭、闭坑前未完成治理恢复的，责令限期改正，并列入矿业权人异常名录或严重违法名单；逾期拒不改正的或整改不到位的，处3万元以下的罚款，不受理其申请新的采矿权许可证或者申请采矿权许可证延续、变更、注销。</w:t>
            </w:r>
          </w:p>
        </w:tc>
        <w:tc>
          <w:tcPr>
            <w:tcW w:w="3585" w:type="dxa"/>
            <w:vAlign w:val="center"/>
          </w:tcPr>
          <w:p w14:paraId="1F83487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044501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170971E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8ACA50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B1F9C2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171743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57AFCD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B0ABEE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6FD4D8B">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99D242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9696B0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BD3F3B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1AC7F0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706FC7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803D35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D3F2D2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19D992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0FE866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788A87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85D810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43F7AB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602161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5395F4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EF4837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39AD78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3F0298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83BA18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A6C754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91AB26B">
            <w:pPr>
              <w:snapToGrid w:val="0"/>
              <w:spacing w:line="240" w:lineRule="atLeast"/>
              <w:jc w:val="center"/>
              <w:rPr>
                <w:rFonts w:ascii="仿宋_GB2312" w:hAnsi="仿宋_GB2312" w:eastAsia="仿宋_GB2312" w:cs="仿宋_GB2312"/>
                <w:sz w:val="20"/>
                <w:szCs w:val="20"/>
              </w:rPr>
            </w:pPr>
          </w:p>
        </w:tc>
      </w:tr>
    </w:tbl>
    <w:p w14:paraId="3DA792AC"/>
    <w:p w14:paraId="049AF3DD"/>
    <w:p w14:paraId="35EBD5B4"/>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B12E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4DB28B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14BA082">
            <w:pPr>
              <w:spacing w:line="240" w:lineRule="atLeast"/>
              <w:rPr>
                <w:rFonts w:asciiTheme="majorEastAsia" w:hAnsiTheme="majorEastAsia" w:eastAsiaTheme="majorEastAsia" w:cstheme="majorEastAsia"/>
                <w:spacing w:val="-20"/>
                <w:sz w:val="20"/>
                <w:szCs w:val="20"/>
              </w:rPr>
            </w:pPr>
          </w:p>
          <w:p w14:paraId="073B0A7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5AF7FF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8ED093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5DCE51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8DA6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FED0E9D">
            <w:pPr>
              <w:spacing w:line="240" w:lineRule="atLeast"/>
              <w:jc w:val="left"/>
              <w:rPr>
                <w:rFonts w:ascii="仿宋_GB2312" w:hAnsi="仿宋_GB2312" w:eastAsia="仿宋_GB2312" w:cs="仿宋_GB2312"/>
                <w:sz w:val="20"/>
                <w:szCs w:val="20"/>
              </w:rPr>
            </w:pPr>
          </w:p>
        </w:tc>
        <w:tc>
          <w:tcPr>
            <w:tcW w:w="555" w:type="dxa"/>
            <w:vMerge w:val="continue"/>
          </w:tcPr>
          <w:p w14:paraId="404DB2AB">
            <w:pPr>
              <w:spacing w:line="240" w:lineRule="atLeast"/>
              <w:jc w:val="left"/>
              <w:rPr>
                <w:rFonts w:ascii="仿宋_GB2312" w:hAnsi="仿宋_GB2312" w:eastAsia="仿宋_GB2312" w:cs="仿宋_GB2312"/>
                <w:sz w:val="20"/>
                <w:szCs w:val="20"/>
              </w:rPr>
            </w:pPr>
          </w:p>
        </w:tc>
        <w:tc>
          <w:tcPr>
            <w:tcW w:w="784" w:type="dxa"/>
            <w:vAlign w:val="center"/>
          </w:tcPr>
          <w:p w14:paraId="0E97175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F37703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7C6524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DD1854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BB6EC4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CFCE7F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D85781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C37442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C53434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7E98F07">
            <w:pPr>
              <w:spacing w:line="240" w:lineRule="atLeast"/>
              <w:jc w:val="left"/>
              <w:rPr>
                <w:rFonts w:ascii="仿宋_GB2312" w:hAnsi="仿宋_GB2312" w:eastAsia="仿宋_GB2312" w:cs="仿宋_GB2312"/>
                <w:sz w:val="20"/>
                <w:szCs w:val="20"/>
              </w:rPr>
            </w:pPr>
          </w:p>
        </w:tc>
      </w:tr>
      <w:tr w14:paraId="00DA7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6FE164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104</w:t>
            </w:r>
          </w:p>
        </w:tc>
        <w:tc>
          <w:tcPr>
            <w:tcW w:w="555" w:type="dxa"/>
            <w:vAlign w:val="center"/>
          </w:tcPr>
          <w:p w14:paraId="133D06C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C78BF4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212B98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1A2601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对未按规定计提矿山地质环境治理恢复基金行为的处罚</w:t>
            </w:r>
          </w:p>
        </w:tc>
        <w:tc>
          <w:tcPr>
            <w:tcW w:w="660" w:type="dxa"/>
            <w:vAlign w:val="center"/>
          </w:tcPr>
          <w:p w14:paraId="1896AD22">
            <w:pPr>
              <w:snapToGrid w:val="0"/>
              <w:spacing w:line="240" w:lineRule="atLeast"/>
              <w:jc w:val="center"/>
              <w:rPr>
                <w:rFonts w:ascii="仿宋_GB2312" w:hAnsi="仿宋_GB2312" w:eastAsia="仿宋_GB2312" w:cs="仿宋_GB2312"/>
                <w:sz w:val="20"/>
                <w:szCs w:val="20"/>
              </w:rPr>
            </w:pPr>
          </w:p>
        </w:tc>
        <w:tc>
          <w:tcPr>
            <w:tcW w:w="615" w:type="dxa"/>
            <w:vAlign w:val="center"/>
          </w:tcPr>
          <w:p w14:paraId="2E3856C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E1AB5F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A14AA3E">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部门规章】《矿山地质环境保护规定》（2009年国土资源部令第44号发布，2019年自然资源部令第5号修正）第二十八条：违反本规定，未按规定计提矿山地质环境治理恢复基金的，由县级以上自然资源主管部门责令限期计提；逾期不计提的，处3万元以下的罚款。颁发采矿许可证的自然资源主管部门不得通过其采矿活动年度报告，不受理其采矿权延续变更申请。</w:t>
            </w:r>
          </w:p>
        </w:tc>
        <w:tc>
          <w:tcPr>
            <w:tcW w:w="3585" w:type="dxa"/>
            <w:vAlign w:val="center"/>
          </w:tcPr>
          <w:p w14:paraId="7EF4FBA2">
            <w:pPr>
              <w:widowControl/>
              <w:adjustRightInd w:val="0"/>
              <w:snapToGrid w:val="0"/>
              <w:spacing w:line="230"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1.立案阶段责任：接到举报或相关部门转送、巡查发现违法行为，及时予以审查，决定是否立案。下达《责令停止违法行为通知书》。</w:t>
            </w:r>
          </w:p>
          <w:p w14:paraId="7ACB0214">
            <w:pPr>
              <w:widowControl/>
              <w:adjustRightInd w:val="0"/>
              <w:snapToGrid w:val="0"/>
              <w:spacing w:line="230"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08C962D">
            <w:pPr>
              <w:widowControl/>
              <w:adjustRightInd w:val="0"/>
              <w:snapToGrid w:val="0"/>
              <w:spacing w:line="230"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C3FF39A">
            <w:pPr>
              <w:widowControl/>
              <w:adjustRightInd w:val="0"/>
              <w:snapToGrid w:val="0"/>
              <w:spacing w:line="230"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265C079">
            <w:pPr>
              <w:widowControl/>
              <w:adjustRightInd w:val="0"/>
              <w:snapToGrid w:val="0"/>
              <w:spacing w:line="230"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5.决定阶段责任：制作行政处罚决定书，载明行政处罚告知、当事人陈述申辩或者听证情况等内容。符合刑事案件移送条件的，及时移送。</w:t>
            </w:r>
          </w:p>
          <w:p w14:paraId="250CDF61">
            <w:pPr>
              <w:widowControl/>
              <w:adjustRightInd w:val="0"/>
              <w:snapToGrid w:val="0"/>
              <w:spacing w:line="230"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6.送达阶段责任：行政处罚决定书按法律规定的方式送达当事人。</w:t>
            </w:r>
          </w:p>
          <w:p w14:paraId="3FD1190D">
            <w:pPr>
              <w:widowControl/>
              <w:adjustRightInd w:val="0"/>
              <w:snapToGrid w:val="0"/>
              <w:spacing w:line="230"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7.执行阶段责任：当事人履行处罚决定的，及时结案；未履行处罚决定，依照生效的行政处罚决定，按程序下达催缴（告）通知书和申请人民法院强制执行。</w:t>
            </w:r>
          </w:p>
          <w:p w14:paraId="4983C385">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8.其他法律法规规章文件规定应履行的责任。</w:t>
            </w:r>
          </w:p>
        </w:tc>
        <w:tc>
          <w:tcPr>
            <w:tcW w:w="9515" w:type="dxa"/>
            <w:vAlign w:val="center"/>
          </w:tcPr>
          <w:p w14:paraId="71282D37">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E28BC7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6D89C1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7FE489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2578E5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D45663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767AD6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9A585F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5399EB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E06C22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74C57B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586F97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F2F401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D7111B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842BFC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9F157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32332B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EA72B5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4E7EE2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437D5C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8723FE1">
            <w:pPr>
              <w:snapToGrid w:val="0"/>
              <w:spacing w:line="240" w:lineRule="atLeast"/>
              <w:jc w:val="center"/>
              <w:rPr>
                <w:rFonts w:ascii="仿宋_GB2312" w:hAnsi="仿宋_GB2312" w:eastAsia="仿宋_GB2312" w:cs="仿宋_GB2312"/>
                <w:sz w:val="20"/>
                <w:szCs w:val="20"/>
              </w:rPr>
            </w:pPr>
          </w:p>
        </w:tc>
      </w:tr>
    </w:tbl>
    <w:p w14:paraId="3593B87C"/>
    <w:p w14:paraId="175E5BE8"/>
    <w:p w14:paraId="56F7438E"/>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BD58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3653343">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A6DA4E4">
            <w:pPr>
              <w:spacing w:line="240" w:lineRule="atLeast"/>
              <w:rPr>
                <w:rFonts w:asciiTheme="majorEastAsia" w:hAnsiTheme="majorEastAsia" w:eastAsiaTheme="majorEastAsia" w:cstheme="majorEastAsia"/>
                <w:spacing w:val="-20"/>
                <w:sz w:val="20"/>
                <w:szCs w:val="20"/>
              </w:rPr>
            </w:pPr>
          </w:p>
          <w:p w14:paraId="730A049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580A8D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0F0CB2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E950D98">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871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B3C6352">
            <w:pPr>
              <w:spacing w:line="240" w:lineRule="atLeast"/>
              <w:jc w:val="left"/>
              <w:rPr>
                <w:rFonts w:ascii="仿宋_GB2312" w:hAnsi="仿宋_GB2312" w:eastAsia="仿宋_GB2312" w:cs="仿宋_GB2312"/>
                <w:sz w:val="20"/>
                <w:szCs w:val="20"/>
              </w:rPr>
            </w:pPr>
          </w:p>
        </w:tc>
        <w:tc>
          <w:tcPr>
            <w:tcW w:w="555" w:type="dxa"/>
            <w:vMerge w:val="continue"/>
          </w:tcPr>
          <w:p w14:paraId="3413F592">
            <w:pPr>
              <w:spacing w:line="240" w:lineRule="atLeast"/>
              <w:jc w:val="left"/>
              <w:rPr>
                <w:rFonts w:ascii="仿宋_GB2312" w:hAnsi="仿宋_GB2312" w:eastAsia="仿宋_GB2312" w:cs="仿宋_GB2312"/>
                <w:sz w:val="20"/>
                <w:szCs w:val="20"/>
              </w:rPr>
            </w:pPr>
          </w:p>
        </w:tc>
        <w:tc>
          <w:tcPr>
            <w:tcW w:w="784" w:type="dxa"/>
            <w:vAlign w:val="center"/>
          </w:tcPr>
          <w:p w14:paraId="3100B5A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E3EBD9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BBBE50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9DD07B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A35CB0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E35CBD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34E414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A311F3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7301F1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5FC917E">
            <w:pPr>
              <w:spacing w:line="240" w:lineRule="atLeast"/>
              <w:jc w:val="left"/>
              <w:rPr>
                <w:rFonts w:ascii="仿宋_GB2312" w:hAnsi="仿宋_GB2312" w:eastAsia="仿宋_GB2312" w:cs="仿宋_GB2312"/>
                <w:sz w:val="20"/>
                <w:szCs w:val="20"/>
              </w:rPr>
            </w:pPr>
          </w:p>
        </w:tc>
      </w:tr>
      <w:tr w14:paraId="263E2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8E239E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105</w:t>
            </w:r>
          </w:p>
        </w:tc>
        <w:tc>
          <w:tcPr>
            <w:tcW w:w="555" w:type="dxa"/>
            <w:vAlign w:val="center"/>
          </w:tcPr>
          <w:p w14:paraId="52ECCE8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3F4109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38ACE2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5E0332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对应当编制矿山地质环境保护与土地复垦方案而未编制的，或者扩大开采规模、变更矿区范围或者开采方式，未重新编制矿山地质环境保护与土地复垦方案并经原审批机关批准行为的处罚</w:t>
            </w:r>
          </w:p>
        </w:tc>
        <w:tc>
          <w:tcPr>
            <w:tcW w:w="660" w:type="dxa"/>
            <w:vAlign w:val="center"/>
          </w:tcPr>
          <w:p w14:paraId="20C133D0">
            <w:pPr>
              <w:snapToGrid w:val="0"/>
              <w:spacing w:line="240" w:lineRule="atLeast"/>
              <w:jc w:val="center"/>
              <w:rPr>
                <w:rFonts w:ascii="仿宋_GB2312" w:hAnsi="仿宋_GB2312" w:eastAsia="仿宋_GB2312" w:cs="仿宋_GB2312"/>
                <w:sz w:val="20"/>
                <w:szCs w:val="20"/>
              </w:rPr>
            </w:pPr>
          </w:p>
        </w:tc>
        <w:tc>
          <w:tcPr>
            <w:tcW w:w="615" w:type="dxa"/>
            <w:vAlign w:val="center"/>
          </w:tcPr>
          <w:p w14:paraId="7B9754C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DC5378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BA8693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【部门规章】《矿山地质环境保护规定》（2009年国土资源部令第44号发布，2019年自然资源部令第5号修正）第四条：自然资源部负责全国矿山地质环境的保护工作。</w:t>
            </w:r>
          </w:p>
          <w:p w14:paraId="4555B64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县级以上地方自然资源主管部门负责本行政区的矿山地质环境保护工作。</w:t>
            </w:r>
          </w:p>
          <w:p w14:paraId="2C89640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六条：违反本规定，应当编制矿山地质环境保护与土地复垦方案而未编制的，或者扩大开采规模、变更矿区范围或者开采方式，未重新编制矿山地质环境保护与土地复垦方案并经原审批机关批准的，责令限期改正，并列入矿业权人异常名录或严重违法名单；逾期不改正的，处3万元以下的罚款，不受理其申请新的采矿许可证或者申请采矿许可证延续、变更、注销。</w:t>
            </w:r>
          </w:p>
        </w:tc>
        <w:tc>
          <w:tcPr>
            <w:tcW w:w="3585" w:type="dxa"/>
            <w:vAlign w:val="center"/>
          </w:tcPr>
          <w:p w14:paraId="31DD6F4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EA02DC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119076C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2DA528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24D5C1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513096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440F07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E7B424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54B49C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B73DDA0">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3BC754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6915F9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FF62B8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6B5D5D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3A77EF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935047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408505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C7EA94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A3E1DB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0AFC44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F0E1C3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E8C3DE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C46666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70A8A2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279BF5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DBC86C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B5BED5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9BD5EA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61A313F">
            <w:pPr>
              <w:snapToGrid w:val="0"/>
              <w:spacing w:line="240" w:lineRule="atLeast"/>
              <w:jc w:val="center"/>
              <w:rPr>
                <w:rFonts w:ascii="仿宋_GB2312" w:hAnsi="仿宋_GB2312" w:eastAsia="仿宋_GB2312" w:cs="仿宋_GB2312"/>
                <w:sz w:val="20"/>
                <w:szCs w:val="20"/>
              </w:rPr>
            </w:pPr>
          </w:p>
        </w:tc>
      </w:tr>
    </w:tbl>
    <w:p w14:paraId="5A1D25F6"/>
    <w:p w14:paraId="67C8C153"/>
    <w:p w14:paraId="1F7B31D8"/>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3EFF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96E74A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99A98B6">
            <w:pPr>
              <w:spacing w:line="240" w:lineRule="atLeast"/>
              <w:rPr>
                <w:rFonts w:asciiTheme="majorEastAsia" w:hAnsiTheme="majorEastAsia" w:eastAsiaTheme="majorEastAsia" w:cstheme="majorEastAsia"/>
                <w:spacing w:val="-20"/>
                <w:sz w:val="20"/>
                <w:szCs w:val="20"/>
              </w:rPr>
            </w:pPr>
          </w:p>
          <w:p w14:paraId="1B1E253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39C2A6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C5D4AF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E87AE1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C6A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6E89367">
            <w:pPr>
              <w:spacing w:line="240" w:lineRule="atLeast"/>
              <w:jc w:val="left"/>
              <w:rPr>
                <w:rFonts w:ascii="仿宋_GB2312" w:hAnsi="仿宋_GB2312" w:eastAsia="仿宋_GB2312" w:cs="仿宋_GB2312"/>
                <w:sz w:val="20"/>
                <w:szCs w:val="20"/>
              </w:rPr>
            </w:pPr>
          </w:p>
        </w:tc>
        <w:tc>
          <w:tcPr>
            <w:tcW w:w="555" w:type="dxa"/>
            <w:vMerge w:val="continue"/>
          </w:tcPr>
          <w:p w14:paraId="39DF396F">
            <w:pPr>
              <w:spacing w:line="240" w:lineRule="atLeast"/>
              <w:jc w:val="left"/>
              <w:rPr>
                <w:rFonts w:ascii="仿宋_GB2312" w:hAnsi="仿宋_GB2312" w:eastAsia="仿宋_GB2312" w:cs="仿宋_GB2312"/>
                <w:sz w:val="20"/>
                <w:szCs w:val="20"/>
              </w:rPr>
            </w:pPr>
          </w:p>
        </w:tc>
        <w:tc>
          <w:tcPr>
            <w:tcW w:w="784" w:type="dxa"/>
            <w:vAlign w:val="center"/>
          </w:tcPr>
          <w:p w14:paraId="5494D51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C9EBA3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B75016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E6D66F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E816B5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CA934B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706186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F99868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052216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55D7BF4">
            <w:pPr>
              <w:spacing w:line="240" w:lineRule="atLeast"/>
              <w:jc w:val="left"/>
              <w:rPr>
                <w:rFonts w:ascii="仿宋_GB2312" w:hAnsi="仿宋_GB2312" w:eastAsia="仿宋_GB2312" w:cs="仿宋_GB2312"/>
                <w:sz w:val="20"/>
                <w:szCs w:val="20"/>
              </w:rPr>
            </w:pPr>
          </w:p>
        </w:tc>
      </w:tr>
      <w:tr w14:paraId="26662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3D3860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106</w:t>
            </w:r>
          </w:p>
        </w:tc>
        <w:tc>
          <w:tcPr>
            <w:tcW w:w="555" w:type="dxa"/>
            <w:vAlign w:val="center"/>
          </w:tcPr>
          <w:p w14:paraId="6E56D7A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F36961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419B26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1C51E0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对扰乱、阻碍矿山地质环境保护与治理恢复工作，侵占、损坏、损毁矿山地质环境监测设施或者矿山地质环境保护与治理恢复设施行为的处罚</w:t>
            </w:r>
          </w:p>
        </w:tc>
        <w:tc>
          <w:tcPr>
            <w:tcW w:w="660" w:type="dxa"/>
            <w:vAlign w:val="center"/>
          </w:tcPr>
          <w:p w14:paraId="539F4C7F">
            <w:pPr>
              <w:snapToGrid w:val="0"/>
              <w:spacing w:line="240" w:lineRule="atLeast"/>
              <w:jc w:val="center"/>
              <w:rPr>
                <w:rFonts w:ascii="仿宋_GB2312" w:hAnsi="仿宋_GB2312" w:eastAsia="仿宋_GB2312" w:cs="仿宋_GB2312"/>
                <w:sz w:val="20"/>
                <w:szCs w:val="20"/>
              </w:rPr>
            </w:pPr>
          </w:p>
        </w:tc>
        <w:tc>
          <w:tcPr>
            <w:tcW w:w="615" w:type="dxa"/>
            <w:vAlign w:val="center"/>
          </w:tcPr>
          <w:p w14:paraId="3A9F6B9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769E46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68A669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部门规章】《矿山地质环境保护规定》（2009年国土资源部令第44号发布，2019年自然资源部令第5号修正）第三十条：违反本规定，扰乱、阻碍矿山地质环境保护与治理恢复工作，侵占、损坏、损毁矿山地质环境监测设施或者矿山地质环境保护与治理恢复设施的，由县级以上自然资源主管部门责令停止违法行为，限期恢复原状或者采取补救措施，并处3万元以下的罚款；构成犯罪的，依法追究刑事责任。</w:t>
            </w:r>
          </w:p>
        </w:tc>
        <w:tc>
          <w:tcPr>
            <w:tcW w:w="3585" w:type="dxa"/>
            <w:vAlign w:val="center"/>
          </w:tcPr>
          <w:p w14:paraId="4FD1609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474A9F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F5E6E0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B1A4DB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82CAD8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7885F6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ACE398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BAABE7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B42F79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EA5A7E3">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5064CC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F34C96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5D491F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58C57D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D83E7A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3B54EA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5E380E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61C822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0C02EC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3FC2EC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CF495E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30EB31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863E00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30FD74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907935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C0667B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AF7FF0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5BFFC4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FDF8077">
            <w:pPr>
              <w:snapToGrid w:val="0"/>
              <w:spacing w:line="240" w:lineRule="atLeast"/>
              <w:jc w:val="center"/>
              <w:rPr>
                <w:rFonts w:ascii="仿宋_GB2312" w:hAnsi="仿宋_GB2312" w:eastAsia="仿宋_GB2312" w:cs="仿宋_GB2312"/>
                <w:sz w:val="20"/>
                <w:szCs w:val="20"/>
              </w:rPr>
            </w:pPr>
          </w:p>
        </w:tc>
      </w:tr>
    </w:tbl>
    <w:p w14:paraId="5F6CCED1"/>
    <w:p w14:paraId="2017F8C7"/>
    <w:p w14:paraId="39BFB4C3"/>
    <w:p w14:paraId="7405139F"/>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48E2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5EE6CF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B0256DC">
            <w:pPr>
              <w:spacing w:line="240" w:lineRule="atLeast"/>
              <w:rPr>
                <w:rFonts w:asciiTheme="majorEastAsia" w:hAnsiTheme="majorEastAsia" w:eastAsiaTheme="majorEastAsia" w:cstheme="majorEastAsia"/>
                <w:spacing w:val="-20"/>
                <w:sz w:val="20"/>
                <w:szCs w:val="20"/>
              </w:rPr>
            </w:pPr>
          </w:p>
          <w:p w14:paraId="0B3DB27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5E4A98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6293A2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321B3F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33F3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2B80A97">
            <w:pPr>
              <w:spacing w:line="240" w:lineRule="atLeast"/>
              <w:jc w:val="left"/>
              <w:rPr>
                <w:rFonts w:ascii="仿宋_GB2312" w:hAnsi="仿宋_GB2312" w:eastAsia="仿宋_GB2312" w:cs="仿宋_GB2312"/>
                <w:sz w:val="20"/>
                <w:szCs w:val="20"/>
              </w:rPr>
            </w:pPr>
          </w:p>
        </w:tc>
        <w:tc>
          <w:tcPr>
            <w:tcW w:w="555" w:type="dxa"/>
            <w:vMerge w:val="continue"/>
          </w:tcPr>
          <w:p w14:paraId="01B5BC00">
            <w:pPr>
              <w:spacing w:line="240" w:lineRule="atLeast"/>
              <w:jc w:val="left"/>
              <w:rPr>
                <w:rFonts w:ascii="仿宋_GB2312" w:hAnsi="仿宋_GB2312" w:eastAsia="仿宋_GB2312" w:cs="仿宋_GB2312"/>
                <w:sz w:val="20"/>
                <w:szCs w:val="20"/>
              </w:rPr>
            </w:pPr>
          </w:p>
        </w:tc>
        <w:tc>
          <w:tcPr>
            <w:tcW w:w="784" w:type="dxa"/>
            <w:vAlign w:val="center"/>
          </w:tcPr>
          <w:p w14:paraId="0215999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ABD4D6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F23111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342F26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7C0974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91271F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3AE41A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54B2AF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C50C73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6A518CA">
            <w:pPr>
              <w:spacing w:line="240" w:lineRule="atLeast"/>
              <w:jc w:val="left"/>
              <w:rPr>
                <w:rFonts w:ascii="仿宋_GB2312" w:hAnsi="仿宋_GB2312" w:eastAsia="仿宋_GB2312" w:cs="仿宋_GB2312"/>
                <w:sz w:val="20"/>
                <w:szCs w:val="20"/>
              </w:rPr>
            </w:pPr>
          </w:p>
        </w:tc>
      </w:tr>
      <w:tr w14:paraId="78DDC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0B08E4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107</w:t>
            </w:r>
          </w:p>
        </w:tc>
        <w:tc>
          <w:tcPr>
            <w:tcW w:w="555" w:type="dxa"/>
            <w:vAlign w:val="center"/>
          </w:tcPr>
          <w:p w14:paraId="3E03977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C78022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A86EA2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806363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对未经批准发掘古生物化石行为的处罚</w:t>
            </w:r>
          </w:p>
        </w:tc>
        <w:tc>
          <w:tcPr>
            <w:tcW w:w="660" w:type="dxa"/>
            <w:vAlign w:val="center"/>
          </w:tcPr>
          <w:p w14:paraId="562B86EC">
            <w:pPr>
              <w:snapToGrid w:val="0"/>
              <w:spacing w:line="240" w:lineRule="atLeast"/>
              <w:jc w:val="center"/>
              <w:rPr>
                <w:rFonts w:ascii="仿宋_GB2312" w:hAnsi="仿宋_GB2312" w:eastAsia="仿宋_GB2312" w:cs="仿宋_GB2312"/>
                <w:sz w:val="20"/>
                <w:szCs w:val="20"/>
              </w:rPr>
            </w:pPr>
          </w:p>
        </w:tc>
        <w:tc>
          <w:tcPr>
            <w:tcW w:w="615" w:type="dxa"/>
            <w:vAlign w:val="center"/>
          </w:tcPr>
          <w:p w14:paraId="6D0530B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6F315C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99BA62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古生物化石保护条例》（2010年国务院令第580号公布，2019年国务院令第709号修订）第三十六条：单位或者个人有下列行为之一的，由县级以上人民政府自然资源主管部门责令停止发掘，限期改正，没收发掘的古生物化石，并处20万元以上50万元以下的罚款，构成违反治安管理行为的，由公安机关依法给予治安管理处罚；构成犯罪的，依法追究刑事责任：（一）未经批准发掘古生物化石的。</w:t>
            </w:r>
          </w:p>
          <w:p w14:paraId="6D9DADD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部门规章】《古生物化石保护条例实施办法》（2012年国土资源部令第57号公布，2019年自然资源部令第5号修正）第五十条：未经批准发掘古生物化石或者未按照批准的发掘方案发掘古生物化石的，县级以上人民政府自然资源主管部门责令停止发掘，限期改正，没收发掘的古生物化石，并处罚款。在国家级古生物化石自然保护区、国家地质公园和重点保护古生物化石集中产地内违法发掘的，处30万元以上50万元以下罚款；在其他区域内违法发掘的，处20万元以上30万元以下罚款。</w:t>
            </w:r>
          </w:p>
          <w:p w14:paraId="43E5FE4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未经批准或者未按照批准的发掘方案发掘古生物化石，构成违反治安管理行为的，由公安机关依法给予治安管理处罚；构成犯罪的，依法追究刑事责任。</w:t>
            </w:r>
          </w:p>
          <w:p w14:paraId="0C08253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未按照批准的发掘方案发掘古生物化石，情节严重的，由批准古生物化石发掘的自然资源主管部门撤销批准发掘的决定。</w:t>
            </w:r>
          </w:p>
        </w:tc>
        <w:tc>
          <w:tcPr>
            <w:tcW w:w="3585" w:type="dxa"/>
            <w:vAlign w:val="center"/>
          </w:tcPr>
          <w:p w14:paraId="1B60FAF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A8AB4D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93309B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461E7E3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61FE8C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1B9E47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5764140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7BE22D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11400C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4A7DCA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2B88B6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A89C8E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55C161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2C2FC0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73B078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A53641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F12619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8170AE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8C5851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4C9A07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C85210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AD9022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421879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80BB29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194052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DA788B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946578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8DD4D1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C0582EB">
            <w:pPr>
              <w:snapToGrid w:val="0"/>
              <w:spacing w:line="240" w:lineRule="atLeast"/>
              <w:jc w:val="center"/>
              <w:rPr>
                <w:rFonts w:ascii="仿宋_GB2312" w:hAnsi="仿宋_GB2312" w:eastAsia="仿宋_GB2312" w:cs="仿宋_GB2312"/>
                <w:sz w:val="20"/>
                <w:szCs w:val="20"/>
              </w:rPr>
            </w:pPr>
          </w:p>
        </w:tc>
      </w:tr>
    </w:tbl>
    <w:p w14:paraId="7F872AB4"/>
    <w:p w14:paraId="2C0A6E36"/>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5E4C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AB80F3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A8888AE">
            <w:pPr>
              <w:spacing w:line="240" w:lineRule="atLeast"/>
              <w:rPr>
                <w:rFonts w:asciiTheme="majorEastAsia" w:hAnsiTheme="majorEastAsia" w:eastAsiaTheme="majorEastAsia" w:cstheme="majorEastAsia"/>
                <w:spacing w:val="-20"/>
                <w:sz w:val="20"/>
                <w:szCs w:val="20"/>
              </w:rPr>
            </w:pPr>
          </w:p>
          <w:p w14:paraId="00EDBC0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1CFD33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CBA4FB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5D896D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CF3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F715E57">
            <w:pPr>
              <w:spacing w:line="240" w:lineRule="atLeast"/>
              <w:jc w:val="left"/>
              <w:rPr>
                <w:rFonts w:ascii="仿宋_GB2312" w:hAnsi="仿宋_GB2312" w:eastAsia="仿宋_GB2312" w:cs="仿宋_GB2312"/>
                <w:sz w:val="20"/>
                <w:szCs w:val="20"/>
              </w:rPr>
            </w:pPr>
          </w:p>
        </w:tc>
        <w:tc>
          <w:tcPr>
            <w:tcW w:w="555" w:type="dxa"/>
            <w:vMerge w:val="continue"/>
          </w:tcPr>
          <w:p w14:paraId="288542BE">
            <w:pPr>
              <w:spacing w:line="240" w:lineRule="atLeast"/>
              <w:jc w:val="left"/>
              <w:rPr>
                <w:rFonts w:ascii="仿宋_GB2312" w:hAnsi="仿宋_GB2312" w:eastAsia="仿宋_GB2312" w:cs="仿宋_GB2312"/>
                <w:sz w:val="20"/>
                <w:szCs w:val="20"/>
              </w:rPr>
            </w:pPr>
          </w:p>
        </w:tc>
        <w:tc>
          <w:tcPr>
            <w:tcW w:w="784" w:type="dxa"/>
            <w:vAlign w:val="center"/>
          </w:tcPr>
          <w:p w14:paraId="5DC96E4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9BD50E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F18FC7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0BEDDA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E1C15E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60C5BB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E733A2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34B612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C6FEB4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DB5C83F">
            <w:pPr>
              <w:spacing w:line="240" w:lineRule="atLeast"/>
              <w:jc w:val="left"/>
              <w:rPr>
                <w:rFonts w:ascii="仿宋_GB2312" w:hAnsi="仿宋_GB2312" w:eastAsia="仿宋_GB2312" w:cs="仿宋_GB2312"/>
                <w:sz w:val="20"/>
                <w:szCs w:val="20"/>
              </w:rPr>
            </w:pPr>
          </w:p>
        </w:tc>
      </w:tr>
      <w:tr w14:paraId="4D2FB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A4C115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108</w:t>
            </w:r>
          </w:p>
        </w:tc>
        <w:tc>
          <w:tcPr>
            <w:tcW w:w="555" w:type="dxa"/>
            <w:vAlign w:val="center"/>
          </w:tcPr>
          <w:p w14:paraId="4053AA0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C9031F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7FC9F0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A5F449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对未按照批准的发掘方案发掘古生物化石行为的处罚</w:t>
            </w:r>
          </w:p>
        </w:tc>
        <w:tc>
          <w:tcPr>
            <w:tcW w:w="660" w:type="dxa"/>
            <w:vAlign w:val="center"/>
          </w:tcPr>
          <w:p w14:paraId="138CDCF5">
            <w:pPr>
              <w:snapToGrid w:val="0"/>
              <w:spacing w:line="240" w:lineRule="atLeast"/>
              <w:jc w:val="center"/>
              <w:rPr>
                <w:rFonts w:ascii="仿宋_GB2312" w:hAnsi="仿宋_GB2312" w:eastAsia="仿宋_GB2312" w:cs="仿宋_GB2312"/>
                <w:sz w:val="20"/>
                <w:szCs w:val="20"/>
              </w:rPr>
            </w:pPr>
          </w:p>
        </w:tc>
        <w:tc>
          <w:tcPr>
            <w:tcW w:w="615" w:type="dxa"/>
            <w:vAlign w:val="center"/>
          </w:tcPr>
          <w:p w14:paraId="7F8B7B6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E908FE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4AE530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古生物化石保护条例》（2010年国务院令第580号公布，2019年国务院令第709号修订）第三十六条：单位或者个人有下列行为之一的，由县级以上人民政府自然资源主管部门责令停止发掘，限期改正，没收发掘的古生物化石，并处20万元以上50万元以下的罚款，构成违反治安管理行为的，由公安机关依法给予治安管理处罚；构成犯罪的，依法追究刑事责任：</w:t>
            </w:r>
          </w:p>
          <w:p w14:paraId="2915309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（二）未按照批准的发掘方案发掘古生物化石的。</w:t>
            </w:r>
          </w:p>
          <w:p w14:paraId="28EBBB5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有前款第（二）项行为，情节严重的，由批准古生物化石发掘的自然资源主管部门撤销批准发掘的决定。</w:t>
            </w:r>
          </w:p>
          <w:p w14:paraId="31C5398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部门规章】《古生物化石保护条例实施办法》（2012年国土资源部令第57号公布，2019年自然资源部令第5号修正）第五十条：未经批准发掘古生物化石或者未按照批准的发掘方案发掘古生物化石的，县级以上人民政府自然资源主管部门责令停止发掘，限期改正，没收发掘的古生物化石，并处罚款。在国家级古生物化石自然保护区、国家地质公园和重点保护古生物化石集中产地内违法发掘的，处30万元以上50万元以下罚款；在其他区域内违法发掘的，处20万元以上30万元以下罚款。</w:t>
            </w:r>
          </w:p>
          <w:p w14:paraId="6AD0C00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未经批准或者未按照批准的发掘方案发掘古生物化石，构成违反治安管理行为的，由公安机关依法给予治安管理处罚；构成犯罪的，依法追究刑事责任。</w:t>
            </w:r>
          </w:p>
          <w:p w14:paraId="7F0E332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未按照批准的发掘方案发掘古生物化石，情节严重的，由批准古生物化石发掘的自然资源主管部门撤销批准发掘的决定。</w:t>
            </w:r>
          </w:p>
        </w:tc>
        <w:tc>
          <w:tcPr>
            <w:tcW w:w="3585" w:type="dxa"/>
            <w:vAlign w:val="center"/>
          </w:tcPr>
          <w:p w14:paraId="549A8E5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444103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23EAE4A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77207B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CA3C35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176402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86869B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B3565D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12F007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9B56A4F">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706408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B28503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ABC19F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C84567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843882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D48AF3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DEA4DA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FDEA09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F6C241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0847D0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B03D5F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9DC040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A7B338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21615C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FE5B5B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4D6353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247C05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1BDFF5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47F9C11">
            <w:pPr>
              <w:snapToGrid w:val="0"/>
              <w:spacing w:line="240" w:lineRule="atLeast"/>
              <w:jc w:val="center"/>
              <w:rPr>
                <w:rFonts w:ascii="仿宋_GB2312" w:hAnsi="仿宋_GB2312" w:eastAsia="仿宋_GB2312" w:cs="仿宋_GB2312"/>
                <w:sz w:val="20"/>
                <w:szCs w:val="20"/>
              </w:rPr>
            </w:pPr>
          </w:p>
        </w:tc>
      </w:tr>
    </w:tbl>
    <w:p w14:paraId="54E55F32"/>
    <w:p w14:paraId="6635099A"/>
    <w:p w14:paraId="2E9FA5E4"/>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4495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6F8A42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7EB97CC">
            <w:pPr>
              <w:spacing w:line="240" w:lineRule="atLeast"/>
              <w:rPr>
                <w:rFonts w:asciiTheme="majorEastAsia" w:hAnsiTheme="majorEastAsia" w:eastAsiaTheme="majorEastAsia" w:cstheme="majorEastAsia"/>
                <w:spacing w:val="-20"/>
                <w:sz w:val="20"/>
                <w:szCs w:val="20"/>
              </w:rPr>
            </w:pPr>
          </w:p>
          <w:p w14:paraId="0D2562E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6AC841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705F4B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7903D9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5828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C14019D">
            <w:pPr>
              <w:spacing w:line="240" w:lineRule="atLeast"/>
              <w:jc w:val="left"/>
              <w:rPr>
                <w:rFonts w:ascii="仿宋_GB2312" w:hAnsi="仿宋_GB2312" w:eastAsia="仿宋_GB2312" w:cs="仿宋_GB2312"/>
                <w:sz w:val="20"/>
                <w:szCs w:val="20"/>
              </w:rPr>
            </w:pPr>
          </w:p>
        </w:tc>
        <w:tc>
          <w:tcPr>
            <w:tcW w:w="555" w:type="dxa"/>
            <w:vMerge w:val="continue"/>
          </w:tcPr>
          <w:p w14:paraId="40F2E986">
            <w:pPr>
              <w:spacing w:line="240" w:lineRule="atLeast"/>
              <w:jc w:val="left"/>
              <w:rPr>
                <w:rFonts w:ascii="仿宋_GB2312" w:hAnsi="仿宋_GB2312" w:eastAsia="仿宋_GB2312" w:cs="仿宋_GB2312"/>
                <w:sz w:val="20"/>
                <w:szCs w:val="20"/>
              </w:rPr>
            </w:pPr>
          </w:p>
        </w:tc>
        <w:tc>
          <w:tcPr>
            <w:tcW w:w="784" w:type="dxa"/>
            <w:vAlign w:val="center"/>
          </w:tcPr>
          <w:p w14:paraId="03959D1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2270A3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72C194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0A6E2E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9F43FD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E82E7D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AC3AB0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59A75C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56E22C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FB94E3C">
            <w:pPr>
              <w:spacing w:line="240" w:lineRule="atLeast"/>
              <w:jc w:val="left"/>
              <w:rPr>
                <w:rFonts w:ascii="仿宋_GB2312" w:hAnsi="仿宋_GB2312" w:eastAsia="仿宋_GB2312" w:cs="仿宋_GB2312"/>
                <w:sz w:val="20"/>
                <w:szCs w:val="20"/>
              </w:rPr>
            </w:pPr>
          </w:p>
        </w:tc>
      </w:tr>
      <w:tr w14:paraId="6FBF7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EEEC07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109</w:t>
            </w:r>
          </w:p>
        </w:tc>
        <w:tc>
          <w:tcPr>
            <w:tcW w:w="555" w:type="dxa"/>
            <w:vAlign w:val="center"/>
          </w:tcPr>
          <w:p w14:paraId="1A94562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EA0383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2D6274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579157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对古生物化石发掘单位未按照规定移交发掘的古生物化石行为的处罚</w:t>
            </w:r>
          </w:p>
        </w:tc>
        <w:tc>
          <w:tcPr>
            <w:tcW w:w="660" w:type="dxa"/>
            <w:vAlign w:val="center"/>
          </w:tcPr>
          <w:p w14:paraId="15012940">
            <w:pPr>
              <w:snapToGrid w:val="0"/>
              <w:spacing w:line="240" w:lineRule="atLeast"/>
              <w:jc w:val="center"/>
              <w:rPr>
                <w:rFonts w:ascii="仿宋_GB2312" w:hAnsi="仿宋_GB2312" w:eastAsia="仿宋_GB2312" w:cs="仿宋_GB2312"/>
                <w:sz w:val="20"/>
                <w:szCs w:val="20"/>
              </w:rPr>
            </w:pPr>
          </w:p>
        </w:tc>
        <w:tc>
          <w:tcPr>
            <w:tcW w:w="615" w:type="dxa"/>
            <w:vAlign w:val="center"/>
          </w:tcPr>
          <w:p w14:paraId="3ABCEE9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9E05E5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92CFD8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古生物化石保护条例》（2010年国务院令第580号公布，2019年国务院令第709号修订）第五条第一款：国务院自然资源主管部门主管全国古生物化石保护工作。县级以上地方人民政府自然资源主管部门主管本行政区域古生物化石保护工作。</w:t>
            </w:r>
          </w:p>
          <w:p w14:paraId="32E93A4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七条：古生物化石发掘单位未按照规定移交发掘的古生物化石的，由批准古生物化石发掘的自然资源主管部门责令限期改正;逾期不改正，或者造成古生物化石损毁的，处10万元以上50万元以下的罚款;直接负责的主管人员和其他直接责任人员构成犯罪的，依法追究刑事责任。</w:t>
            </w:r>
          </w:p>
          <w:p w14:paraId="4417C44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古生物化石保护条例实施办法》（2012年国土资源部令第57号公布，2019年自然资源部令第5号修正）第五十二条：古生物化石发掘单位未按照规定移交古生物化石的，由批准发掘的自然资源主管部门责令限期改正；逾期不改正，或者造成古生物化石损毁的，涉及一般保护古生物化石的，处10万元以上20万元以下罚款；涉及重点保护古生物化石的，处20万元以上50万元以下罚款；直接负责的主管人员和其他直接责任人员构成犯罪的，依法追究刑事责任。</w:t>
            </w:r>
          </w:p>
        </w:tc>
        <w:tc>
          <w:tcPr>
            <w:tcW w:w="3585" w:type="dxa"/>
            <w:vAlign w:val="center"/>
          </w:tcPr>
          <w:p w14:paraId="594A572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4F2468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D0CC96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FE0954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7497FAF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80FBBC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C14E07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BD7405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5F2E2B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46893C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826D1F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470F41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77224A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686FF8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33288F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546479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B6815B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3BD5CE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B22171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2223FA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7970AC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A000BA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927C53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343D12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BBE382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D939AD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AFEC75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16FAF9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0454DA9">
            <w:pPr>
              <w:snapToGrid w:val="0"/>
              <w:spacing w:line="240" w:lineRule="atLeast"/>
              <w:jc w:val="center"/>
              <w:rPr>
                <w:rFonts w:ascii="仿宋_GB2312" w:hAnsi="仿宋_GB2312" w:eastAsia="仿宋_GB2312" w:cs="仿宋_GB2312"/>
                <w:sz w:val="20"/>
                <w:szCs w:val="20"/>
              </w:rPr>
            </w:pPr>
          </w:p>
        </w:tc>
      </w:tr>
    </w:tbl>
    <w:p w14:paraId="77880CCF"/>
    <w:p w14:paraId="33681895"/>
    <w:p w14:paraId="31B3A051"/>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4C8D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708C5A0">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CDA27AE">
            <w:pPr>
              <w:spacing w:line="240" w:lineRule="atLeast"/>
              <w:rPr>
                <w:rFonts w:asciiTheme="majorEastAsia" w:hAnsiTheme="majorEastAsia" w:eastAsiaTheme="majorEastAsia" w:cstheme="majorEastAsia"/>
                <w:spacing w:val="-20"/>
                <w:sz w:val="20"/>
                <w:szCs w:val="20"/>
              </w:rPr>
            </w:pPr>
          </w:p>
          <w:p w14:paraId="4E42DDE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DF372D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DC5AE6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B84AEA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1A8A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8551C86">
            <w:pPr>
              <w:spacing w:line="240" w:lineRule="atLeast"/>
              <w:jc w:val="left"/>
              <w:rPr>
                <w:rFonts w:ascii="仿宋_GB2312" w:hAnsi="仿宋_GB2312" w:eastAsia="仿宋_GB2312" w:cs="仿宋_GB2312"/>
                <w:sz w:val="20"/>
                <w:szCs w:val="20"/>
              </w:rPr>
            </w:pPr>
          </w:p>
        </w:tc>
        <w:tc>
          <w:tcPr>
            <w:tcW w:w="555" w:type="dxa"/>
            <w:vMerge w:val="continue"/>
          </w:tcPr>
          <w:p w14:paraId="56ACBC9A">
            <w:pPr>
              <w:spacing w:line="240" w:lineRule="atLeast"/>
              <w:jc w:val="left"/>
              <w:rPr>
                <w:rFonts w:ascii="仿宋_GB2312" w:hAnsi="仿宋_GB2312" w:eastAsia="仿宋_GB2312" w:cs="仿宋_GB2312"/>
                <w:sz w:val="20"/>
                <w:szCs w:val="20"/>
              </w:rPr>
            </w:pPr>
          </w:p>
        </w:tc>
        <w:tc>
          <w:tcPr>
            <w:tcW w:w="784" w:type="dxa"/>
            <w:vAlign w:val="center"/>
          </w:tcPr>
          <w:p w14:paraId="435C114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3D1EA4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A15388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E145C2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91C27F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6FAF9B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DDB000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B41FB0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735D8A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2EA8B9D">
            <w:pPr>
              <w:spacing w:line="240" w:lineRule="atLeast"/>
              <w:jc w:val="left"/>
              <w:rPr>
                <w:rFonts w:ascii="仿宋_GB2312" w:hAnsi="仿宋_GB2312" w:eastAsia="仿宋_GB2312" w:cs="仿宋_GB2312"/>
                <w:sz w:val="20"/>
                <w:szCs w:val="20"/>
              </w:rPr>
            </w:pPr>
          </w:p>
        </w:tc>
      </w:tr>
      <w:tr w14:paraId="25604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EB397A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110</w:t>
            </w:r>
          </w:p>
        </w:tc>
        <w:tc>
          <w:tcPr>
            <w:tcW w:w="555" w:type="dxa"/>
            <w:vAlign w:val="center"/>
          </w:tcPr>
          <w:p w14:paraId="2B7D8E2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422466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BE54BA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6AAE5C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对古生物化石收藏单位不符合收藏条件收藏古生物化石行为的处罚</w:t>
            </w:r>
          </w:p>
        </w:tc>
        <w:tc>
          <w:tcPr>
            <w:tcW w:w="660" w:type="dxa"/>
            <w:vAlign w:val="center"/>
          </w:tcPr>
          <w:p w14:paraId="76016720">
            <w:pPr>
              <w:snapToGrid w:val="0"/>
              <w:spacing w:line="240" w:lineRule="atLeast"/>
              <w:jc w:val="center"/>
              <w:rPr>
                <w:rFonts w:ascii="仿宋_GB2312" w:hAnsi="仿宋_GB2312" w:eastAsia="仿宋_GB2312" w:cs="仿宋_GB2312"/>
                <w:sz w:val="20"/>
                <w:szCs w:val="20"/>
              </w:rPr>
            </w:pPr>
          </w:p>
        </w:tc>
        <w:tc>
          <w:tcPr>
            <w:tcW w:w="615" w:type="dxa"/>
            <w:vAlign w:val="center"/>
          </w:tcPr>
          <w:p w14:paraId="4B397CD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366A1A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5514DF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1.【行政法规】《古生物化石保护条例》（2010年国务院令第580号公布，2019年国务院令第709号修订））第三十八条：古生物化石收藏单位不符合收藏条件收藏古生物化石的，由县级以上</w:t>
            </w:r>
          </w:p>
          <w:p w14:paraId="53A0999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第五条第一款：国务院自然资源主管部门主管全国古生物化石保护工作。县级以上地方人民政府自然资源主管部门主管本行政区域古生物化石保护工作。</w:t>
            </w:r>
          </w:p>
          <w:p w14:paraId="189F9BC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人民政府自然资源主管部门责令限期改正;逾期不改正的，处5万元以上10万元以下的罚款;已严重影响其收藏的重点保护古生物化石安全的，由国务院自然资源主管部门指定符合条件的收藏单位代为收藏，代为收藏的费用由原收藏单位承担。</w:t>
            </w:r>
          </w:p>
          <w:p w14:paraId="7125536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古生物化石保护条例实施办法》（2012年国土资源部令第57号公布，2019年自然资源部令第5号修正）第五十三条：收藏单位不符合本办法规定的收藏条件收藏古生物化石的，由县级以上人民政府自然资源主管部门责令限期改正；逾期不改正的，处5万元以上10万元以下的罚款；已严重影响其收藏的重点保护古生物化石安全的，由自然资源部指定符合本办法规定的收藏条件的收藏单位代为收藏，代为收藏的费用由原收藏单位承担。</w:t>
            </w:r>
          </w:p>
        </w:tc>
        <w:tc>
          <w:tcPr>
            <w:tcW w:w="3585" w:type="dxa"/>
            <w:vAlign w:val="center"/>
          </w:tcPr>
          <w:p w14:paraId="7733204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949136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43CAD7E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364AD3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2F0C4B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9577FC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8C1EA2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388FF7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0EAAA4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C95F73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23992C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98C627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3DF4C9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888ADF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7953AA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4CFE4E1">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4E6137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EBE85E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63FFC5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4FF4C9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A5F149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9CDA5F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23DD10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531231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9DE0E3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4E795C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DB01DE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0AFD04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E9D7BEA">
            <w:pPr>
              <w:snapToGrid w:val="0"/>
              <w:spacing w:line="240" w:lineRule="atLeast"/>
              <w:jc w:val="center"/>
              <w:rPr>
                <w:rFonts w:ascii="仿宋_GB2312" w:hAnsi="仿宋_GB2312" w:eastAsia="仿宋_GB2312" w:cs="仿宋_GB2312"/>
                <w:sz w:val="20"/>
                <w:szCs w:val="20"/>
              </w:rPr>
            </w:pPr>
          </w:p>
        </w:tc>
      </w:tr>
    </w:tbl>
    <w:p w14:paraId="6E82223F"/>
    <w:p w14:paraId="7C3D6029"/>
    <w:p w14:paraId="13AADE66"/>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82BF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6038A6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92862AB">
            <w:pPr>
              <w:spacing w:line="240" w:lineRule="atLeast"/>
              <w:rPr>
                <w:rFonts w:asciiTheme="majorEastAsia" w:hAnsiTheme="majorEastAsia" w:eastAsiaTheme="majorEastAsia" w:cstheme="majorEastAsia"/>
                <w:spacing w:val="-20"/>
                <w:sz w:val="20"/>
                <w:szCs w:val="20"/>
              </w:rPr>
            </w:pPr>
          </w:p>
          <w:p w14:paraId="5B92090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8777DC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A7B269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B81F37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E2EF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96EF387">
            <w:pPr>
              <w:spacing w:line="240" w:lineRule="atLeast"/>
              <w:jc w:val="left"/>
              <w:rPr>
                <w:rFonts w:ascii="仿宋_GB2312" w:hAnsi="仿宋_GB2312" w:eastAsia="仿宋_GB2312" w:cs="仿宋_GB2312"/>
                <w:sz w:val="20"/>
                <w:szCs w:val="20"/>
              </w:rPr>
            </w:pPr>
          </w:p>
        </w:tc>
        <w:tc>
          <w:tcPr>
            <w:tcW w:w="555" w:type="dxa"/>
            <w:vMerge w:val="continue"/>
          </w:tcPr>
          <w:p w14:paraId="17EB956F">
            <w:pPr>
              <w:spacing w:line="240" w:lineRule="atLeast"/>
              <w:jc w:val="left"/>
              <w:rPr>
                <w:rFonts w:ascii="仿宋_GB2312" w:hAnsi="仿宋_GB2312" w:eastAsia="仿宋_GB2312" w:cs="仿宋_GB2312"/>
                <w:sz w:val="20"/>
                <w:szCs w:val="20"/>
              </w:rPr>
            </w:pPr>
          </w:p>
        </w:tc>
        <w:tc>
          <w:tcPr>
            <w:tcW w:w="784" w:type="dxa"/>
            <w:vAlign w:val="center"/>
          </w:tcPr>
          <w:p w14:paraId="611BA63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E2AA3F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50721C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A0F42F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F748AC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57F15D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975281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B4C19C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7119C8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ED61281">
            <w:pPr>
              <w:spacing w:line="240" w:lineRule="atLeast"/>
              <w:jc w:val="left"/>
              <w:rPr>
                <w:rFonts w:ascii="仿宋_GB2312" w:hAnsi="仿宋_GB2312" w:eastAsia="仿宋_GB2312" w:cs="仿宋_GB2312"/>
                <w:sz w:val="20"/>
                <w:szCs w:val="20"/>
              </w:rPr>
            </w:pPr>
          </w:p>
        </w:tc>
      </w:tr>
      <w:tr w14:paraId="0C97B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A4FC13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111</w:t>
            </w:r>
          </w:p>
        </w:tc>
        <w:tc>
          <w:tcPr>
            <w:tcW w:w="555" w:type="dxa"/>
            <w:vAlign w:val="center"/>
          </w:tcPr>
          <w:p w14:paraId="02F49EA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02C43A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1A282C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416375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对古生物化石收藏单位未按照规定建立本单位收藏的古生物化石档案行为的处罚</w:t>
            </w:r>
          </w:p>
        </w:tc>
        <w:tc>
          <w:tcPr>
            <w:tcW w:w="660" w:type="dxa"/>
            <w:vAlign w:val="center"/>
          </w:tcPr>
          <w:p w14:paraId="407BC80C">
            <w:pPr>
              <w:snapToGrid w:val="0"/>
              <w:spacing w:line="240" w:lineRule="atLeast"/>
              <w:jc w:val="center"/>
              <w:rPr>
                <w:rFonts w:ascii="仿宋_GB2312" w:hAnsi="仿宋_GB2312" w:eastAsia="仿宋_GB2312" w:cs="仿宋_GB2312"/>
                <w:sz w:val="20"/>
                <w:szCs w:val="20"/>
              </w:rPr>
            </w:pPr>
          </w:p>
        </w:tc>
        <w:tc>
          <w:tcPr>
            <w:tcW w:w="615" w:type="dxa"/>
            <w:vAlign w:val="center"/>
          </w:tcPr>
          <w:p w14:paraId="4C9D3E6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50B66A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C2CD48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古生物化石保护条例》（2010年国务院令第580号公布，2019年国务院令第709号修订））第三十九条：古生物化石收藏单位未按照规定建立本单位收藏的古生物化石档案的，由县级以上人民政府自然资源主管部门责令限期改正；逾期不改正的，没收有关古生物化石，并处2万元的罚款。</w:t>
            </w:r>
          </w:p>
        </w:tc>
        <w:tc>
          <w:tcPr>
            <w:tcW w:w="3585" w:type="dxa"/>
            <w:vAlign w:val="center"/>
          </w:tcPr>
          <w:p w14:paraId="0985E30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6A8E4CD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4E3D27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DDADAE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77D01C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733BDD0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FBC8AF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16CEB14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842D2F5">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E6B226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817F90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E94A86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A647E3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6C9464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556628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8AA747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7D6DF9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769880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3D723E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1A5D32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0C6B8A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99F84D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D6E612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C1148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484CA3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2BC17F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68F81B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B37532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E5E4845">
            <w:pPr>
              <w:snapToGrid w:val="0"/>
              <w:spacing w:line="240" w:lineRule="atLeast"/>
              <w:jc w:val="center"/>
              <w:rPr>
                <w:rFonts w:ascii="仿宋_GB2312" w:hAnsi="仿宋_GB2312" w:eastAsia="仿宋_GB2312" w:cs="仿宋_GB2312"/>
                <w:sz w:val="20"/>
                <w:szCs w:val="20"/>
              </w:rPr>
            </w:pPr>
          </w:p>
        </w:tc>
      </w:tr>
    </w:tbl>
    <w:p w14:paraId="7B2F6B1E"/>
    <w:p w14:paraId="49D471B0"/>
    <w:p w14:paraId="0B6E930E"/>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464E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199169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597E77B">
            <w:pPr>
              <w:spacing w:line="240" w:lineRule="atLeast"/>
              <w:rPr>
                <w:rFonts w:asciiTheme="majorEastAsia" w:hAnsiTheme="majorEastAsia" w:eastAsiaTheme="majorEastAsia" w:cstheme="majorEastAsia"/>
                <w:spacing w:val="-20"/>
                <w:sz w:val="20"/>
                <w:szCs w:val="20"/>
              </w:rPr>
            </w:pPr>
          </w:p>
          <w:p w14:paraId="05C6A5C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F64040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8655B9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9F405A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6D2D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C4DBAD8">
            <w:pPr>
              <w:spacing w:line="240" w:lineRule="atLeast"/>
              <w:jc w:val="left"/>
              <w:rPr>
                <w:rFonts w:ascii="仿宋_GB2312" w:hAnsi="仿宋_GB2312" w:eastAsia="仿宋_GB2312" w:cs="仿宋_GB2312"/>
                <w:sz w:val="20"/>
                <w:szCs w:val="20"/>
              </w:rPr>
            </w:pPr>
          </w:p>
        </w:tc>
        <w:tc>
          <w:tcPr>
            <w:tcW w:w="555" w:type="dxa"/>
            <w:vMerge w:val="continue"/>
          </w:tcPr>
          <w:p w14:paraId="461F173D">
            <w:pPr>
              <w:spacing w:line="240" w:lineRule="atLeast"/>
              <w:jc w:val="left"/>
              <w:rPr>
                <w:rFonts w:ascii="仿宋_GB2312" w:hAnsi="仿宋_GB2312" w:eastAsia="仿宋_GB2312" w:cs="仿宋_GB2312"/>
                <w:sz w:val="20"/>
                <w:szCs w:val="20"/>
              </w:rPr>
            </w:pPr>
          </w:p>
        </w:tc>
        <w:tc>
          <w:tcPr>
            <w:tcW w:w="784" w:type="dxa"/>
            <w:vAlign w:val="center"/>
          </w:tcPr>
          <w:p w14:paraId="18AC858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1BEA20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01D1F5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226536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3299A0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5CB078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DE12F2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18B816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A99066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4A751AF">
            <w:pPr>
              <w:spacing w:line="240" w:lineRule="atLeast"/>
              <w:jc w:val="left"/>
              <w:rPr>
                <w:rFonts w:ascii="仿宋_GB2312" w:hAnsi="仿宋_GB2312" w:eastAsia="仿宋_GB2312" w:cs="仿宋_GB2312"/>
                <w:sz w:val="20"/>
                <w:szCs w:val="20"/>
              </w:rPr>
            </w:pPr>
          </w:p>
        </w:tc>
      </w:tr>
      <w:tr w14:paraId="3E709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CD26A8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112</w:t>
            </w:r>
          </w:p>
        </w:tc>
        <w:tc>
          <w:tcPr>
            <w:tcW w:w="555" w:type="dxa"/>
            <w:vAlign w:val="center"/>
          </w:tcPr>
          <w:p w14:paraId="17D65D2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16F33F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DEF8F9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E56557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对国有收藏单位将其收藏的重点保护古生物化石违法转让、交换、赠与给非国有收藏单位或者个人行为的处罚</w:t>
            </w:r>
          </w:p>
        </w:tc>
        <w:tc>
          <w:tcPr>
            <w:tcW w:w="660" w:type="dxa"/>
            <w:vAlign w:val="center"/>
          </w:tcPr>
          <w:p w14:paraId="4C90110D">
            <w:pPr>
              <w:snapToGrid w:val="0"/>
              <w:spacing w:line="240" w:lineRule="atLeast"/>
              <w:jc w:val="center"/>
              <w:rPr>
                <w:rFonts w:ascii="仿宋_GB2312" w:hAnsi="仿宋_GB2312" w:eastAsia="仿宋_GB2312" w:cs="仿宋_GB2312"/>
                <w:sz w:val="20"/>
                <w:szCs w:val="20"/>
              </w:rPr>
            </w:pPr>
          </w:p>
        </w:tc>
        <w:tc>
          <w:tcPr>
            <w:tcW w:w="615" w:type="dxa"/>
            <w:vAlign w:val="center"/>
          </w:tcPr>
          <w:p w14:paraId="71426EB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5A01D4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9C37E6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古生物化石保护条例》（2010年国务院令第580号公布，2019年国务院令第709号修订））第四十一条：国有收藏单位将其收藏的重点保护古生物化石违法转让、交换、赠与给非国有收藏单位或者个人的，由县级以上人民政府自然资源主管部门对国有收藏单位处20万元以上50万元以下的罚款，对直接负责的主管人员和其他直接责任人员依法给予处分；构成犯罪的，依法追究刑事责任。</w:t>
            </w:r>
          </w:p>
          <w:p w14:paraId="285DC11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古生物化石保护条例实施办法》（2012年国土资源部令第57号公布，2019年自然资源部令第5号修正）第五十五条：国有收藏单位将其收藏的重点保护古生物化石违法转让、交换、赠与给非国有收藏单位或者个人的，由县级以上人民政府自然资源主管部门责令限期改正；逾期不改正的，涉及三级重点保护古生物化石的，对国有收藏单位处20万元以上30万元以下罚款；涉及二级重点保护古生物化石的，对国有收藏单位处30万元以上40万元以下罚款；涉及一级重点保护古生物化石的，对国有收藏单位处40万元以上50万元以下罚款，对直接负责的主管人员和其他直接责任人员依法给予处分；构成犯罪的，依法追究刑事责任。</w:t>
            </w:r>
          </w:p>
        </w:tc>
        <w:tc>
          <w:tcPr>
            <w:tcW w:w="3585" w:type="dxa"/>
            <w:vAlign w:val="center"/>
          </w:tcPr>
          <w:p w14:paraId="794435A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10BECBB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D6C9E9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3953A8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990DC3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4B3A74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5ABE73B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1C8BE02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50C8B3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10ABFFA">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FA412E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B48CE2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B70E75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426307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B9B220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475CBA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639B6B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9DE10F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CF0E38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7D6C42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D348E7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CC1424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982339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3F0811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A5E7C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CE6555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A7D8B2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4AB080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2102CF9">
            <w:pPr>
              <w:snapToGrid w:val="0"/>
              <w:spacing w:line="240" w:lineRule="atLeast"/>
              <w:jc w:val="center"/>
              <w:rPr>
                <w:rFonts w:ascii="仿宋_GB2312" w:hAnsi="仿宋_GB2312" w:eastAsia="仿宋_GB2312" w:cs="仿宋_GB2312"/>
                <w:sz w:val="20"/>
                <w:szCs w:val="20"/>
              </w:rPr>
            </w:pPr>
          </w:p>
        </w:tc>
      </w:tr>
    </w:tbl>
    <w:p w14:paraId="6E00CA8C"/>
    <w:p w14:paraId="385D2CF8"/>
    <w:p w14:paraId="0F5B85D6"/>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76D4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C35DFB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E3F1CBE">
            <w:pPr>
              <w:spacing w:line="240" w:lineRule="atLeast"/>
              <w:rPr>
                <w:rFonts w:asciiTheme="majorEastAsia" w:hAnsiTheme="majorEastAsia" w:eastAsiaTheme="majorEastAsia" w:cstheme="majorEastAsia"/>
                <w:spacing w:val="-20"/>
                <w:sz w:val="20"/>
                <w:szCs w:val="20"/>
              </w:rPr>
            </w:pPr>
          </w:p>
          <w:p w14:paraId="05BAF60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FF329E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2E94E4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9D9471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73F0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D174D93">
            <w:pPr>
              <w:spacing w:line="240" w:lineRule="atLeast"/>
              <w:jc w:val="left"/>
              <w:rPr>
                <w:rFonts w:ascii="仿宋_GB2312" w:hAnsi="仿宋_GB2312" w:eastAsia="仿宋_GB2312" w:cs="仿宋_GB2312"/>
                <w:sz w:val="20"/>
                <w:szCs w:val="20"/>
              </w:rPr>
            </w:pPr>
          </w:p>
        </w:tc>
        <w:tc>
          <w:tcPr>
            <w:tcW w:w="555" w:type="dxa"/>
            <w:vMerge w:val="continue"/>
          </w:tcPr>
          <w:p w14:paraId="686CA0DD">
            <w:pPr>
              <w:spacing w:line="240" w:lineRule="atLeast"/>
              <w:jc w:val="left"/>
              <w:rPr>
                <w:rFonts w:ascii="仿宋_GB2312" w:hAnsi="仿宋_GB2312" w:eastAsia="仿宋_GB2312" w:cs="仿宋_GB2312"/>
                <w:sz w:val="20"/>
                <w:szCs w:val="20"/>
              </w:rPr>
            </w:pPr>
          </w:p>
        </w:tc>
        <w:tc>
          <w:tcPr>
            <w:tcW w:w="784" w:type="dxa"/>
            <w:vAlign w:val="center"/>
          </w:tcPr>
          <w:p w14:paraId="2EACA52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94DDAC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1172D3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C49E52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2D4F32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C7A49D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474CC1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5587BA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B7A7F5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9FF1935">
            <w:pPr>
              <w:spacing w:line="240" w:lineRule="atLeast"/>
              <w:jc w:val="left"/>
              <w:rPr>
                <w:rFonts w:ascii="仿宋_GB2312" w:hAnsi="仿宋_GB2312" w:eastAsia="仿宋_GB2312" w:cs="仿宋_GB2312"/>
                <w:sz w:val="20"/>
                <w:szCs w:val="20"/>
              </w:rPr>
            </w:pPr>
          </w:p>
        </w:tc>
      </w:tr>
      <w:tr w14:paraId="0B39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DF875C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113</w:t>
            </w:r>
          </w:p>
        </w:tc>
        <w:tc>
          <w:tcPr>
            <w:tcW w:w="555" w:type="dxa"/>
            <w:vAlign w:val="center"/>
          </w:tcPr>
          <w:p w14:paraId="22C9E80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D596D9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C396DA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6F2F31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对单位或者个人将其收藏的重点保护古生物化石转让、交换、赠与、质押给外国人或者外国组织行为的处罚</w:t>
            </w:r>
          </w:p>
        </w:tc>
        <w:tc>
          <w:tcPr>
            <w:tcW w:w="660" w:type="dxa"/>
            <w:vAlign w:val="center"/>
          </w:tcPr>
          <w:p w14:paraId="3FAA3A9A">
            <w:pPr>
              <w:snapToGrid w:val="0"/>
              <w:spacing w:line="240" w:lineRule="atLeast"/>
              <w:jc w:val="center"/>
              <w:rPr>
                <w:rFonts w:ascii="仿宋_GB2312" w:hAnsi="仿宋_GB2312" w:eastAsia="仿宋_GB2312" w:cs="仿宋_GB2312"/>
                <w:sz w:val="20"/>
                <w:szCs w:val="20"/>
              </w:rPr>
            </w:pPr>
          </w:p>
        </w:tc>
        <w:tc>
          <w:tcPr>
            <w:tcW w:w="615" w:type="dxa"/>
            <w:vAlign w:val="center"/>
          </w:tcPr>
          <w:p w14:paraId="116F947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88283C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AD5030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古生物化石保护条例》（2010年国务院令第580号公布，2019年国务院令第709号修订））第四十二条：单位或者个人将其收藏的重点保护古生物化石转让、交换、赠与、质押给外国人或者外国组织的，由县级以上人民政府自然资源主管部门责令限期追回，对个人处2万元以上10万元以下的罚款，对单位处10万元以上50万元以下的罚款;有违法所得的，没收违法所得;构成犯罪的，依法追究刑事责任。</w:t>
            </w:r>
          </w:p>
          <w:p w14:paraId="74119A4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古生物化石保护条例实施办法》（2012年国土资源部令第57号公布，2019年自然资源部令第5号修正）第五十六条：单位或者个人将其收藏的重点保护古生物化石转让、交换、赠与、质押给外国人或者外国组织的，由县级以上人民政府自然资源主管部门责令限期追回，涉及三级重点保护古生物化石的，对单位处10万元以上30万元以下罚款，对个人处2万元以上3万元以下罚款；涉及二级重点保护古生物化石的，对单位处30万元以上40万元以下罚款，对个人处3万元以上5万元以下罚款；涉及一级重点保护古生物化石的，对单位处40万元以上50万元以下罚款，对个人处5万元以上10万元以下罚款；有违法所得的，没收违法所得；构成犯罪的，依法追究刑事责任。</w:t>
            </w:r>
          </w:p>
        </w:tc>
        <w:tc>
          <w:tcPr>
            <w:tcW w:w="3585" w:type="dxa"/>
            <w:vAlign w:val="center"/>
          </w:tcPr>
          <w:p w14:paraId="2EB999B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61E9158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2F86EF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D22A74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9F175C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29DE24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DA829D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B50816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CF57169">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2FE0F50">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AD2623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9442F4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A65DC4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496AA0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8784D2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1255E04">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2870C5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9B4ACC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922D5B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FF1EFB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9071BB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CDB891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A88650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6E78A2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2A4956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58D2C1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DDDA67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4CC46C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7379936">
            <w:pPr>
              <w:snapToGrid w:val="0"/>
              <w:spacing w:line="240" w:lineRule="atLeast"/>
              <w:jc w:val="center"/>
              <w:rPr>
                <w:rFonts w:ascii="仿宋_GB2312" w:hAnsi="仿宋_GB2312" w:eastAsia="仿宋_GB2312" w:cs="仿宋_GB2312"/>
                <w:sz w:val="20"/>
                <w:szCs w:val="20"/>
              </w:rPr>
            </w:pPr>
          </w:p>
        </w:tc>
      </w:tr>
    </w:tbl>
    <w:p w14:paraId="5D0701CB"/>
    <w:p w14:paraId="30931534"/>
    <w:p w14:paraId="2892877F"/>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8690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8DF3A9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1391427">
            <w:pPr>
              <w:spacing w:line="240" w:lineRule="atLeast"/>
              <w:rPr>
                <w:rFonts w:asciiTheme="majorEastAsia" w:hAnsiTheme="majorEastAsia" w:eastAsiaTheme="majorEastAsia" w:cstheme="majorEastAsia"/>
                <w:spacing w:val="-20"/>
                <w:sz w:val="20"/>
                <w:szCs w:val="20"/>
              </w:rPr>
            </w:pPr>
          </w:p>
          <w:p w14:paraId="160459C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7B7D58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A43FC4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ED8042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5ED7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45DFD31">
            <w:pPr>
              <w:spacing w:line="240" w:lineRule="atLeast"/>
              <w:jc w:val="left"/>
              <w:rPr>
                <w:rFonts w:ascii="仿宋_GB2312" w:hAnsi="仿宋_GB2312" w:eastAsia="仿宋_GB2312" w:cs="仿宋_GB2312"/>
                <w:sz w:val="20"/>
                <w:szCs w:val="20"/>
              </w:rPr>
            </w:pPr>
          </w:p>
        </w:tc>
        <w:tc>
          <w:tcPr>
            <w:tcW w:w="555" w:type="dxa"/>
            <w:vMerge w:val="continue"/>
          </w:tcPr>
          <w:p w14:paraId="7E3721D6">
            <w:pPr>
              <w:spacing w:line="240" w:lineRule="atLeast"/>
              <w:jc w:val="left"/>
              <w:rPr>
                <w:rFonts w:ascii="仿宋_GB2312" w:hAnsi="仿宋_GB2312" w:eastAsia="仿宋_GB2312" w:cs="仿宋_GB2312"/>
                <w:sz w:val="20"/>
                <w:szCs w:val="20"/>
              </w:rPr>
            </w:pPr>
          </w:p>
        </w:tc>
        <w:tc>
          <w:tcPr>
            <w:tcW w:w="784" w:type="dxa"/>
            <w:vAlign w:val="center"/>
          </w:tcPr>
          <w:p w14:paraId="21AD473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CB667A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85A74B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B278D4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8B064F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ECDD9B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662DC6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C82E86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BD8118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912BE6A">
            <w:pPr>
              <w:spacing w:line="240" w:lineRule="atLeast"/>
              <w:jc w:val="left"/>
              <w:rPr>
                <w:rFonts w:ascii="仿宋_GB2312" w:hAnsi="仿宋_GB2312" w:eastAsia="仿宋_GB2312" w:cs="仿宋_GB2312"/>
                <w:sz w:val="20"/>
                <w:szCs w:val="20"/>
              </w:rPr>
            </w:pPr>
          </w:p>
        </w:tc>
      </w:tr>
      <w:tr w14:paraId="226B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50F40F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114</w:t>
            </w:r>
          </w:p>
        </w:tc>
        <w:tc>
          <w:tcPr>
            <w:tcW w:w="555" w:type="dxa"/>
            <w:vAlign w:val="center"/>
          </w:tcPr>
          <w:p w14:paraId="5EA06E2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EC387E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11C85D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D73BDA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对有关单位和工作人员利用职务上的便利，将国有古生物化石非法占为己有的，有违法所得行为的处罚</w:t>
            </w:r>
          </w:p>
        </w:tc>
        <w:tc>
          <w:tcPr>
            <w:tcW w:w="660" w:type="dxa"/>
            <w:vAlign w:val="center"/>
          </w:tcPr>
          <w:p w14:paraId="2FAB7BA0">
            <w:pPr>
              <w:snapToGrid w:val="0"/>
              <w:spacing w:line="240" w:lineRule="atLeast"/>
              <w:jc w:val="center"/>
              <w:rPr>
                <w:rFonts w:ascii="仿宋_GB2312" w:hAnsi="仿宋_GB2312" w:eastAsia="仿宋_GB2312" w:cs="仿宋_GB2312"/>
                <w:sz w:val="20"/>
                <w:szCs w:val="20"/>
              </w:rPr>
            </w:pPr>
          </w:p>
        </w:tc>
        <w:tc>
          <w:tcPr>
            <w:tcW w:w="615" w:type="dxa"/>
            <w:vAlign w:val="center"/>
          </w:tcPr>
          <w:p w14:paraId="06C8A5F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13D765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A60C45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古生物化石保护条例》（2010年国务院令第580号公布，2019年国务院令第709号修订））第四十四条：县级以上人民政府自然资源主管部门、其他有关部门的工作人员，或者国有的博物馆、科学研究单位、高等院校、其他收藏单位以及发掘单位的工作人员，利用职务上的便利，将国有古生物化石非法占为己有的，依法给予处分，由县级以上人民政府自然资源主管部门追回非法占有的古生物化石；有违法所得的，没收违法所得；构成犯罪的，依法追究刑事责任。</w:t>
            </w:r>
          </w:p>
        </w:tc>
        <w:tc>
          <w:tcPr>
            <w:tcW w:w="3585" w:type="dxa"/>
            <w:vAlign w:val="center"/>
          </w:tcPr>
          <w:p w14:paraId="1EB3D65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0F9E60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4B7D659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B75015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2414E2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385839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2A6E02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C7F1C2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5F40BC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DD40CC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EA13DE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DFACB0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BF76B5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BACCC4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6EAC12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761BB9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117EDE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EA32EB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F97307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1B6D3E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4A6CB5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E9129C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956AFF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13D01A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941034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8D157E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D6ACCB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A712C1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170CFEE">
            <w:pPr>
              <w:snapToGrid w:val="0"/>
              <w:spacing w:line="240" w:lineRule="atLeast"/>
              <w:jc w:val="center"/>
              <w:rPr>
                <w:rFonts w:ascii="仿宋_GB2312" w:hAnsi="仿宋_GB2312" w:eastAsia="仿宋_GB2312" w:cs="仿宋_GB2312"/>
                <w:sz w:val="20"/>
                <w:szCs w:val="20"/>
              </w:rPr>
            </w:pPr>
          </w:p>
        </w:tc>
      </w:tr>
    </w:tbl>
    <w:p w14:paraId="52C4FD23"/>
    <w:p w14:paraId="51343988"/>
    <w:p w14:paraId="0A7F15C3"/>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AA1B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4AB595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AA8313A">
            <w:pPr>
              <w:spacing w:line="240" w:lineRule="atLeast"/>
              <w:rPr>
                <w:rFonts w:asciiTheme="majorEastAsia" w:hAnsiTheme="majorEastAsia" w:eastAsiaTheme="majorEastAsia" w:cstheme="majorEastAsia"/>
                <w:spacing w:val="-20"/>
                <w:sz w:val="20"/>
                <w:szCs w:val="20"/>
              </w:rPr>
            </w:pPr>
          </w:p>
          <w:p w14:paraId="196BF4B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99D3C5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B816CD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0C5074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5918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7398AAA">
            <w:pPr>
              <w:spacing w:line="240" w:lineRule="atLeast"/>
              <w:jc w:val="left"/>
              <w:rPr>
                <w:rFonts w:ascii="仿宋_GB2312" w:hAnsi="仿宋_GB2312" w:eastAsia="仿宋_GB2312" w:cs="仿宋_GB2312"/>
                <w:sz w:val="20"/>
                <w:szCs w:val="20"/>
              </w:rPr>
            </w:pPr>
          </w:p>
        </w:tc>
        <w:tc>
          <w:tcPr>
            <w:tcW w:w="555" w:type="dxa"/>
            <w:vMerge w:val="continue"/>
          </w:tcPr>
          <w:p w14:paraId="195704DF">
            <w:pPr>
              <w:spacing w:line="240" w:lineRule="atLeast"/>
              <w:jc w:val="left"/>
              <w:rPr>
                <w:rFonts w:ascii="仿宋_GB2312" w:hAnsi="仿宋_GB2312" w:eastAsia="仿宋_GB2312" w:cs="仿宋_GB2312"/>
                <w:sz w:val="20"/>
                <w:szCs w:val="20"/>
              </w:rPr>
            </w:pPr>
          </w:p>
        </w:tc>
        <w:tc>
          <w:tcPr>
            <w:tcW w:w="784" w:type="dxa"/>
            <w:vAlign w:val="center"/>
          </w:tcPr>
          <w:p w14:paraId="5C0A7EA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FBC313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F9EF94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410BA4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0000A9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87A22E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F73B33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B103E5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01CC6FD">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B494718">
            <w:pPr>
              <w:spacing w:line="240" w:lineRule="atLeast"/>
              <w:jc w:val="left"/>
              <w:rPr>
                <w:rFonts w:ascii="仿宋_GB2312" w:hAnsi="仿宋_GB2312" w:eastAsia="仿宋_GB2312" w:cs="仿宋_GB2312"/>
                <w:sz w:val="20"/>
                <w:szCs w:val="20"/>
              </w:rPr>
            </w:pPr>
          </w:p>
        </w:tc>
      </w:tr>
      <w:tr w14:paraId="75F63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879E2C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115</w:t>
            </w:r>
          </w:p>
        </w:tc>
        <w:tc>
          <w:tcPr>
            <w:tcW w:w="555" w:type="dxa"/>
            <w:vAlign w:val="center"/>
          </w:tcPr>
          <w:p w14:paraId="6C92E0D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760C85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D57EB7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DDB0C0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对单位或者个人违反《古生物化石保护条例实施办法》的规定，收藏违法获得或者不能证明合法来源的重点保护古生物化石行为的处罚</w:t>
            </w:r>
          </w:p>
        </w:tc>
        <w:tc>
          <w:tcPr>
            <w:tcW w:w="660" w:type="dxa"/>
            <w:vAlign w:val="center"/>
          </w:tcPr>
          <w:p w14:paraId="121668A4">
            <w:pPr>
              <w:snapToGrid w:val="0"/>
              <w:spacing w:line="240" w:lineRule="atLeast"/>
              <w:jc w:val="center"/>
              <w:rPr>
                <w:rFonts w:ascii="仿宋_GB2312" w:hAnsi="仿宋_GB2312" w:eastAsia="仿宋_GB2312" w:cs="仿宋_GB2312"/>
                <w:sz w:val="20"/>
                <w:szCs w:val="20"/>
              </w:rPr>
            </w:pPr>
          </w:p>
        </w:tc>
        <w:tc>
          <w:tcPr>
            <w:tcW w:w="615" w:type="dxa"/>
            <w:vAlign w:val="center"/>
          </w:tcPr>
          <w:p w14:paraId="6E9688A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C7AA10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A627BB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部门规章】《古生物化石保护条例实施办法》（2012年国土资源部令第57号公布，2019年自然资源部令第5号修正）第五十四条：单位或者个人违反本办法的规定，收藏违法获得或者不能证明合法来源的重点保护古生物化石的，由县级以上人民政府自然资源主管部门依法没收有关古生物化石，并处3万元以下罚款。</w:t>
            </w:r>
          </w:p>
        </w:tc>
        <w:tc>
          <w:tcPr>
            <w:tcW w:w="3585" w:type="dxa"/>
            <w:vAlign w:val="center"/>
          </w:tcPr>
          <w:p w14:paraId="1120551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EB79F2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19DE2DD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78CDD5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B32085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7595AC2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8CA763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149CB4A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CC4703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9A99346">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AC1437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58BEF7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19A346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A75A0D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CB0A32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D7B996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58E25F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5F5902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BA722D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B85C5C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34FA04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F685F1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F5D830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62D8D9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3C4BE3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EDE449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BD8BA2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11A51B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9C78B69">
            <w:pPr>
              <w:snapToGrid w:val="0"/>
              <w:spacing w:line="240" w:lineRule="atLeast"/>
              <w:jc w:val="center"/>
              <w:rPr>
                <w:rFonts w:ascii="仿宋_GB2312" w:hAnsi="仿宋_GB2312" w:eastAsia="仿宋_GB2312" w:cs="仿宋_GB2312"/>
                <w:sz w:val="20"/>
                <w:szCs w:val="20"/>
              </w:rPr>
            </w:pPr>
          </w:p>
        </w:tc>
      </w:tr>
    </w:tbl>
    <w:p w14:paraId="3CCC1229"/>
    <w:p w14:paraId="1E552C71"/>
    <w:p w14:paraId="5DD06B11"/>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F77B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6FE1ABF">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601D66A">
            <w:pPr>
              <w:spacing w:line="240" w:lineRule="atLeast"/>
              <w:rPr>
                <w:rFonts w:asciiTheme="majorEastAsia" w:hAnsiTheme="majorEastAsia" w:eastAsiaTheme="majorEastAsia" w:cstheme="majorEastAsia"/>
                <w:spacing w:val="-20"/>
                <w:sz w:val="20"/>
                <w:szCs w:val="20"/>
              </w:rPr>
            </w:pPr>
          </w:p>
          <w:p w14:paraId="38C982C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4FBBA4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911815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262D5F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4E4F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03BF862">
            <w:pPr>
              <w:spacing w:line="240" w:lineRule="atLeast"/>
              <w:jc w:val="left"/>
              <w:rPr>
                <w:rFonts w:ascii="仿宋_GB2312" w:hAnsi="仿宋_GB2312" w:eastAsia="仿宋_GB2312" w:cs="仿宋_GB2312"/>
                <w:sz w:val="20"/>
                <w:szCs w:val="20"/>
              </w:rPr>
            </w:pPr>
          </w:p>
        </w:tc>
        <w:tc>
          <w:tcPr>
            <w:tcW w:w="555" w:type="dxa"/>
            <w:vMerge w:val="continue"/>
          </w:tcPr>
          <w:p w14:paraId="1B11D7BE">
            <w:pPr>
              <w:spacing w:line="240" w:lineRule="atLeast"/>
              <w:jc w:val="left"/>
              <w:rPr>
                <w:rFonts w:ascii="仿宋_GB2312" w:hAnsi="仿宋_GB2312" w:eastAsia="仿宋_GB2312" w:cs="仿宋_GB2312"/>
                <w:sz w:val="20"/>
                <w:szCs w:val="20"/>
              </w:rPr>
            </w:pPr>
          </w:p>
        </w:tc>
        <w:tc>
          <w:tcPr>
            <w:tcW w:w="784" w:type="dxa"/>
            <w:vAlign w:val="center"/>
          </w:tcPr>
          <w:p w14:paraId="2A0FF8C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3DEE52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C7A480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BD5BA3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FBEE27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349550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C508DD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B0B546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525816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ABCFD80">
            <w:pPr>
              <w:spacing w:line="240" w:lineRule="atLeast"/>
              <w:jc w:val="left"/>
              <w:rPr>
                <w:rFonts w:ascii="仿宋_GB2312" w:hAnsi="仿宋_GB2312" w:eastAsia="仿宋_GB2312" w:cs="仿宋_GB2312"/>
                <w:sz w:val="20"/>
                <w:szCs w:val="20"/>
              </w:rPr>
            </w:pPr>
          </w:p>
        </w:tc>
      </w:tr>
      <w:tr w14:paraId="526C1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AC7965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116</w:t>
            </w:r>
          </w:p>
        </w:tc>
        <w:tc>
          <w:tcPr>
            <w:tcW w:w="555" w:type="dxa"/>
            <w:vAlign w:val="center"/>
          </w:tcPr>
          <w:p w14:paraId="3A95013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8B97FE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D70B50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3B8691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对单位或者个人在生产、建设活动中发现古生物化石不报告行为的处罚</w:t>
            </w:r>
          </w:p>
        </w:tc>
        <w:tc>
          <w:tcPr>
            <w:tcW w:w="660" w:type="dxa"/>
            <w:vAlign w:val="center"/>
          </w:tcPr>
          <w:p w14:paraId="59C83E2A">
            <w:pPr>
              <w:snapToGrid w:val="0"/>
              <w:spacing w:line="240" w:lineRule="atLeast"/>
              <w:jc w:val="center"/>
              <w:rPr>
                <w:rFonts w:ascii="仿宋_GB2312" w:hAnsi="仿宋_GB2312" w:eastAsia="仿宋_GB2312" w:cs="仿宋_GB2312"/>
                <w:sz w:val="20"/>
                <w:szCs w:val="20"/>
              </w:rPr>
            </w:pPr>
          </w:p>
        </w:tc>
        <w:tc>
          <w:tcPr>
            <w:tcW w:w="615" w:type="dxa"/>
            <w:vAlign w:val="center"/>
          </w:tcPr>
          <w:p w14:paraId="7A39BFD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B69D3D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2EE1D3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部门规章】《古生物化石保护条例实施办法》（2012年国土资源部令第57号公布，2019年自然资源部令第5号修正）第五十一条：单位或者个人在生产、建设活动中发现古生物化石不报告的，由县级以上人民政府自然资源主管部门对建设工程实施单位处1万元以下罚款；造成古生物化石损毁的，依法承担相应的法律责任。</w:t>
            </w:r>
          </w:p>
        </w:tc>
        <w:tc>
          <w:tcPr>
            <w:tcW w:w="3585" w:type="dxa"/>
            <w:vAlign w:val="center"/>
          </w:tcPr>
          <w:p w14:paraId="2FC1617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1BF5F8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52667E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C04169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706541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D7B1EF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1DE89C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B8B28D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A14790D">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F4DEC3D">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222BE9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77BED9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01A95D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B49566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0946CE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407B911">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3C7124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E6950D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F5C448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46A56F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CCEFA3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58D226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EC3E1C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19E590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E54C53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B1C3CC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44A7B9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8ADC7A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3F759F1">
            <w:pPr>
              <w:snapToGrid w:val="0"/>
              <w:spacing w:line="240" w:lineRule="atLeast"/>
              <w:jc w:val="center"/>
              <w:rPr>
                <w:rFonts w:ascii="仿宋_GB2312" w:hAnsi="仿宋_GB2312" w:eastAsia="仿宋_GB2312" w:cs="仿宋_GB2312"/>
                <w:sz w:val="20"/>
                <w:szCs w:val="20"/>
              </w:rPr>
            </w:pPr>
          </w:p>
        </w:tc>
      </w:tr>
    </w:tbl>
    <w:p w14:paraId="683FD56E"/>
    <w:p w14:paraId="1BE96608"/>
    <w:p w14:paraId="4ABA9769"/>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50AE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8EF3E1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C6BE95A">
            <w:pPr>
              <w:spacing w:line="240" w:lineRule="atLeast"/>
              <w:rPr>
                <w:rFonts w:asciiTheme="majorEastAsia" w:hAnsiTheme="majorEastAsia" w:eastAsiaTheme="majorEastAsia" w:cstheme="majorEastAsia"/>
                <w:spacing w:val="-20"/>
                <w:sz w:val="20"/>
                <w:szCs w:val="20"/>
              </w:rPr>
            </w:pPr>
          </w:p>
          <w:p w14:paraId="34BB84F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19F32F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DF7359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F2AD69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5DCF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73F5F20">
            <w:pPr>
              <w:spacing w:line="240" w:lineRule="atLeast"/>
              <w:jc w:val="left"/>
              <w:rPr>
                <w:rFonts w:ascii="仿宋_GB2312" w:hAnsi="仿宋_GB2312" w:eastAsia="仿宋_GB2312" w:cs="仿宋_GB2312"/>
                <w:sz w:val="20"/>
                <w:szCs w:val="20"/>
              </w:rPr>
            </w:pPr>
          </w:p>
        </w:tc>
        <w:tc>
          <w:tcPr>
            <w:tcW w:w="555" w:type="dxa"/>
            <w:vMerge w:val="continue"/>
          </w:tcPr>
          <w:p w14:paraId="0F59522A">
            <w:pPr>
              <w:spacing w:line="240" w:lineRule="atLeast"/>
              <w:jc w:val="left"/>
              <w:rPr>
                <w:rFonts w:ascii="仿宋_GB2312" w:hAnsi="仿宋_GB2312" w:eastAsia="仿宋_GB2312" w:cs="仿宋_GB2312"/>
                <w:sz w:val="20"/>
                <w:szCs w:val="20"/>
              </w:rPr>
            </w:pPr>
          </w:p>
        </w:tc>
        <w:tc>
          <w:tcPr>
            <w:tcW w:w="784" w:type="dxa"/>
            <w:vAlign w:val="center"/>
          </w:tcPr>
          <w:p w14:paraId="7B36793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A326D4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B89D60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DF70C6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D16708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3F8553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CCE4F7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BBB697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19BCA9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D528EE7">
            <w:pPr>
              <w:spacing w:line="240" w:lineRule="atLeast"/>
              <w:jc w:val="left"/>
              <w:rPr>
                <w:rFonts w:ascii="仿宋_GB2312" w:hAnsi="仿宋_GB2312" w:eastAsia="仿宋_GB2312" w:cs="仿宋_GB2312"/>
                <w:sz w:val="20"/>
                <w:szCs w:val="20"/>
              </w:rPr>
            </w:pPr>
          </w:p>
        </w:tc>
      </w:tr>
      <w:tr w14:paraId="5BF1C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70EFE2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117</w:t>
            </w:r>
          </w:p>
        </w:tc>
        <w:tc>
          <w:tcPr>
            <w:tcW w:w="555" w:type="dxa"/>
            <w:vAlign w:val="center"/>
          </w:tcPr>
          <w:p w14:paraId="436165A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14FE61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878298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A81910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对矿山企业未达到经依法审查确定的开采回采率、采矿贫化率、选矿回收率、矿山水循环利用率和土地复垦等指标行为的处罚</w:t>
            </w:r>
          </w:p>
        </w:tc>
        <w:tc>
          <w:tcPr>
            <w:tcW w:w="660" w:type="dxa"/>
            <w:vAlign w:val="center"/>
          </w:tcPr>
          <w:p w14:paraId="1DB113C1">
            <w:pPr>
              <w:snapToGrid w:val="0"/>
              <w:spacing w:line="240" w:lineRule="atLeast"/>
              <w:jc w:val="center"/>
              <w:rPr>
                <w:rFonts w:ascii="仿宋_GB2312" w:hAnsi="仿宋_GB2312" w:eastAsia="仿宋_GB2312" w:cs="仿宋_GB2312"/>
                <w:sz w:val="20"/>
                <w:szCs w:val="20"/>
              </w:rPr>
            </w:pPr>
          </w:p>
        </w:tc>
        <w:tc>
          <w:tcPr>
            <w:tcW w:w="615" w:type="dxa"/>
            <w:vAlign w:val="center"/>
          </w:tcPr>
          <w:p w14:paraId="0239123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385359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A5D009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法律】《中华人民共和国循环经济促进法》第五十三条：违反本法规定，矿山企业未达到经依法审查确定的开采回采率、采矿贫化率、选矿回收率、矿山水循环利用率和土地复垦率等指标的，由县级以上人民政府地质矿产主管部门责令限期改正，处五万元以上五十万元以下的罚款；逾期不改正的，由采矿许可证颁发机关依法吊销采矿许可证。</w:t>
            </w:r>
          </w:p>
        </w:tc>
        <w:tc>
          <w:tcPr>
            <w:tcW w:w="3585" w:type="dxa"/>
            <w:vAlign w:val="center"/>
          </w:tcPr>
          <w:p w14:paraId="0903C8A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1.立案责任：接到举报或相关部门转送、巡查发现违法行为，及时予以审查，决定是否立案。下达《责令停止违法行为通知书》。</w:t>
            </w:r>
          </w:p>
          <w:p w14:paraId="277875A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2.调查责任：对立案的案件，指定专人负责，及时组织调查取证，与当事人有直接利害关系的应当回避。执法人员不得少于两人，调查时应出示执法证件，听取当事人辩解陈述。执法人员应保守有关秘密。</w:t>
            </w:r>
          </w:p>
          <w:p w14:paraId="4C6791E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FBC35B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4.告知责任：作出行政处罚决定前，应制作《行政处罚告知书》送达当事人，告知违法事实及其享有的陈述、申辩等权利。符合听证规定的，制作并送达《行政处罚听证告知书》。</w:t>
            </w:r>
          </w:p>
          <w:p w14:paraId="64B0853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5.决定责任：制作行政处罚决定书，载明行政处罚告知、当事人陈述申辩或者听证情况等内容。符合刑事案件移送条件的，及时移送。</w:t>
            </w:r>
          </w:p>
          <w:p w14:paraId="0889F09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2505234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7.执行责任：当事人履行处罚决定的，及时结案；未履行处罚决定，依照生效的行政处罚决定，按程序下达催缴（告）通知书和申请人民法院强制执行。</w:t>
            </w:r>
          </w:p>
          <w:p w14:paraId="6FDA547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E5D716D">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864AF1A">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1F81BF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7F867F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724E85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0DE644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1F2083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BF0477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7106B5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A884D2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6DD9F7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1B075A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817D73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F0B991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607FCD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47E489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692D34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DC923B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7DC8D7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97D442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51B6ACA">
            <w:pPr>
              <w:snapToGrid w:val="0"/>
              <w:spacing w:line="240" w:lineRule="atLeast"/>
              <w:jc w:val="center"/>
              <w:rPr>
                <w:rFonts w:ascii="仿宋_GB2312" w:hAnsi="仿宋_GB2312" w:eastAsia="仿宋_GB2312" w:cs="仿宋_GB2312"/>
                <w:sz w:val="20"/>
                <w:szCs w:val="20"/>
              </w:rPr>
            </w:pPr>
          </w:p>
        </w:tc>
      </w:tr>
    </w:tbl>
    <w:p w14:paraId="4B1C8AFD"/>
    <w:p w14:paraId="4A96546A"/>
    <w:p w14:paraId="4B51D28C"/>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6A5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649D39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E99165A">
            <w:pPr>
              <w:spacing w:line="240" w:lineRule="atLeast"/>
              <w:rPr>
                <w:rFonts w:asciiTheme="majorEastAsia" w:hAnsiTheme="majorEastAsia" w:eastAsiaTheme="majorEastAsia" w:cstheme="majorEastAsia"/>
                <w:spacing w:val="-20"/>
                <w:sz w:val="20"/>
                <w:szCs w:val="20"/>
              </w:rPr>
            </w:pPr>
          </w:p>
          <w:p w14:paraId="36811568">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325E57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92B6AA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510D85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3186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6C17F7B">
            <w:pPr>
              <w:spacing w:line="240" w:lineRule="atLeast"/>
              <w:jc w:val="left"/>
              <w:rPr>
                <w:rFonts w:ascii="仿宋_GB2312" w:hAnsi="仿宋_GB2312" w:eastAsia="仿宋_GB2312" w:cs="仿宋_GB2312"/>
                <w:sz w:val="20"/>
                <w:szCs w:val="20"/>
              </w:rPr>
            </w:pPr>
          </w:p>
        </w:tc>
        <w:tc>
          <w:tcPr>
            <w:tcW w:w="555" w:type="dxa"/>
            <w:vMerge w:val="continue"/>
          </w:tcPr>
          <w:p w14:paraId="6412DC12">
            <w:pPr>
              <w:spacing w:line="240" w:lineRule="atLeast"/>
              <w:jc w:val="left"/>
              <w:rPr>
                <w:rFonts w:ascii="仿宋_GB2312" w:hAnsi="仿宋_GB2312" w:eastAsia="仿宋_GB2312" w:cs="仿宋_GB2312"/>
                <w:sz w:val="20"/>
                <w:szCs w:val="20"/>
              </w:rPr>
            </w:pPr>
          </w:p>
        </w:tc>
        <w:tc>
          <w:tcPr>
            <w:tcW w:w="784" w:type="dxa"/>
            <w:vAlign w:val="center"/>
          </w:tcPr>
          <w:p w14:paraId="60F5D88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1008A3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E7695E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7ABB20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E5AAF5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196742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757E81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FE8111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399194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59FBA8B">
            <w:pPr>
              <w:spacing w:line="240" w:lineRule="atLeast"/>
              <w:jc w:val="left"/>
              <w:rPr>
                <w:rFonts w:ascii="仿宋_GB2312" w:hAnsi="仿宋_GB2312" w:eastAsia="仿宋_GB2312" w:cs="仿宋_GB2312"/>
                <w:sz w:val="20"/>
                <w:szCs w:val="20"/>
              </w:rPr>
            </w:pPr>
          </w:p>
        </w:tc>
      </w:tr>
      <w:tr w14:paraId="05E3E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01369B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118</w:t>
            </w:r>
          </w:p>
        </w:tc>
        <w:tc>
          <w:tcPr>
            <w:tcW w:w="555" w:type="dxa"/>
            <w:vAlign w:val="center"/>
          </w:tcPr>
          <w:p w14:paraId="5332237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DAD376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52B16D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9D5749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对因开采设计、采掘计划的决策错误，开采回采率、</w:t>
            </w:r>
            <w:r>
              <w:rPr>
                <w:rFonts w:hint="eastAsia" w:eastAsia="仿宋_GB2312"/>
                <w:snapToGrid w:val="0"/>
                <w:color w:val="000000"/>
                <w:sz w:val="20"/>
                <w:szCs w:val="20"/>
              </w:rPr>
              <w:t xml:space="preserve"> </w:t>
            </w:r>
            <w:r>
              <w:rPr>
                <w:rFonts w:hint="eastAsia" w:eastAsia="仿宋_GB2312" w:cs="宋体"/>
                <w:snapToGrid w:val="0"/>
                <w:color w:val="000000"/>
                <w:sz w:val="20"/>
                <w:szCs w:val="20"/>
              </w:rPr>
              <w:t>采矿贫化率和选矿回收率长期达不到设计要求，造成资源损失行为的处罚</w:t>
            </w:r>
          </w:p>
        </w:tc>
        <w:tc>
          <w:tcPr>
            <w:tcW w:w="660" w:type="dxa"/>
            <w:vAlign w:val="center"/>
          </w:tcPr>
          <w:p w14:paraId="49330496">
            <w:pPr>
              <w:snapToGrid w:val="0"/>
              <w:spacing w:line="240" w:lineRule="atLeast"/>
              <w:jc w:val="center"/>
              <w:rPr>
                <w:rFonts w:ascii="仿宋_GB2312" w:hAnsi="仿宋_GB2312" w:eastAsia="仿宋_GB2312" w:cs="仿宋_GB2312"/>
                <w:sz w:val="20"/>
                <w:szCs w:val="20"/>
              </w:rPr>
            </w:pPr>
          </w:p>
        </w:tc>
        <w:tc>
          <w:tcPr>
            <w:tcW w:w="615" w:type="dxa"/>
            <w:vAlign w:val="center"/>
          </w:tcPr>
          <w:p w14:paraId="1EDB545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A491D1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EE5DB2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监督管理暂行办法》（1987年国务院发布）第二十三条：矿山企业有下列情形之一的，应当追究有关人员的责任，或者由地质矿产主管部门责令其限期改正，并可处以相当于矿石损失50％以下的罚款，情节严重的，应当责令停产整顿或者吊销采矿许可证：</w:t>
            </w:r>
          </w:p>
          <w:p w14:paraId="38688F8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一、因开采设计、采掘计划的决策错误，造成资源损失的；</w:t>
            </w:r>
          </w:p>
          <w:p w14:paraId="0516410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二、开采回采率、采矿贫化率和选矿回收率长期达不到设计要求，造成资源破坏损失的；</w:t>
            </w:r>
          </w:p>
        </w:tc>
        <w:tc>
          <w:tcPr>
            <w:tcW w:w="3585" w:type="dxa"/>
            <w:vAlign w:val="center"/>
          </w:tcPr>
          <w:p w14:paraId="1DEE0CB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1.立案责任：接到举报或相关部门转送、巡查发现违法行为，及时予以审查，决定是否立案。下达《责令停止违法行为通知书》。</w:t>
            </w:r>
          </w:p>
          <w:p w14:paraId="5AE9AA6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2.调查责任：对立案的案件，指定专人负责，及时组织调查取证，与当事人有直接利害关系的应当回避。执法人员不得少于两人，调查时应出示执法证件，听取当事人辩解陈述。执法人员应保守有关秘密。</w:t>
            </w:r>
          </w:p>
          <w:p w14:paraId="6AF0A7F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4326D49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4.告知责任：作出行政处罚决定前，应制作《行政处罚告知书》送达当事人，告知违法事实及其享有的陈述、申辩等权利。符合听证规定的，制作并送达《行政处罚听证告知书》。</w:t>
            </w:r>
          </w:p>
          <w:p w14:paraId="65AD146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5.决定责任：制作行政处罚决定书，载明行政处罚告知、当事人陈述申辩或者听证情况等内容。符合刑事案件移送条件的，及时移送。</w:t>
            </w:r>
          </w:p>
          <w:p w14:paraId="31EAC05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484264C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7.执行责任：当事人履行处罚决定的，及时结案；未履行处罚决定，依照生效的行政处罚决定，按程序下达催缴（告）通知书和申请人民法院强制执行。</w:t>
            </w:r>
          </w:p>
          <w:p w14:paraId="1328446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2AC8CD6">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E61A86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409F31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46C94C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C33CA4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FEC32C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0A1456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ACF329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B5255E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771900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20DCBC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4911F5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DC75E7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5630AC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56A552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04AECB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5C72F6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B32B31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EBB5CE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1AA362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D72AAA2">
            <w:pPr>
              <w:snapToGrid w:val="0"/>
              <w:spacing w:line="240" w:lineRule="atLeast"/>
              <w:jc w:val="center"/>
              <w:rPr>
                <w:rFonts w:ascii="仿宋_GB2312" w:hAnsi="仿宋_GB2312" w:eastAsia="仿宋_GB2312" w:cs="仿宋_GB2312"/>
                <w:sz w:val="20"/>
                <w:szCs w:val="20"/>
              </w:rPr>
            </w:pPr>
          </w:p>
        </w:tc>
      </w:tr>
    </w:tbl>
    <w:p w14:paraId="2E879114"/>
    <w:p w14:paraId="7EA0E03F"/>
    <w:p w14:paraId="09BAEE69"/>
    <w:p w14:paraId="4B62420A"/>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AFBF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7043BA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6FCCD71">
            <w:pPr>
              <w:spacing w:line="240" w:lineRule="atLeast"/>
              <w:rPr>
                <w:rFonts w:asciiTheme="majorEastAsia" w:hAnsiTheme="majorEastAsia" w:eastAsiaTheme="majorEastAsia" w:cstheme="majorEastAsia"/>
                <w:spacing w:val="-20"/>
                <w:sz w:val="20"/>
                <w:szCs w:val="20"/>
              </w:rPr>
            </w:pPr>
          </w:p>
          <w:p w14:paraId="69DC514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DD504E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B7E686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DCD7D3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06BF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85D04F1">
            <w:pPr>
              <w:spacing w:line="240" w:lineRule="atLeast"/>
              <w:jc w:val="left"/>
              <w:rPr>
                <w:rFonts w:ascii="仿宋_GB2312" w:hAnsi="仿宋_GB2312" w:eastAsia="仿宋_GB2312" w:cs="仿宋_GB2312"/>
                <w:sz w:val="20"/>
                <w:szCs w:val="20"/>
              </w:rPr>
            </w:pPr>
          </w:p>
        </w:tc>
        <w:tc>
          <w:tcPr>
            <w:tcW w:w="555" w:type="dxa"/>
            <w:vMerge w:val="continue"/>
          </w:tcPr>
          <w:p w14:paraId="7EB1A662">
            <w:pPr>
              <w:spacing w:line="240" w:lineRule="atLeast"/>
              <w:jc w:val="left"/>
              <w:rPr>
                <w:rFonts w:ascii="仿宋_GB2312" w:hAnsi="仿宋_GB2312" w:eastAsia="仿宋_GB2312" w:cs="仿宋_GB2312"/>
                <w:sz w:val="20"/>
                <w:szCs w:val="20"/>
              </w:rPr>
            </w:pPr>
          </w:p>
        </w:tc>
        <w:tc>
          <w:tcPr>
            <w:tcW w:w="784" w:type="dxa"/>
            <w:vAlign w:val="center"/>
          </w:tcPr>
          <w:p w14:paraId="347B312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80E42E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598F07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59D275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C93B7A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0C2ACE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C88297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A0222E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ABF44A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782CB5B">
            <w:pPr>
              <w:spacing w:line="240" w:lineRule="atLeast"/>
              <w:jc w:val="left"/>
              <w:rPr>
                <w:rFonts w:ascii="仿宋_GB2312" w:hAnsi="仿宋_GB2312" w:eastAsia="仿宋_GB2312" w:cs="仿宋_GB2312"/>
                <w:sz w:val="20"/>
                <w:szCs w:val="20"/>
              </w:rPr>
            </w:pPr>
          </w:p>
        </w:tc>
      </w:tr>
      <w:tr w14:paraId="1B99B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FF7E49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119</w:t>
            </w:r>
          </w:p>
        </w:tc>
        <w:tc>
          <w:tcPr>
            <w:tcW w:w="555" w:type="dxa"/>
            <w:vAlign w:val="center"/>
          </w:tcPr>
          <w:p w14:paraId="62575E1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0BC1E0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1C06D5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8F590A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对矿山的开拓、采准及采矿工程不按照开采设计进行施工，造成资源破坏损失行为的处罚</w:t>
            </w:r>
          </w:p>
        </w:tc>
        <w:tc>
          <w:tcPr>
            <w:tcW w:w="660" w:type="dxa"/>
            <w:vAlign w:val="center"/>
          </w:tcPr>
          <w:p w14:paraId="75A232DD">
            <w:pPr>
              <w:snapToGrid w:val="0"/>
              <w:spacing w:line="240" w:lineRule="atLeast"/>
              <w:jc w:val="center"/>
              <w:rPr>
                <w:rFonts w:ascii="仿宋_GB2312" w:hAnsi="仿宋_GB2312" w:eastAsia="仿宋_GB2312" w:cs="仿宋_GB2312"/>
                <w:sz w:val="20"/>
                <w:szCs w:val="20"/>
              </w:rPr>
            </w:pPr>
          </w:p>
        </w:tc>
        <w:tc>
          <w:tcPr>
            <w:tcW w:w="615" w:type="dxa"/>
            <w:vAlign w:val="center"/>
          </w:tcPr>
          <w:p w14:paraId="0193336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ED2CE7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5B5B4E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监督管理暂行办法》（1987年国务院发布）第二十三条：矿山企业有下列情形之一的，应当追究有关人员的责任，或者由地质矿产主管部门责令其限期改正，并可处以相当于矿石损失50％以下的罚款，情节严重的，应当责令停产整顿或者吊销采矿许可证：</w:t>
            </w:r>
          </w:p>
          <w:p w14:paraId="5003618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三、违反本办法第十三条、第十四条、第十七条、第十九条、第二十一条的规定，造成资源破坏损失的。</w:t>
            </w:r>
          </w:p>
          <w:p w14:paraId="02CB245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第十三条：矿山的开拓、采准及采矿工程，必须按照开采设计进行施工。应当建立严格的施工验收制度，防止资源丢失。</w:t>
            </w:r>
          </w:p>
        </w:tc>
        <w:tc>
          <w:tcPr>
            <w:tcW w:w="3585" w:type="dxa"/>
            <w:vAlign w:val="center"/>
          </w:tcPr>
          <w:p w14:paraId="010E59D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1.立案责任：接到举报或相关部门转送、巡查发现违法行为，及时予以审查，决定是否立案。下达《责令停止违法行为通知书》。</w:t>
            </w:r>
          </w:p>
          <w:p w14:paraId="214BA7A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2.调查责任：对立案的案件，指定专人负责，及时组织调查取证，与当事人有直接利害关系的应当回避。执法人员不得少于两人，调查时应出示执法证件，听取当事人辩解陈述。执法人员应保守有关秘密。</w:t>
            </w:r>
          </w:p>
          <w:p w14:paraId="5E2B556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BDD485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4.告知责任：作出行政处罚决定前，应制作《行政处罚告知书》送达当事人，告知违法事实及其享有的陈述、申辩等权利。符合听证规定的，制作并送达《行政处罚听证告知书》。</w:t>
            </w:r>
          </w:p>
          <w:p w14:paraId="1B3683E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5.决定责任：制作行政处罚决定书，载明行政处罚告知、当事人陈述申辩或者听证情况等内容。符合刑事案件移送条件的，及时移送。</w:t>
            </w:r>
          </w:p>
          <w:p w14:paraId="70D4101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3775661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7.执行责任：当事人履行处罚决定的，及时结案；未履行处罚决定，依照生效的行政处罚决定，按程序下达催缴（告）通知书和申请人民法院强制执行。</w:t>
            </w:r>
          </w:p>
          <w:p w14:paraId="6694474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EA2BA40">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4037F0F">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080A29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025775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579670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2776BE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A3DD97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88969F8">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A80CA7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52C250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B18D9E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F5BE38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894DFB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5A4E4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D48A88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3D87DF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F1777E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DAE1A9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3E1822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31EE43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4E33922">
            <w:pPr>
              <w:snapToGrid w:val="0"/>
              <w:spacing w:line="240" w:lineRule="atLeast"/>
              <w:jc w:val="center"/>
              <w:rPr>
                <w:rFonts w:ascii="仿宋_GB2312" w:hAnsi="仿宋_GB2312" w:eastAsia="仿宋_GB2312" w:cs="仿宋_GB2312"/>
                <w:sz w:val="20"/>
                <w:szCs w:val="20"/>
              </w:rPr>
            </w:pPr>
          </w:p>
        </w:tc>
      </w:tr>
    </w:tbl>
    <w:p w14:paraId="2BDE933C"/>
    <w:p w14:paraId="5E4D6E7E"/>
    <w:p w14:paraId="4B21EB39"/>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6017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EE4BB83">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495D191">
            <w:pPr>
              <w:spacing w:line="240" w:lineRule="atLeast"/>
              <w:rPr>
                <w:rFonts w:asciiTheme="majorEastAsia" w:hAnsiTheme="majorEastAsia" w:eastAsiaTheme="majorEastAsia" w:cstheme="majorEastAsia"/>
                <w:spacing w:val="-20"/>
                <w:sz w:val="20"/>
                <w:szCs w:val="20"/>
              </w:rPr>
            </w:pPr>
          </w:p>
          <w:p w14:paraId="45E3C2D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759DD4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A7CA07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F2F554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31AC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D0FBD5D">
            <w:pPr>
              <w:spacing w:line="240" w:lineRule="atLeast"/>
              <w:jc w:val="left"/>
              <w:rPr>
                <w:rFonts w:ascii="仿宋_GB2312" w:hAnsi="仿宋_GB2312" w:eastAsia="仿宋_GB2312" w:cs="仿宋_GB2312"/>
                <w:sz w:val="20"/>
                <w:szCs w:val="20"/>
              </w:rPr>
            </w:pPr>
          </w:p>
        </w:tc>
        <w:tc>
          <w:tcPr>
            <w:tcW w:w="555" w:type="dxa"/>
            <w:vMerge w:val="continue"/>
          </w:tcPr>
          <w:p w14:paraId="658B0162">
            <w:pPr>
              <w:spacing w:line="240" w:lineRule="atLeast"/>
              <w:jc w:val="left"/>
              <w:rPr>
                <w:rFonts w:ascii="仿宋_GB2312" w:hAnsi="仿宋_GB2312" w:eastAsia="仿宋_GB2312" w:cs="仿宋_GB2312"/>
                <w:sz w:val="20"/>
                <w:szCs w:val="20"/>
              </w:rPr>
            </w:pPr>
          </w:p>
        </w:tc>
        <w:tc>
          <w:tcPr>
            <w:tcW w:w="784" w:type="dxa"/>
            <w:vAlign w:val="center"/>
          </w:tcPr>
          <w:p w14:paraId="04BCC01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358019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8BA15D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647C86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036671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6D7994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1FD5C9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38BE73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EB67A3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A1A4C58">
            <w:pPr>
              <w:spacing w:line="240" w:lineRule="atLeast"/>
              <w:jc w:val="left"/>
              <w:rPr>
                <w:rFonts w:ascii="仿宋_GB2312" w:hAnsi="仿宋_GB2312" w:eastAsia="仿宋_GB2312" w:cs="仿宋_GB2312"/>
                <w:sz w:val="20"/>
                <w:szCs w:val="20"/>
              </w:rPr>
            </w:pPr>
          </w:p>
        </w:tc>
      </w:tr>
      <w:tr w14:paraId="3FC65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C4F705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120</w:t>
            </w:r>
          </w:p>
        </w:tc>
        <w:tc>
          <w:tcPr>
            <w:tcW w:w="555" w:type="dxa"/>
            <w:vAlign w:val="center"/>
          </w:tcPr>
          <w:p w14:paraId="4E646E1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7E0023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764209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BB7185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对矿山企业不按照设计进行开采，任意丢掉矿体，造成资源破坏损失行为的处罚</w:t>
            </w:r>
          </w:p>
        </w:tc>
        <w:tc>
          <w:tcPr>
            <w:tcW w:w="660" w:type="dxa"/>
            <w:vAlign w:val="center"/>
          </w:tcPr>
          <w:p w14:paraId="242BF470">
            <w:pPr>
              <w:snapToGrid w:val="0"/>
              <w:spacing w:line="240" w:lineRule="atLeast"/>
              <w:jc w:val="center"/>
              <w:rPr>
                <w:rFonts w:ascii="仿宋_GB2312" w:hAnsi="仿宋_GB2312" w:eastAsia="仿宋_GB2312" w:cs="仿宋_GB2312"/>
                <w:sz w:val="20"/>
                <w:szCs w:val="20"/>
              </w:rPr>
            </w:pPr>
          </w:p>
        </w:tc>
        <w:tc>
          <w:tcPr>
            <w:tcW w:w="615" w:type="dxa"/>
            <w:vAlign w:val="center"/>
          </w:tcPr>
          <w:p w14:paraId="696550A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444A21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0D43D9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监督管理暂行办法》（1987年国务院发布）第二十三条：矿山企业有下列情形之一的，应当追究有关人员的责任，或者由地质矿产主管部门责令其限期改正，并可处以相当于矿石损失50％以下的罚款，情节严重的，应当责令停产整顿或者吊销采矿许可证：</w:t>
            </w:r>
          </w:p>
          <w:p w14:paraId="5F8DB59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三、违反本办法第十三条、第十四条、第十七条、第十九条、第二十一条的规定，造成资源破坏损失的。</w:t>
            </w:r>
          </w:p>
          <w:p w14:paraId="38A82DB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第十四条：矿山企业必须按照设计进行开采，不准任意丢掉矿体。对开采应当加强监督检查，严防不应有的开采损失。</w:t>
            </w:r>
          </w:p>
        </w:tc>
        <w:tc>
          <w:tcPr>
            <w:tcW w:w="3585" w:type="dxa"/>
            <w:vAlign w:val="center"/>
          </w:tcPr>
          <w:p w14:paraId="7C6D8BC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1.立案责任：接到举报或相关部门转送、巡查发现违法行为，及时予以审查，决定是否立案。下达《责令停止违法行为通知书》。</w:t>
            </w:r>
          </w:p>
          <w:p w14:paraId="6117150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2.调查责任：对立案的案件，指定专人负责，及时组织调查取证，与当事人有直接利害关系的应当回避。执法人员不得少于两人，调查时应出示执法证件，听取当事人辩解陈述。执法人员应保守有关秘密。</w:t>
            </w:r>
          </w:p>
          <w:p w14:paraId="13C5533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F702B4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4.告知责任：作出行政处罚决定前，应制作《行政处罚告知书》送达当事人，告知违法事实及其享有的陈述、申辩等权利。符合听证规定的，制作并送达《行政处罚听证告知书》。</w:t>
            </w:r>
          </w:p>
          <w:p w14:paraId="55A9675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5.决定责任：制作行政处罚决定书，载明行政处罚告知、当事人陈述申辩或者听证情况等内容。符合刑事案件移送条件的，及时移送。</w:t>
            </w:r>
          </w:p>
          <w:p w14:paraId="69C1354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08D46FD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7.执行责任：当事人履行处罚决定的，及时结案；未履行处罚决定，依照生效的行政处罚决定，按程序下达催缴（告）通知书和申请人民法院强制执行。</w:t>
            </w:r>
          </w:p>
          <w:p w14:paraId="1134C0E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94A8926">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3C4D427">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1F5A1C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E44497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46CE2E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DCD5BF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85B891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2AEB99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8561AE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91D47E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EB103F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1D79E5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45DAB1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4FE7D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FAE6FC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293B68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478362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977186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04328C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6B92D7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D7897BB">
            <w:pPr>
              <w:snapToGrid w:val="0"/>
              <w:spacing w:line="240" w:lineRule="atLeast"/>
              <w:jc w:val="center"/>
              <w:rPr>
                <w:rFonts w:ascii="仿宋_GB2312" w:hAnsi="仿宋_GB2312" w:eastAsia="仿宋_GB2312" w:cs="仿宋_GB2312"/>
                <w:sz w:val="20"/>
                <w:szCs w:val="20"/>
              </w:rPr>
            </w:pPr>
          </w:p>
        </w:tc>
      </w:tr>
    </w:tbl>
    <w:p w14:paraId="1E13856C"/>
    <w:p w14:paraId="58740D5C"/>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8DEE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6F072B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30FF7B6">
            <w:pPr>
              <w:spacing w:line="240" w:lineRule="atLeast"/>
              <w:rPr>
                <w:rFonts w:asciiTheme="majorEastAsia" w:hAnsiTheme="majorEastAsia" w:eastAsiaTheme="majorEastAsia" w:cstheme="majorEastAsia"/>
                <w:spacing w:val="-20"/>
                <w:sz w:val="20"/>
                <w:szCs w:val="20"/>
              </w:rPr>
            </w:pPr>
          </w:p>
          <w:p w14:paraId="64874A4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C5040A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2B0370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FA6243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3F56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E0721D3">
            <w:pPr>
              <w:spacing w:line="240" w:lineRule="atLeast"/>
              <w:jc w:val="left"/>
              <w:rPr>
                <w:rFonts w:ascii="仿宋_GB2312" w:hAnsi="仿宋_GB2312" w:eastAsia="仿宋_GB2312" w:cs="仿宋_GB2312"/>
                <w:sz w:val="20"/>
                <w:szCs w:val="20"/>
              </w:rPr>
            </w:pPr>
          </w:p>
        </w:tc>
        <w:tc>
          <w:tcPr>
            <w:tcW w:w="555" w:type="dxa"/>
            <w:vMerge w:val="continue"/>
          </w:tcPr>
          <w:p w14:paraId="0CC7CC6B">
            <w:pPr>
              <w:spacing w:line="240" w:lineRule="atLeast"/>
              <w:jc w:val="left"/>
              <w:rPr>
                <w:rFonts w:ascii="仿宋_GB2312" w:hAnsi="仿宋_GB2312" w:eastAsia="仿宋_GB2312" w:cs="仿宋_GB2312"/>
                <w:sz w:val="20"/>
                <w:szCs w:val="20"/>
              </w:rPr>
            </w:pPr>
          </w:p>
        </w:tc>
        <w:tc>
          <w:tcPr>
            <w:tcW w:w="784" w:type="dxa"/>
            <w:vAlign w:val="center"/>
          </w:tcPr>
          <w:p w14:paraId="292FDA9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090445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E17EFD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9ED48C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6BBB9E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BF479C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1BC5BD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DD0E67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1205B5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0223AD4">
            <w:pPr>
              <w:spacing w:line="240" w:lineRule="atLeast"/>
              <w:jc w:val="left"/>
              <w:rPr>
                <w:rFonts w:ascii="仿宋_GB2312" w:hAnsi="仿宋_GB2312" w:eastAsia="仿宋_GB2312" w:cs="仿宋_GB2312"/>
                <w:sz w:val="20"/>
                <w:szCs w:val="20"/>
              </w:rPr>
            </w:pPr>
          </w:p>
        </w:tc>
      </w:tr>
      <w:tr w14:paraId="5AD9F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9F4D9C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121</w:t>
            </w:r>
          </w:p>
        </w:tc>
        <w:tc>
          <w:tcPr>
            <w:tcW w:w="555" w:type="dxa"/>
            <w:vAlign w:val="center"/>
          </w:tcPr>
          <w:p w14:paraId="2341184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A32686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4C2686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5F5C1D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对在采、选主要矿产的同时，未对具有工业价值的共生、伴生矿产在技术可行、经济合理的条件下未进行综合回收或者对暂时不能综合回收利用的矿产，未采取有效的保护措施，造成资源破坏损失行为的处罚</w:t>
            </w:r>
          </w:p>
        </w:tc>
        <w:tc>
          <w:tcPr>
            <w:tcW w:w="660" w:type="dxa"/>
            <w:vAlign w:val="center"/>
          </w:tcPr>
          <w:p w14:paraId="1FD8B4EF">
            <w:pPr>
              <w:snapToGrid w:val="0"/>
              <w:spacing w:line="240" w:lineRule="atLeast"/>
              <w:jc w:val="center"/>
              <w:rPr>
                <w:rFonts w:ascii="仿宋_GB2312" w:hAnsi="仿宋_GB2312" w:eastAsia="仿宋_GB2312" w:cs="仿宋_GB2312"/>
                <w:sz w:val="20"/>
                <w:szCs w:val="20"/>
              </w:rPr>
            </w:pPr>
          </w:p>
        </w:tc>
        <w:tc>
          <w:tcPr>
            <w:tcW w:w="615" w:type="dxa"/>
            <w:vAlign w:val="center"/>
          </w:tcPr>
          <w:p w14:paraId="58B0DF3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3569A7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D8B501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监督管理暂行办法》（1987年国务院发布）第二十三条：矿山企业有下列情形之一的，应当追究有关人员的责任，或者由地质矿产主管部门责令其限期改正，并可处以相当于矿石损失50％以下的罚款，情节严重的，应当责令停产整顿或者吊销采矿许可证：</w:t>
            </w:r>
          </w:p>
          <w:p w14:paraId="0030030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三、违反本办法第十三条、第十四条、第十七条、第十九条、第二十一条的规定，造成资源破坏损失的。</w:t>
            </w:r>
          </w:p>
          <w:p w14:paraId="40AA0FD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第十七条：在采、选主要矿产的同时，对具有工业价值的共生、伴生矿产，在技术可行、经济合理的条件下，必须综合回收；对暂时不能综合回收利用的矿产，应当采取有效的保护措施。</w:t>
            </w:r>
          </w:p>
        </w:tc>
        <w:tc>
          <w:tcPr>
            <w:tcW w:w="3585" w:type="dxa"/>
            <w:vAlign w:val="center"/>
          </w:tcPr>
          <w:p w14:paraId="2A79926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1.立案责任：接到举报或相关部门转送、巡查发现违法行为，及时予以审查，决定是否立案。下达《责令停止违法行为通知书》。</w:t>
            </w:r>
          </w:p>
          <w:p w14:paraId="7E1CED6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2.调查责任：对立案的案件，指定专人负责，及时组织调查取证，与当事人有直接利害关系的应当回避。执法人员不得少于两人，调查时应出示执法证件，听取当事人辩解陈述。执法人员应保守有关秘密。</w:t>
            </w:r>
          </w:p>
          <w:p w14:paraId="67B8D81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6F6C1E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4.告知责任：作出行政处罚决定前，应制作《行政处罚告知书》送达当事人，告知违法事实及其享有的陈述、申辩等权利。符合听证规定的，制作并送达《行政处罚听证告知书》。</w:t>
            </w:r>
          </w:p>
          <w:p w14:paraId="209996B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5.决定责任：制作行政处罚决定书，载明行政处罚告知、当事人陈述申辩或者听证情况等内容。符合刑事案件移送条件的，及时移送。</w:t>
            </w:r>
          </w:p>
          <w:p w14:paraId="2B7E836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4436F64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7.执行责任：当事人履行处罚决定的，及时结案；未履行处罚决定，依照生效的行政处罚决定，按程序下达催缴（告）通知书和申请人民法院强制执行。</w:t>
            </w:r>
          </w:p>
          <w:p w14:paraId="69040B1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421617A">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796D63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BD03E1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652E0B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82AE40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A54CDB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7CC500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11435E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FE85BE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6B298E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67E534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FC14AC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45503A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7BEBEA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82A6D5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CAAB15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7BCFF3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B9B501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E8BAA2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88655B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E2EE7CC">
            <w:pPr>
              <w:snapToGrid w:val="0"/>
              <w:spacing w:line="240" w:lineRule="atLeast"/>
              <w:jc w:val="center"/>
              <w:rPr>
                <w:rFonts w:ascii="仿宋_GB2312" w:hAnsi="仿宋_GB2312" w:eastAsia="仿宋_GB2312" w:cs="仿宋_GB2312"/>
                <w:sz w:val="20"/>
                <w:szCs w:val="20"/>
              </w:rPr>
            </w:pPr>
          </w:p>
        </w:tc>
      </w:tr>
    </w:tbl>
    <w:p w14:paraId="142F73C4"/>
    <w:p w14:paraId="07F3CE48"/>
    <w:p w14:paraId="0E6E9AAC"/>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38F8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5BF069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22422B2">
            <w:pPr>
              <w:spacing w:line="240" w:lineRule="atLeast"/>
              <w:rPr>
                <w:rFonts w:asciiTheme="majorEastAsia" w:hAnsiTheme="majorEastAsia" w:eastAsiaTheme="majorEastAsia" w:cstheme="majorEastAsia"/>
                <w:spacing w:val="-20"/>
                <w:sz w:val="20"/>
                <w:szCs w:val="20"/>
              </w:rPr>
            </w:pPr>
          </w:p>
          <w:p w14:paraId="63E1578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3E3F31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C48941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328C41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D93B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768A2FC">
            <w:pPr>
              <w:spacing w:line="240" w:lineRule="atLeast"/>
              <w:jc w:val="left"/>
              <w:rPr>
                <w:rFonts w:ascii="仿宋_GB2312" w:hAnsi="仿宋_GB2312" w:eastAsia="仿宋_GB2312" w:cs="仿宋_GB2312"/>
                <w:sz w:val="20"/>
                <w:szCs w:val="20"/>
              </w:rPr>
            </w:pPr>
          </w:p>
        </w:tc>
        <w:tc>
          <w:tcPr>
            <w:tcW w:w="555" w:type="dxa"/>
            <w:vMerge w:val="continue"/>
          </w:tcPr>
          <w:p w14:paraId="19768454">
            <w:pPr>
              <w:spacing w:line="240" w:lineRule="atLeast"/>
              <w:jc w:val="left"/>
              <w:rPr>
                <w:rFonts w:ascii="仿宋_GB2312" w:hAnsi="仿宋_GB2312" w:eastAsia="仿宋_GB2312" w:cs="仿宋_GB2312"/>
                <w:sz w:val="20"/>
                <w:szCs w:val="20"/>
              </w:rPr>
            </w:pPr>
          </w:p>
        </w:tc>
        <w:tc>
          <w:tcPr>
            <w:tcW w:w="784" w:type="dxa"/>
            <w:vAlign w:val="center"/>
          </w:tcPr>
          <w:p w14:paraId="2DA106E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257ED7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149EA2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22B750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80004C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226FCB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8C3C26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702172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749A91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7180D06">
            <w:pPr>
              <w:spacing w:line="240" w:lineRule="atLeast"/>
              <w:jc w:val="left"/>
              <w:rPr>
                <w:rFonts w:ascii="仿宋_GB2312" w:hAnsi="仿宋_GB2312" w:eastAsia="仿宋_GB2312" w:cs="仿宋_GB2312"/>
                <w:sz w:val="20"/>
                <w:szCs w:val="20"/>
              </w:rPr>
            </w:pPr>
          </w:p>
        </w:tc>
      </w:tr>
      <w:tr w14:paraId="2B135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89E2E8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122</w:t>
            </w:r>
          </w:p>
        </w:tc>
        <w:tc>
          <w:tcPr>
            <w:tcW w:w="555" w:type="dxa"/>
            <w:vAlign w:val="center"/>
          </w:tcPr>
          <w:p w14:paraId="0553B04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4EEE9B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88C5E4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590C37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对矿山企业随意变动批准的计算矿产储量的工业指标进行矿产储量的圈定、计算及开采，造成资源破坏损失行为的处罚</w:t>
            </w:r>
          </w:p>
        </w:tc>
        <w:tc>
          <w:tcPr>
            <w:tcW w:w="660" w:type="dxa"/>
            <w:vAlign w:val="center"/>
          </w:tcPr>
          <w:p w14:paraId="5E2E0C88">
            <w:pPr>
              <w:snapToGrid w:val="0"/>
              <w:spacing w:line="240" w:lineRule="atLeast"/>
              <w:jc w:val="center"/>
              <w:rPr>
                <w:rFonts w:ascii="仿宋_GB2312" w:hAnsi="仿宋_GB2312" w:eastAsia="仿宋_GB2312" w:cs="仿宋_GB2312"/>
                <w:sz w:val="20"/>
                <w:szCs w:val="20"/>
              </w:rPr>
            </w:pPr>
          </w:p>
        </w:tc>
        <w:tc>
          <w:tcPr>
            <w:tcW w:w="615" w:type="dxa"/>
            <w:vAlign w:val="center"/>
          </w:tcPr>
          <w:p w14:paraId="583B76C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E242C0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EB4958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监督管理暂行办法》（1987年国务院发布）第二十三条：矿山企业有下列情形之一的，应当追究有关人员的责任，或者由地质矿产主管部门责令其限期改正，并可处以相当于矿石损失50％以下的罚款，情节严重的，应当责令停产整顿或者吊销采矿许可证：</w:t>
            </w:r>
          </w:p>
          <w:p w14:paraId="6667C4E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三、违反本办法第十三条、第十四条、第十七条、第十九条、第二十一条的规定，造成资源破坏损失的。</w:t>
            </w:r>
          </w:p>
          <w:p w14:paraId="354D882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第十九条：矿山企业对矿产储量的圈定、计算及开采，必须以批准的计算矿产储量的工业指标为依据，不得随意变动。需要变动的，应当上报实际资料，经主管部门审核同意后，报原审批单位批准。</w:t>
            </w:r>
          </w:p>
        </w:tc>
        <w:tc>
          <w:tcPr>
            <w:tcW w:w="3585" w:type="dxa"/>
            <w:vAlign w:val="center"/>
          </w:tcPr>
          <w:p w14:paraId="77E35B5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1.立案责任：接到举报或相关部门转送、巡查发现违法行为，及时予以审查，决定是否立案。下达《责令停止违法行为通知书》。</w:t>
            </w:r>
          </w:p>
          <w:p w14:paraId="7DA794F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2.调查责任：对立案的案件，指定专人负责，及时组织调查取证，与当事人有直接利害关系的应当回避。执法人员不得少于两人，调查时应出示执法证件，听取当事人辩解陈述。执法人员应保守有关秘密。</w:t>
            </w:r>
          </w:p>
          <w:p w14:paraId="4E5D657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FA56DB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4.告知责任：作出行政处罚决定前，应制作《行政处罚告知书》送达当事人，告知违法事实及其享有的陈述、申辩等权利。符合听证规定的，制作并送达《行政处罚听证告知书》。</w:t>
            </w:r>
          </w:p>
          <w:p w14:paraId="7854299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5.决定责任：制作行政处罚决定书，载明行政处罚告知、当事人陈述申辩或者听证情况等内容。符合刑事案件移送条件的，及时移送。</w:t>
            </w:r>
          </w:p>
          <w:p w14:paraId="2B85AC5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7D2FD75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7.执行责任：当事人履行处罚决定的，及时结案；未履行处罚决定，依照生效的行政处罚决定，按程序下达催缴（告）通知书和申请人民法院强制执行。</w:t>
            </w:r>
          </w:p>
          <w:p w14:paraId="3E71155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021705A">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607D80F">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243B30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21E133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2F8690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24D1FE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F7C9A7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4D15ED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CA836B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13143D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FDF8E5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E6C4F9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6E21A2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038F10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7C90E5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B637AC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F6B3FB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F52998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398D05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B7DFD0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3502A29">
            <w:pPr>
              <w:snapToGrid w:val="0"/>
              <w:spacing w:line="240" w:lineRule="atLeast"/>
              <w:jc w:val="center"/>
              <w:rPr>
                <w:rFonts w:ascii="仿宋_GB2312" w:hAnsi="仿宋_GB2312" w:eastAsia="仿宋_GB2312" w:cs="仿宋_GB2312"/>
                <w:sz w:val="20"/>
                <w:szCs w:val="20"/>
              </w:rPr>
            </w:pPr>
          </w:p>
        </w:tc>
      </w:tr>
    </w:tbl>
    <w:p w14:paraId="102D8FD3"/>
    <w:p w14:paraId="0B29C136"/>
    <w:p w14:paraId="453DB104"/>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34A3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2FDB8D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BDC69DC">
            <w:pPr>
              <w:spacing w:line="240" w:lineRule="atLeast"/>
              <w:rPr>
                <w:rFonts w:asciiTheme="majorEastAsia" w:hAnsiTheme="majorEastAsia" w:eastAsiaTheme="majorEastAsia" w:cstheme="majorEastAsia"/>
                <w:spacing w:val="-20"/>
                <w:sz w:val="20"/>
                <w:szCs w:val="20"/>
              </w:rPr>
            </w:pPr>
          </w:p>
          <w:p w14:paraId="2F473F5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2BE133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E8645E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AC80FF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FDE9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8E7A418">
            <w:pPr>
              <w:spacing w:line="240" w:lineRule="atLeast"/>
              <w:jc w:val="left"/>
              <w:rPr>
                <w:rFonts w:ascii="仿宋_GB2312" w:hAnsi="仿宋_GB2312" w:eastAsia="仿宋_GB2312" w:cs="仿宋_GB2312"/>
                <w:sz w:val="20"/>
                <w:szCs w:val="20"/>
              </w:rPr>
            </w:pPr>
          </w:p>
        </w:tc>
        <w:tc>
          <w:tcPr>
            <w:tcW w:w="555" w:type="dxa"/>
            <w:vMerge w:val="continue"/>
          </w:tcPr>
          <w:p w14:paraId="5EB9F3FA">
            <w:pPr>
              <w:spacing w:line="240" w:lineRule="atLeast"/>
              <w:jc w:val="left"/>
              <w:rPr>
                <w:rFonts w:ascii="仿宋_GB2312" w:hAnsi="仿宋_GB2312" w:eastAsia="仿宋_GB2312" w:cs="仿宋_GB2312"/>
                <w:sz w:val="20"/>
                <w:szCs w:val="20"/>
              </w:rPr>
            </w:pPr>
          </w:p>
        </w:tc>
        <w:tc>
          <w:tcPr>
            <w:tcW w:w="784" w:type="dxa"/>
            <w:vAlign w:val="center"/>
          </w:tcPr>
          <w:p w14:paraId="1E85E25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C246E7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D89BF2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998782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B3011E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696AF1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FE459D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591764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09F218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93E43FF">
            <w:pPr>
              <w:spacing w:line="240" w:lineRule="atLeast"/>
              <w:jc w:val="left"/>
              <w:rPr>
                <w:rFonts w:ascii="仿宋_GB2312" w:hAnsi="仿宋_GB2312" w:eastAsia="仿宋_GB2312" w:cs="仿宋_GB2312"/>
                <w:sz w:val="20"/>
                <w:szCs w:val="20"/>
              </w:rPr>
            </w:pPr>
          </w:p>
        </w:tc>
      </w:tr>
      <w:tr w14:paraId="6F7E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6D961C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123</w:t>
            </w:r>
          </w:p>
        </w:tc>
        <w:tc>
          <w:tcPr>
            <w:tcW w:w="555" w:type="dxa"/>
            <w:vAlign w:val="center"/>
          </w:tcPr>
          <w:p w14:paraId="591B9E3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D4E306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9075A8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DC3097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对擅自废除坑道和其他工程，造成资源破坏损失行为的处罚</w:t>
            </w:r>
          </w:p>
        </w:tc>
        <w:tc>
          <w:tcPr>
            <w:tcW w:w="660" w:type="dxa"/>
            <w:vAlign w:val="center"/>
          </w:tcPr>
          <w:p w14:paraId="7B5D36BA">
            <w:pPr>
              <w:snapToGrid w:val="0"/>
              <w:spacing w:line="240" w:lineRule="atLeast"/>
              <w:jc w:val="center"/>
              <w:rPr>
                <w:rFonts w:ascii="仿宋_GB2312" w:hAnsi="仿宋_GB2312" w:eastAsia="仿宋_GB2312" w:cs="仿宋_GB2312"/>
                <w:sz w:val="20"/>
                <w:szCs w:val="20"/>
              </w:rPr>
            </w:pPr>
          </w:p>
        </w:tc>
        <w:tc>
          <w:tcPr>
            <w:tcW w:w="615" w:type="dxa"/>
            <w:vAlign w:val="center"/>
          </w:tcPr>
          <w:p w14:paraId="7B9CEFE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567CB1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D1780E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监督管理暂行办法》（1987年国务院发布）第二十三条：矿山企业有下列情形之一的，应当追究有关人员的责任，或者由地质矿产主管部门责令其限期改正，并可处以相当于矿石损失50％以下的罚款，情节严重的，应当责令停产整顿或者吊销采矿许可证：</w:t>
            </w:r>
          </w:p>
          <w:p w14:paraId="6B33A07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三、违反本办法第十三条、第十四条、第十七条、第十九条、第二十一条的规定，造成资源破坏损失的。</w:t>
            </w:r>
          </w:p>
          <w:p w14:paraId="5DC9711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第二十一条：地下开采的中段（水平）或露天采矿场内尚有未采完的保有矿产储量，未经地质测量机构检查验收和报销申请尚未批准之前，不准擅自废除坑道和其他工程。</w:t>
            </w:r>
          </w:p>
        </w:tc>
        <w:tc>
          <w:tcPr>
            <w:tcW w:w="3585" w:type="dxa"/>
            <w:vAlign w:val="center"/>
          </w:tcPr>
          <w:p w14:paraId="4F6E67C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1.立案责任：接到举报或相关部门转送、巡查发现违法行为，及时予以审查，决定是否立案。下达《责令停止违法行为通知书》。</w:t>
            </w:r>
          </w:p>
          <w:p w14:paraId="4F276F2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2.调查责任：对立案的案件，指定专人负责，及时组织调查取证，与当事人有直接利害关系的应当回避。执法人员不得少于两人，调查时应出示执法证件，听取当事人辩解陈述。执法人员应保守有关秘密。</w:t>
            </w:r>
          </w:p>
          <w:p w14:paraId="779B310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DC260C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4.告知责任：作出行政处罚决定前，应制作《行政处罚告知书》送达当事人，告知违法事实及其享有的陈述、申辩等权利。符合听证规定的，制作并送达《行政处罚听证告知书》。</w:t>
            </w:r>
          </w:p>
          <w:p w14:paraId="4D37666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5.决定责任：制作行政处罚决定书，载明行政处罚告知、当事人陈述申辩或者听证情况等内容。符合刑事案件移送条件的，及时移送。</w:t>
            </w:r>
          </w:p>
          <w:p w14:paraId="6A72AD4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3A3703F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7.执行责任：当事人履行处罚决定的，及时结案；未履行处罚决定，依照生效的行政处罚决定，按程序下达催缴（告）通知书和申请人民法院强制执行。</w:t>
            </w:r>
          </w:p>
          <w:p w14:paraId="6A602E0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FD495B7">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30DECC3">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898563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B22493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12B8FC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BCB4CC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A40E36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A4428EF">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A60A6E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1AF50B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2E45E0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615344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6E0A31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57322F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5C60DF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8276AB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1B3BF8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7D83FE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D630BB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1BC48E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FEA773E">
            <w:pPr>
              <w:snapToGrid w:val="0"/>
              <w:spacing w:line="240" w:lineRule="atLeast"/>
              <w:jc w:val="center"/>
              <w:rPr>
                <w:rFonts w:ascii="仿宋_GB2312" w:hAnsi="仿宋_GB2312" w:eastAsia="仿宋_GB2312" w:cs="仿宋_GB2312"/>
                <w:sz w:val="20"/>
                <w:szCs w:val="20"/>
              </w:rPr>
            </w:pPr>
          </w:p>
        </w:tc>
      </w:tr>
    </w:tbl>
    <w:p w14:paraId="2C637D7E"/>
    <w:p w14:paraId="7993AFEC"/>
    <w:p w14:paraId="2E7C5301"/>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55F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F711F97">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67F892A">
            <w:pPr>
              <w:spacing w:line="240" w:lineRule="atLeast"/>
              <w:rPr>
                <w:rFonts w:asciiTheme="majorEastAsia" w:hAnsiTheme="majorEastAsia" w:eastAsiaTheme="majorEastAsia" w:cstheme="majorEastAsia"/>
                <w:spacing w:val="-20"/>
                <w:sz w:val="20"/>
                <w:szCs w:val="20"/>
              </w:rPr>
            </w:pPr>
          </w:p>
          <w:p w14:paraId="38C2F12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536E60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9BA6CE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9E8DF0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2A31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54178BB">
            <w:pPr>
              <w:spacing w:line="240" w:lineRule="atLeast"/>
              <w:jc w:val="left"/>
              <w:rPr>
                <w:rFonts w:ascii="仿宋_GB2312" w:hAnsi="仿宋_GB2312" w:eastAsia="仿宋_GB2312" w:cs="仿宋_GB2312"/>
                <w:sz w:val="20"/>
                <w:szCs w:val="20"/>
              </w:rPr>
            </w:pPr>
          </w:p>
        </w:tc>
        <w:tc>
          <w:tcPr>
            <w:tcW w:w="555" w:type="dxa"/>
            <w:vMerge w:val="continue"/>
          </w:tcPr>
          <w:p w14:paraId="7EE6B8F8">
            <w:pPr>
              <w:spacing w:line="240" w:lineRule="atLeast"/>
              <w:jc w:val="left"/>
              <w:rPr>
                <w:rFonts w:ascii="仿宋_GB2312" w:hAnsi="仿宋_GB2312" w:eastAsia="仿宋_GB2312" w:cs="仿宋_GB2312"/>
                <w:sz w:val="20"/>
                <w:szCs w:val="20"/>
              </w:rPr>
            </w:pPr>
          </w:p>
        </w:tc>
        <w:tc>
          <w:tcPr>
            <w:tcW w:w="784" w:type="dxa"/>
            <w:vAlign w:val="center"/>
          </w:tcPr>
          <w:p w14:paraId="747939B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3F9ACB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CB60B4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5D2658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5C7019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C2E742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FED8E2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A20287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07E6ED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680F9A1">
            <w:pPr>
              <w:spacing w:line="240" w:lineRule="atLeast"/>
              <w:jc w:val="left"/>
              <w:rPr>
                <w:rFonts w:ascii="仿宋_GB2312" w:hAnsi="仿宋_GB2312" w:eastAsia="仿宋_GB2312" w:cs="仿宋_GB2312"/>
                <w:sz w:val="20"/>
                <w:szCs w:val="20"/>
              </w:rPr>
            </w:pPr>
          </w:p>
        </w:tc>
      </w:tr>
      <w:tr w14:paraId="32A45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521C3E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124</w:t>
            </w:r>
          </w:p>
        </w:tc>
        <w:tc>
          <w:tcPr>
            <w:tcW w:w="555" w:type="dxa"/>
            <w:vAlign w:val="center"/>
          </w:tcPr>
          <w:p w14:paraId="7CAE2A0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B331CA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6AB5FF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AAE82E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对城乡规划编制单位以欺骗、贿赂等不正当手段取得城乡规划编制单位资质证书行为的处罚</w:t>
            </w:r>
          </w:p>
        </w:tc>
        <w:tc>
          <w:tcPr>
            <w:tcW w:w="660" w:type="dxa"/>
            <w:vAlign w:val="center"/>
          </w:tcPr>
          <w:p w14:paraId="637B0063">
            <w:pPr>
              <w:snapToGrid w:val="0"/>
              <w:spacing w:line="240" w:lineRule="atLeast"/>
              <w:jc w:val="center"/>
              <w:rPr>
                <w:rFonts w:ascii="仿宋_GB2312" w:hAnsi="仿宋_GB2312" w:eastAsia="仿宋_GB2312" w:cs="仿宋_GB2312"/>
                <w:sz w:val="20"/>
                <w:szCs w:val="20"/>
              </w:rPr>
            </w:pPr>
          </w:p>
        </w:tc>
        <w:tc>
          <w:tcPr>
            <w:tcW w:w="615" w:type="dxa"/>
            <w:vAlign w:val="center"/>
          </w:tcPr>
          <w:p w14:paraId="67F6940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D0A781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71DB5B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部门规章】《城乡规划编制单位资质管理规定》（2012年住房和城乡建设部令第12号发布，2016年住房和城乡建设部令第28号修改）第三十七条第二款：以欺骗、贿赂等不正当手段取得城乡规划编制单位资质证书的，由县级以上地方人民政府城乡规划主管部门处3万元罚款，申请人在3年内不得再次申请城乡规划编制单位资质。</w:t>
            </w:r>
          </w:p>
        </w:tc>
        <w:tc>
          <w:tcPr>
            <w:tcW w:w="3585" w:type="dxa"/>
            <w:vAlign w:val="center"/>
          </w:tcPr>
          <w:p w14:paraId="1CF27F9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627DF1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12F56BC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4AEB4D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7EF4D4B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1DF25E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C6B49C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BDFE95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24556B0">
            <w:pPr>
              <w:widowControl/>
              <w:adjustRightInd w:val="0"/>
              <w:snapToGrid w:val="0"/>
              <w:spacing w:line="240"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293621C">
            <w:pPr>
              <w:widowControl/>
              <w:adjustRightInd w:val="0"/>
              <w:snapToGrid w:val="0"/>
              <w:spacing w:line="240"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3708A26">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28DB801">
            <w:pPr>
              <w:widowControl/>
              <w:adjustRightInd w:val="0"/>
              <w:snapToGrid w:val="0"/>
              <w:spacing w:line="24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A993AAD">
            <w:pPr>
              <w:widowControl/>
              <w:adjustRightInd w:val="0"/>
              <w:snapToGrid w:val="0"/>
              <w:spacing w:line="24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B983592">
            <w:pPr>
              <w:widowControl/>
              <w:adjustRightInd w:val="0"/>
              <w:snapToGrid w:val="0"/>
              <w:spacing w:line="24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1FC441D">
            <w:pPr>
              <w:widowControl/>
              <w:adjustRightInd w:val="0"/>
              <w:snapToGrid w:val="0"/>
              <w:spacing w:line="24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14296AA">
            <w:pPr>
              <w:widowControl/>
              <w:adjustRightInd w:val="0"/>
              <w:snapToGrid w:val="0"/>
              <w:spacing w:line="240"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3D52B55">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14D6984">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C88F6BE">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CCB19DB">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06205D5">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F4BF497">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E1245B0">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9D87700">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2228C00">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B7FF7EC">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36BDF61">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F6D0F0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07DD8D5">
            <w:pPr>
              <w:snapToGrid w:val="0"/>
              <w:spacing w:line="240" w:lineRule="atLeast"/>
              <w:jc w:val="center"/>
              <w:rPr>
                <w:rFonts w:ascii="仿宋_GB2312" w:hAnsi="仿宋_GB2312" w:eastAsia="仿宋_GB2312" w:cs="仿宋_GB2312"/>
                <w:sz w:val="20"/>
                <w:szCs w:val="20"/>
              </w:rPr>
            </w:pPr>
          </w:p>
        </w:tc>
      </w:tr>
    </w:tbl>
    <w:p w14:paraId="47BB1B35"/>
    <w:p w14:paraId="0AFA56A9"/>
    <w:p w14:paraId="014D771D"/>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2DB9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D66A619">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F6B9E66">
            <w:pPr>
              <w:spacing w:line="240" w:lineRule="atLeast"/>
              <w:rPr>
                <w:rFonts w:asciiTheme="majorEastAsia" w:hAnsiTheme="majorEastAsia" w:eastAsiaTheme="majorEastAsia" w:cstheme="majorEastAsia"/>
                <w:spacing w:val="-20"/>
                <w:sz w:val="20"/>
                <w:szCs w:val="20"/>
              </w:rPr>
            </w:pPr>
          </w:p>
          <w:p w14:paraId="796E65C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1E2805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248A96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07851B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9E67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07DD4CF">
            <w:pPr>
              <w:spacing w:line="240" w:lineRule="atLeast"/>
              <w:jc w:val="left"/>
              <w:rPr>
                <w:rFonts w:ascii="仿宋_GB2312" w:hAnsi="仿宋_GB2312" w:eastAsia="仿宋_GB2312" w:cs="仿宋_GB2312"/>
                <w:sz w:val="20"/>
                <w:szCs w:val="20"/>
              </w:rPr>
            </w:pPr>
          </w:p>
        </w:tc>
        <w:tc>
          <w:tcPr>
            <w:tcW w:w="555" w:type="dxa"/>
            <w:vMerge w:val="continue"/>
          </w:tcPr>
          <w:p w14:paraId="17757C94">
            <w:pPr>
              <w:spacing w:line="240" w:lineRule="atLeast"/>
              <w:jc w:val="left"/>
              <w:rPr>
                <w:rFonts w:ascii="仿宋_GB2312" w:hAnsi="仿宋_GB2312" w:eastAsia="仿宋_GB2312" w:cs="仿宋_GB2312"/>
                <w:sz w:val="20"/>
                <w:szCs w:val="20"/>
              </w:rPr>
            </w:pPr>
          </w:p>
        </w:tc>
        <w:tc>
          <w:tcPr>
            <w:tcW w:w="784" w:type="dxa"/>
            <w:vAlign w:val="center"/>
          </w:tcPr>
          <w:p w14:paraId="2133090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A5E48C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F42A49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44281C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71F95B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85EDC2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57FDB1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8F65FE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D1DF67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888DD15">
            <w:pPr>
              <w:spacing w:line="240" w:lineRule="atLeast"/>
              <w:jc w:val="left"/>
              <w:rPr>
                <w:rFonts w:ascii="仿宋_GB2312" w:hAnsi="仿宋_GB2312" w:eastAsia="仿宋_GB2312" w:cs="仿宋_GB2312"/>
                <w:sz w:val="20"/>
                <w:szCs w:val="20"/>
              </w:rPr>
            </w:pPr>
          </w:p>
        </w:tc>
      </w:tr>
      <w:tr w14:paraId="5CA5F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371EA1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125</w:t>
            </w:r>
          </w:p>
        </w:tc>
        <w:tc>
          <w:tcPr>
            <w:tcW w:w="555" w:type="dxa"/>
            <w:vAlign w:val="center"/>
          </w:tcPr>
          <w:p w14:paraId="0570119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340453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10111A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08C773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对城乡规划编制单位涂改、倒卖、出租、出借或者以其他形式非法转让资质证书行为的处罚</w:t>
            </w:r>
          </w:p>
        </w:tc>
        <w:tc>
          <w:tcPr>
            <w:tcW w:w="660" w:type="dxa"/>
            <w:vAlign w:val="center"/>
          </w:tcPr>
          <w:p w14:paraId="61A1CA54">
            <w:pPr>
              <w:snapToGrid w:val="0"/>
              <w:spacing w:line="240" w:lineRule="atLeast"/>
              <w:jc w:val="center"/>
              <w:rPr>
                <w:rFonts w:ascii="仿宋_GB2312" w:hAnsi="仿宋_GB2312" w:eastAsia="仿宋_GB2312" w:cs="仿宋_GB2312"/>
                <w:sz w:val="20"/>
                <w:szCs w:val="20"/>
              </w:rPr>
            </w:pPr>
          </w:p>
        </w:tc>
        <w:tc>
          <w:tcPr>
            <w:tcW w:w="615" w:type="dxa"/>
            <w:vAlign w:val="center"/>
          </w:tcPr>
          <w:p w14:paraId="16552DE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872356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E99C32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部门规章】《城乡规划编制单位资质管理规定》（2012年住房和城乡建设部令第12号发布，2016年住房和城乡建设部令第28号修改）第三十八条：涂改、倒卖、出租、出借或者以其他形式非法转让资质证书的，由县级以上地方人民政府城乡规划主管部门给予警告，责令限期改正，并处3万元罚款；造成损失的，依法承担赔偿责任；构成犯罪的，依法追究刑事责任。</w:t>
            </w:r>
          </w:p>
        </w:tc>
        <w:tc>
          <w:tcPr>
            <w:tcW w:w="3585" w:type="dxa"/>
            <w:vAlign w:val="center"/>
          </w:tcPr>
          <w:p w14:paraId="3ED9481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A51FFE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96590C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97033D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8CA3D8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14D4FB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B72939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37F726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12BB24E">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D504084">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6A87FF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0002F3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1737FD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D98130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87B9B5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D6B667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ECC1B9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DEA736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FC9217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AF3860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AF1684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DC9F45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3D9175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CE8A9F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066F7E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80B943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317E95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FC3620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FCFCB84">
            <w:pPr>
              <w:snapToGrid w:val="0"/>
              <w:spacing w:line="240" w:lineRule="atLeast"/>
              <w:jc w:val="center"/>
              <w:rPr>
                <w:rFonts w:ascii="仿宋_GB2312" w:hAnsi="仿宋_GB2312" w:eastAsia="仿宋_GB2312" w:cs="仿宋_GB2312"/>
                <w:sz w:val="20"/>
                <w:szCs w:val="20"/>
              </w:rPr>
            </w:pPr>
          </w:p>
        </w:tc>
      </w:tr>
    </w:tbl>
    <w:p w14:paraId="7C8B4D4E"/>
    <w:p w14:paraId="58716EC8"/>
    <w:p w14:paraId="7DC7CA7C"/>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954F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5F6BAE7">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292AD27">
            <w:pPr>
              <w:spacing w:line="240" w:lineRule="atLeast"/>
              <w:rPr>
                <w:rFonts w:asciiTheme="majorEastAsia" w:hAnsiTheme="majorEastAsia" w:eastAsiaTheme="majorEastAsia" w:cstheme="majorEastAsia"/>
                <w:spacing w:val="-20"/>
                <w:sz w:val="20"/>
                <w:szCs w:val="20"/>
              </w:rPr>
            </w:pPr>
          </w:p>
          <w:p w14:paraId="6B8C386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282554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B59D6E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7CBF20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5CE0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129E0FE">
            <w:pPr>
              <w:spacing w:line="240" w:lineRule="atLeast"/>
              <w:jc w:val="left"/>
              <w:rPr>
                <w:rFonts w:ascii="仿宋_GB2312" w:hAnsi="仿宋_GB2312" w:eastAsia="仿宋_GB2312" w:cs="仿宋_GB2312"/>
                <w:sz w:val="20"/>
                <w:szCs w:val="20"/>
              </w:rPr>
            </w:pPr>
          </w:p>
        </w:tc>
        <w:tc>
          <w:tcPr>
            <w:tcW w:w="555" w:type="dxa"/>
            <w:vMerge w:val="continue"/>
          </w:tcPr>
          <w:p w14:paraId="4ABB7A2A">
            <w:pPr>
              <w:spacing w:line="240" w:lineRule="atLeast"/>
              <w:jc w:val="left"/>
              <w:rPr>
                <w:rFonts w:ascii="仿宋_GB2312" w:hAnsi="仿宋_GB2312" w:eastAsia="仿宋_GB2312" w:cs="仿宋_GB2312"/>
                <w:sz w:val="20"/>
                <w:szCs w:val="20"/>
              </w:rPr>
            </w:pPr>
          </w:p>
        </w:tc>
        <w:tc>
          <w:tcPr>
            <w:tcW w:w="784" w:type="dxa"/>
            <w:vAlign w:val="center"/>
          </w:tcPr>
          <w:p w14:paraId="38CC213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69FC76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1B5C98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DEFB25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7E3B36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9724BE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0465E2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BEE920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D66811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0C40AC4">
            <w:pPr>
              <w:spacing w:line="240" w:lineRule="atLeast"/>
              <w:jc w:val="left"/>
              <w:rPr>
                <w:rFonts w:ascii="仿宋_GB2312" w:hAnsi="仿宋_GB2312" w:eastAsia="仿宋_GB2312" w:cs="仿宋_GB2312"/>
                <w:sz w:val="20"/>
                <w:szCs w:val="20"/>
              </w:rPr>
            </w:pPr>
          </w:p>
        </w:tc>
      </w:tr>
      <w:tr w14:paraId="1314D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7B69A8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126</w:t>
            </w:r>
          </w:p>
        </w:tc>
        <w:tc>
          <w:tcPr>
            <w:tcW w:w="555" w:type="dxa"/>
            <w:vAlign w:val="center"/>
          </w:tcPr>
          <w:p w14:paraId="2B414ED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2CBC08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C10147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E9672F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对城乡规划编制单位超越资质等级许可的范围承揽城乡规划编制工作行为的处罚</w:t>
            </w:r>
          </w:p>
        </w:tc>
        <w:tc>
          <w:tcPr>
            <w:tcW w:w="660" w:type="dxa"/>
            <w:vAlign w:val="center"/>
          </w:tcPr>
          <w:p w14:paraId="011D7B64">
            <w:pPr>
              <w:snapToGrid w:val="0"/>
              <w:spacing w:line="240" w:lineRule="atLeast"/>
              <w:jc w:val="center"/>
              <w:rPr>
                <w:rFonts w:ascii="仿宋_GB2312" w:hAnsi="仿宋_GB2312" w:eastAsia="仿宋_GB2312" w:cs="仿宋_GB2312"/>
                <w:sz w:val="20"/>
                <w:szCs w:val="20"/>
              </w:rPr>
            </w:pPr>
          </w:p>
        </w:tc>
        <w:tc>
          <w:tcPr>
            <w:tcW w:w="615" w:type="dxa"/>
            <w:vAlign w:val="center"/>
          </w:tcPr>
          <w:p w14:paraId="7A2C768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CEE377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472806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城乡规划法》第六十二条：城乡规划编制单位有下列行为之一的，由所在地城市、县人民政府城乡规划主管部门责令限期改正，处以合同约定的规划编制费1倍以上2倍以下的罚款；情节严重的，责令停业整顿，由原资质许可机关降低资质等级或者吊销资质证书；造成损失的，依法承担赔偿责任：</w:t>
            </w:r>
          </w:p>
          <w:p w14:paraId="26E6839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（一）超越资质等级许可的范围承揽城乡规划编制工作的。</w:t>
            </w:r>
          </w:p>
          <w:p w14:paraId="091A1B8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城乡规划编制单位资质管理规定》（2012年住房和城乡建设部令第12号发布，2016年住房和城乡建设部令第28号修改）第三十二条：城乡规划编制单位违法从事城乡规划编制活动的，违法行为发生地的县级以上地方人民政府城乡规划主管部门应当依法查处，并将违法事实、处理结果或者处理建议及时告知该城乡规划编制单位的资质许可机关。</w:t>
            </w:r>
          </w:p>
        </w:tc>
        <w:tc>
          <w:tcPr>
            <w:tcW w:w="3585" w:type="dxa"/>
            <w:vAlign w:val="center"/>
          </w:tcPr>
          <w:p w14:paraId="1A9C8E6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62D454C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2105B59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32FFBE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B3F48A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0BE57E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873328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105E9C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F98C611">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1E679A3">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AFC4C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E5E5BC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DF53E2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E13A20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501A3B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BAFEDC8">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B5848D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F32622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39A80F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3BA8F5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B248EF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0DBF25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AC65B1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7288C5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1729B3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E85A9F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F3DDE3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207B29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F848E35">
            <w:pPr>
              <w:snapToGrid w:val="0"/>
              <w:spacing w:line="240" w:lineRule="atLeast"/>
              <w:jc w:val="center"/>
              <w:rPr>
                <w:rFonts w:ascii="仿宋_GB2312" w:hAnsi="仿宋_GB2312" w:eastAsia="仿宋_GB2312" w:cs="仿宋_GB2312"/>
                <w:sz w:val="20"/>
                <w:szCs w:val="20"/>
              </w:rPr>
            </w:pPr>
          </w:p>
        </w:tc>
      </w:tr>
    </w:tbl>
    <w:p w14:paraId="193B4060"/>
    <w:p w14:paraId="036C471D"/>
    <w:p w14:paraId="5E07BCCF"/>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911A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33A672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386945C">
            <w:pPr>
              <w:spacing w:line="240" w:lineRule="atLeast"/>
              <w:rPr>
                <w:rFonts w:asciiTheme="majorEastAsia" w:hAnsiTheme="majorEastAsia" w:eastAsiaTheme="majorEastAsia" w:cstheme="majorEastAsia"/>
                <w:spacing w:val="-20"/>
                <w:sz w:val="20"/>
                <w:szCs w:val="20"/>
              </w:rPr>
            </w:pPr>
          </w:p>
          <w:p w14:paraId="3E9D31E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4B1475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0A068F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59DB18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B36A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357C097">
            <w:pPr>
              <w:spacing w:line="240" w:lineRule="atLeast"/>
              <w:jc w:val="left"/>
              <w:rPr>
                <w:rFonts w:ascii="仿宋_GB2312" w:hAnsi="仿宋_GB2312" w:eastAsia="仿宋_GB2312" w:cs="仿宋_GB2312"/>
                <w:sz w:val="20"/>
                <w:szCs w:val="20"/>
              </w:rPr>
            </w:pPr>
          </w:p>
        </w:tc>
        <w:tc>
          <w:tcPr>
            <w:tcW w:w="555" w:type="dxa"/>
            <w:vMerge w:val="continue"/>
          </w:tcPr>
          <w:p w14:paraId="15C66FC3">
            <w:pPr>
              <w:spacing w:line="240" w:lineRule="atLeast"/>
              <w:jc w:val="left"/>
              <w:rPr>
                <w:rFonts w:ascii="仿宋_GB2312" w:hAnsi="仿宋_GB2312" w:eastAsia="仿宋_GB2312" w:cs="仿宋_GB2312"/>
                <w:sz w:val="20"/>
                <w:szCs w:val="20"/>
              </w:rPr>
            </w:pPr>
          </w:p>
        </w:tc>
        <w:tc>
          <w:tcPr>
            <w:tcW w:w="784" w:type="dxa"/>
            <w:vAlign w:val="center"/>
          </w:tcPr>
          <w:p w14:paraId="3FCD46C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3461A5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FC9882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5B5770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C64C88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234B05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0BF309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2E974C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BB5C72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33AC8E9">
            <w:pPr>
              <w:spacing w:line="240" w:lineRule="atLeast"/>
              <w:jc w:val="left"/>
              <w:rPr>
                <w:rFonts w:ascii="仿宋_GB2312" w:hAnsi="仿宋_GB2312" w:eastAsia="仿宋_GB2312" w:cs="仿宋_GB2312"/>
                <w:sz w:val="20"/>
                <w:szCs w:val="20"/>
              </w:rPr>
            </w:pPr>
          </w:p>
        </w:tc>
      </w:tr>
      <w:tr w14:paraId="2DFFC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290149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127</w:t>
            </w:r>
          </w:p>
        </w:tc>
        <w:tc>
          <w:tcPr>
            <w:tcW w:w="555" w:type="dxa"/>
            <w:vAlign w:val="center"/>
          </w:tcPr>
          <w:p w14:paraId="6808940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5983DE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2BF836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B93830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对城乡规划编制单位违反国家有关标准编制城乡规划行为的处罚</w:t>
            </w:r>
          </w:p>
        </w:tc>
        <w:tc>
          <w:tcPr>
            <w:tcW w:w="660" w:type="dxa"/>
            <w:vAlign w:val="center"/>
          </w:tcPr>
          <w:p w14:paraId="4F278735">
            <w:pPr>
              <w:snapToGrid w:val="0"/>
              <w:spacing w:line="240" w:lineRule="atLeast"/>
              <w:jc w:val="center"/>
              <w:rPr>
                <w:rFonts w:ascii="仿宋_GB2312" w:hAnsi="仿宋_GB2312" w:eastAsia="仿宋_GB2312" w:cs="仿宋_GB2312"/>
                <w:sz w:val="20"/>
                <w:szCs w:val="20"/>
              </w:rPr>
            </w:pPr>
          </w:p>
        </w:tc>
        <w:tc>
          <w:tcPr>
            <w:tcW w:w="615" w:type="dxa"/>
            <w:vAlign w:val="center"/>
          </w:tcPr>
          <w:p w14:paraId="0565874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7439C5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7623F2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城乡规划法》第六十二条：城乡规划编制单位有下列行为之一的，由所在地城市、县人民政府城乡规划主管部门责令限期改正，处以合同约定的规划编制费1倍以上2倍以下的罚款；情节严重的，责令停业整顿，由原资质许可机关降低资质等级或者吊销资质证书；造成损失的，依法承担赔偿责任：</w:t>
            </w:r>
          </w:p>
          <w:p w14:paraId="198B4DA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（二）违反国家有关标准编制城乡规划的。</w:t>
            </w:r>
          </w:p>
          <w:p w14:paraId="79BFF53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城乡规划编制单位资质管理规定》（2012年住房和城乡建设部令第12号发布，2016年住房和城乡建设部令第28号修改）第三十二条：城乡规划编制单位违法从事城乡规划编制活动的，违法行为发生地的县级以上地方人民政府城乡规划主管部门应当依法查处，并将违法事实、处理结果或者处理建议及时告知该城乡规划编制单位的资质许可机关。</w:t>
            </w:r>
          </w:p>
        </w:tc>
        <w:tc>
          <w:tcPr>
            <w:tcW w:w="3585" w:type="dxa"/>
            <w:vAlign w:val="center"/>
          </w:tcPr>
          <w:p w14:paraId="497B17B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10AA728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1FDBF59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5F9EB9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1ABBCF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5332D8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93ECAC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77BB7E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98147BE">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3D22DF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F9D4CD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371F66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ECC5C7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78D7ED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8A3F9B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417816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DC87AD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52D270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DFE710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77527B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100C6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D4E98F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08A6D7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857FB5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BB3348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47A9D5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E19A24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0D7B78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97ABFDB">
            <w:pPr>
              <w:snapToGrid w:val="0"/>
              <w:spacing w:line="240" w:lineRule="atLeast"/>
              <w:jc w:val="center"/>
              <w:rPr>
                <w:rFonts w:ascii="仿宋_GB2312" w:hAnsi="仿宋_GB2312" w:eastAsia="仿宋_GB2312" w:cs="仿宋_GB2312"/>
                <w:sz w:val="20"/>
                <w:szCs w:val="20"/>
              </w:rPr>
            </w:pPr>
          </w:p>
        </w:tc>
      </w:tr>
    </w:tbl>
    <w:p w14:paraId="130D6330"/>
    <w:p w14:paraId="2B385925"/>
    <w:p w14:paraId="3B0B9BE9"/>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543C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66B10BF">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C85E59C">
            <w:pPr>
              <w:spacing w:line="240" w:lineRule="atLeast"/>
              <w:rPr>
                <w:rFonts w:asciiTheme="majorEastAsia" w:hAnsiTheme="majorEastAsia" w:eastAsiaTheme="majorEastAsia" w:cstheme="majorEastAsia"/>
                <w:spacing w:val="-20"/>
                <w:sz w:val="20"/>
                <w:szCs w:val="20"/>
              </w:rPr>
            </w:pPr>
          </w:p>
          <w:p w14:paraId="4765650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37E43D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950625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168FD8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A963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1597F4C">
            <w:pPr>
              <w:spacing w:line="240" w:lineRule="atLeast"/>
              <w:jc w:val="left"/>
              <w:rPr>
                <w:rFonts w:ascii="仿宋_GB2312" w:hAnsi="仿宋_GB2312" w:eastAsia="仿宋_GB2312" w:cs="仿宋_GB2312"/>
                <w:sz w:val="20"/>
                <w:szCs w:val="20"/>
              </w:rPr>
            </w:pPr>
          </w:p>
        </w:tc>
        <w:tc>
          <w:tcPr>
            <w:tcW w:w="555" w:type="dxa"/>
            <w:vMerge w:val="continue"/>
          </w:tcPr>
          <w:p w14:paraId="0073A9C9">
            <w:pPr>
              <w:spacing w:line="240" w:lineRule="atLeast"/>
              <w:jc w:val="left"/>
              <w:rPr>
                <w:rFonts w:ascii="仿宋_GB2312" w:hAnsi="仿宋_GB2312" w:eastAsia="仿宋_GB2312" w:cs="仿宋_GB2312"/>
                <w:sz w:val="20"/>
                <w:szCs w:val="20"/>
              </w:rPr>
            </w:pPr>
          </w:p>
        </w:tc>
        <w:tc>
          <w:tcPr>
            <w:tcW w:w="784" w:type="dxa"/>
            <w:vAlign w:val="center"/>
          </w:tcPr>
          <w:p w14:paraId="2FC97FD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FB0622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DB11F7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F372AE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4F68C0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88C897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5599E5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858BB5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9A593D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22A02AE">
            <w:pPr>
              <w:spacing w:line="240" w:lineRule="atLeast"/>
              <w:jc w:val="left"/>
              <w:rPr>
                <w:rFonts w:ascii="仿宋_GB2312" w:hAnsi="仿宋_GB2312" w:eastAsia="仿宋_GB2312" w:cs="仿宋_GB2312"/>
                <w:sz w:val="20"/>
                <w:szCs w:val="20"/>
              </w:rPr>
            </w:pPr>
          </w:p>
        </w:tc>
      </w:tr>
      <w:tr w14:paraId="129D8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2EE558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128</w:t>
            </w:r>
          </w:p>
        </w:tc>
        <w:tc>
          <w:tcPr>
            <w:tcW w:w="555" w:type="dxa"/>
            <w:vAlign w:val="center"/>
          </w:tcPr>
          <w:p w14:paraId="5AAC68C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A9298A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115622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D00C06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对城乡规划编制单位未依法取得资质证书承揽城乡规划编制工作行为的处罚</w:t>
            </w:r>
          </w:p>
        </w:tc>
        <w:tc>
          <w:tcPr>
            <w:tcW w:w="660" w:type="dxa"/>
            <w:vAlign w:val="center"/>
          </w:tcPr>
          <w:p w14:paraId="47D0A13E">
            <w:pPr>
              <w:snapToGrid w:val="0"/>
              <w:spacing w:line="240" w:lineRule="atLeast"/>
              <w:jc w:val="center"/>
              <w:rPr>
                <w:rFonts w:ascii="仿宋_GB2312" w:hAnsi="仿宋_GB2312" w:eastAsia="仿宋_GB2312" w:cs="仿宋_GB2312"/>
                <w:sz w:val="20"/>
                <w:szCs w:val="20"/>
              </w:rPr>
            </w:pPr>
          </w:p>
        </w:tc>
        <w:tc>
          <w:tcPr>
            <w:tcW w:w="615" w:type="dxa"/>
            <w:vAlign w:val="center"/>
          </w:tcPr>
          <w:p w14:paraId="1E9B220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44CFC9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D12200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城乡规划法》第六十二条：城乡规划编制单位有下列行为之一的，由所在地城市、县人民政府城乡规划主管部门责令限期改正，处以合同约定的规划编制费1倍以上2倍以下的罚款；情节严重的，责令停业整顿，由原资质许可机关降低资质等级或者吊销资质证书；造成损失的，依法承担赔偿责任：</w:t>
            </w:r>
          </w:p>
          <w:p w14:paraId="12E1855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未依法取得资质证书承揽城乡规划编制工作的，由县级以上地方人民政府城乡规划主管部门责令停止违法行为，依照前款规定处以罚款；造成损失的，依法承担赔偿责任。</w:t>
            </w:r>
          </w:p>
          <w:p w14:paraId="63EFD2B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城乡规划编制单位资质管理规定》（2012年住房和城乡建设部令第12号发布，2016年住房和城乡建设部令第28号修改）第三十二条：城乡规划编制单位违法从事城乡规划编制活动的，违法行为发生地的县级以上地方人民政府城乡规划主管部门应当依法查处，并将违法事实、处理结果或者处理建议及时告知该城乡规划编制单位的资质许可机关。</w:t>
            </w:r>
          </w:p>
        </w:tc>
        <w:tc>
          <w:tcPr>
            <w:tcW w:w="3585" w:type="dxa"/>
            <w:vAlign w:val="center"/>
          </w:tcPr>
          <w:p w14:paraId="5A2F2EE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D6CF99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3E6C65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CFDA75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3C800F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74A37B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D7E011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243BB7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11CDF89">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CD223F4">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7469E1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5A82F8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69EDBD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21170C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979C23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36C5E9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E196E0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E4E7AC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2570C8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C98DD1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92CCEE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CAC77E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8CAEE6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CD8B36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CEA3B8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09E9AD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A3BBB5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07A183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801CC45">
            <w:pPr>
              <w:snapToGrid w:val="0"/>
              <w:spacing w:line="240" w:lineRule="atLeast"/>
              <w:jc w:val="center"/>
              <w:rPr>
                <w:rFonts w:ascii="仿宋_GB2312" w:hAnsi="仿宋_GB2312" w:eastAsia="仿宋_GB2312" w:cs="仿宋_GB2312"/>
                <w:sz w:val="20"/>
                <w:szCs w:val="20"/>
              </w:rPr>
            </w:pPr>
          </w:p>
        </w:tc>
      </w:tr>
    </w:tbl>
    <w:p w14:paraId="3C88D28B"/>
    <w:p w14:paraId="50F46F7F"/>
    <w:p w14:paraId="1F0B2652"/>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A5FF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75F1B3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A155A32">
            <w:pPr>
              <w:spacing w:line="240" w:lineRule="atLeast"/>
              <w:rPr>
                <w:rFonts w:asciiTheme="majorEastAsia" w:hAnsiTheme="majorEastAsia" w:eastAsiaTheme="majorEastAsia" w:cstheme="majorEastAsia"/>
                <w:spacing w:val="-20"/>
                <w:sz w:val="20"/>
                <w:szCs w:val="20"/>
              </w:rPr>
            </w:pPr>
          </w:p>
          <w:p w14:paraId="4FBB249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7CFAB2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DF622C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A7A4E9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C23C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3B4B97F">
            <w:pPr>
              <w:spacing w:line="240" w:lineRule="atLeast"/>
              <w:jc w:val="left"/>
              <w:rPr>
                <w:rFonts w:ascii="仿宋_GB2312" w:hAnsi="仿宋_GB2312" w:eastAsia="仿宋_GB2312" w:cs="仿宋_GB2312"/>
                <w:sz w:val="20"/>
                <w:szCs w:val="20"/>
              </w:rPr>
            </w:pPr>
          </w:p>
        </w:tc>
        <w:tc>
          <w:tcPr>
            <w:tcW w:w="555" w:type="dxa"/>
            <w:vMerge w:val="continue"/>
          </w:tcPr>
          <w:p w14:paraId="5C7B11FC">
            <w:pPr>
              <w:spacing w:line="240" w:lineRule="atLeast"/>
              <w:jc w:val="left"/>
              <w:rPr>
                <w:rFonts w:ascii="仿宋_GB2312" w:hAnsi="仿宋_GB2312" w:eastAsia="仿宋_GB2312" w:cs="仿宋_GB2312"/>
                <w:sz w:val="20"/>
                <w:szCs w:val="20"/>
              </w:rPr>
            </w:pPr>
          </w:p>
        </w:tc>
        <w:tc>
          <w:tcPr>
            <w:tcW w:w="784" w:type="dxa"/>
            <w:vAlign w:val="center"/>
          </w:tcPr>
          <w:p w14:paraId="5729968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642183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595281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70753C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EF2D6E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E99385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2DAA7C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84B4C3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467CE6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BD6257C">
            <w:pPr>
              <w:spacing w:line="240" w:lineRule="atLeast"/>
              <w:jc w:val="left"/>
              <w:rPr>
                <w:rFonts w:ascii="仿宋_GB2312" w:hAnsi="仿宋_GB2312" w:eastAsia="仿宋_GB2312" w:cs="仿宋_GB2312"/>
                <w:sz w:val="20"/>
                <w:szCs w:val="20"/>
              </w:rPr>
            </w:pPr>
          </w:p>
        </w:tc>
      </w:tr>
      <w:tr w14:paraId="0A289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490434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129</w:t>
            </w:r>
          </w:p>
        </w:tc>
        <w:tc>
          <w:tcPr>
            <w:tcW w:w="555" w:type="dxa"/>
            <w:vAlign w:val="center"/>
          </w:tcPr>
          <w:p w14:paraId="08A1DE1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B5C626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69B7DB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172B2A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对城乡规划编制单位以欺骗手段取得资质证书承揽城乡规划编制工作行为的处罚</w:t>
            </w:r>
          </w:p>
        </w:tc>
        <w:tc>
          <w:tcPr>
            <w:tcW w:w="660" w:type="dxa"/>
            <w:vAlign w:val="center"/>
          </w:tcPr>
          <w:p w14:paraId="7B77CFD8">
            <w:pPr>
              <w:snapToGrid w:val="0"/>
              <w:spacing w:line="240" w:lineRule="atLeast"/>
              <w:jc w:val="center"/>
              <w:rPr>
                <w:rFonts w:ascii="仿宋_GB2312" w:hAnsi="仿宋_GB2312" w:eastAsia="仿宋_GB2312" w:cs="仿宋_GB2312"/>
                <w:sz w:val="20"/>
                <w:szCs w:val="20"/>
              </w:rPr>
            </w:pPr>
          </w:p>
        </w:tc>
        <w:tc>
          <w:tcPr>
            <w:tcW w:w="615" w:type="dxa"/>
            <w:vAlign w:val="center"/>
          </w:tcPr>
          <w:p w14:paraId="7E93062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347C98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344AE7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城乡规划法》第六十二条：城乡规划编制单位有下列行为之一的，由所在地城市、县人民政府城乡规划主管部门责令限期改正，处以合同约定的规划编制费1倍以上2倍以下的罚款；情节严重的，责令停业整顿，由原资质许可机关降低资质等级或者吊销资质证书；造成损失的，依法承担赔偿责任：</w:t>
            </w:r>
          </w:p>
          <w:p w14:paraId="43C438F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w:t>
            </w:r>
          </w:p>
          <w:p w14:paraId="588D6A4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以欺骗手段取得资质证书承揽城乡规划编制工作的，由原发证机关吊销资质证书，依照本条第一款规定处以罚款;造成损失的，依法承担赔偿责任。</w:t>
            </w:r>
          </w:p>
          <w:p w14:paraId="598F46D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城乡规划编制单位资质管理规定》（2012年住房和城乡建设部令第12号发布，2016年住房和城乡建设部令第28号修改）第三十二条：城乡规划编制单位违法从事城乡规划编制活动的，违法行为发生地的县级以上地方人民政府城乡规划主管部门应当依法查处，并将违法事实、处理结果或者处理建议及时告知该城乡规划编制单位的资质许可机关。</w:t>
            </w:r>
          </w:p>
        </w:tc>
        <w:tc>
          <w:tcPr>
            <w:tcW w:w="3585" w:type="dxa"/>
            <w:vAlign w:val="center"/>
          </w:tcPr>
          <w:p w14:paraId="1F781A4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6E50F9F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4444A7B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A3EDEA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879614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DEA23C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1B9D27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6B1F8B5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CA2028D">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645C883">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927E40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AE582A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918CA1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9C8CAB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DF5425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8BE4074">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95C5AB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FE88A1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453F54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635C76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46F7EB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A1F325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0C372A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801CCC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D0533D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8874CA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FE06CC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BA5582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27D3AE9">
            <w:pPr>
              <w:snapToGrid w:val="0"/>
              <w:spacing w:line="240" w:lineRule="atLeast"/>
              <w:jc w:val="center"/>
              <w:rPr>
                <w:rFonts w:ascii="仿宋_GB2312" w:hAnsi="仿宋_GB2312" w:eastAsia="仿宋_GB2312" w:cs="仿宋_GB2312"/>
                <w:sz w:val="20"/>
                <w:szCs w:val="20"/>
              </w:rPr>
            </w:pPr>
          </w:p>
        </w:tc>
      </w:tr>
    </w:tbl>
    <w:p w14:paraId="7D4F4368"/>
    <w:p w14:paraId="44658DC9"/>
    <w:p w14:paraId="5038CE56"/>
    <w:p w14:paraId="1EEFA323"/>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841B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55BBDB7">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7BC2E0E">
            <w:pPr>
              <w:spacing w:line="240" w:lineRule="atLeast"/>
              <w:rPr>
                <w:rFonts w:asciiTheme="majorEastAsia" w:hAnsiTheme="majorEastAsia" w:eastAsiaTheme="majorEastAsia" w:cstheme="majorEastAsia"/>
                <w:spacing w:val="-20"/>
                <w:sz w:val="20"/>
                <w:szCs w:val="20"/>
              </w:rPr>
            </w:pPr>
          </w:p>
          <w:p w14:paraId="2A4551D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104E99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F80DFF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B52337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F286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77B4F57">
            <w:pPr>
              <w:spacing w:line="240" w:lineRule="atLeast"/>
              <w:jc w:val="left"/>
              <w:rPr>
                <w:rFonts w:ascii="仿宋_GB2312" w:hAnsi="仿宋_GB2312" w:eastAsia="仿宋_GB2312" w:cs="仿宋_GB2312"/>
                <w:sz w:val="20"/>
                <w:szCs w:val="20"/>
              </w:rPr>
            </w:pPr>
          </w:p>
        </w:tc>
        <w:tc>
          <w:tcPr>
            <w:tcW w:w="555" w:type="dxa"/>
            <w:vMerge w:val="continue"/>
          </w:tcPr>
          <w:p w14:paraId="5E35D33F">
            <w:pPr>
              <w:spacing w:line="240" w:lineRule="atLeast"/>
              <w:jc w:val="left"/>
              <w:rPr>
                <w:rFonts w:ascii="仿宋_GB2312" w:hAnsi="仿宋_GB2312" w:eastAsia="仿宋_GB2312" w:cs="仿宋_GB2312"/>
                <w:sz w:val="20"/>
                <w:szCs w:val="20"/>
              </w:rPr>
            </w:pPr>
          </w:p>
        </w:tc>
        <w:tc>
          <w:tcPr>
            <w:tcW w:w="784" w:type="dxa"/>
            <w:vAlign w:val="center"/>
          </w:tcPr>
          <w:p w14:paraId="3937144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180243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A4F20E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F5AD01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87A034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8D5C41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77BCDB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F10BB1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797AB6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71B5B11">
            <w:pPr>
              <w:spacing w:line="240" w:lineRule="atLeast"/>
              <w:jc w:val="left"/>
              <w:rPr>
                <w:rFonts w:ascii="仿宋_GB2312" w:hAnsi="仿宋_GB2312" w:eastAsia="仿宋_GB2312" w:cs="仿宋_GB2312"/>
                <w:sz w:val="20"/>
                <w:szCs w:val="20"/>
              </w:rPr>
            </w:pPr>
          </w:p>
        </w:tc>
      </w:tr>
      <w:tr w14:paraId="4CD1F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941810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130</w:t>
            </w:r>
          </w:p>
        </w:tc>
        <w:tc>
          <w:tcPr>
            <w:tcW w:w="555" w:type="dxa"/>
            <w:vAlign w:val="center"/>
          </w:tcPr>
          <w:p w14:paraId="2631FE3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8DDFCF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9D2FDF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0D5000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对城乡规划编制单位未按照要求提供信用档案信息行为的处罚</w:t>
            </w:r>
          </w:p>
        </w:tc>
        <w:tc>
          <w:tcPr>
            <w:tcW w:w="660" w:type="dxa"/>
            <w:vAlign w:val="center"/>
          </w:tcPr>
          <w:p w14:paraId="55DFE1D2">
            <w:pPr>
              <w:snapToGrid w:val="0"/>
              <w:spacing w:line="240" w:lineRule="atLeast"/>
              <w:jc w:val="center"/>
              <w:rPr>
                <w:rFonts w:ascii="仿宋_GB2312" w:hAnsi="仿宋_GB2312" w:eastAsia="仿宋_GB2312" w:cs="仿宋_GB2312"/>
                <w:sz w:val="20"/>
                <w:szCs w:val="20"/>
              </w:rPr>
            </w:pPr>
          </w:p>
        </w:tc>
        <w:tc>
          <w:tcPr>
            <w:tcW w:w="615" w:type="dxa"/>
            <w:vAlign w:val="center"/>
          </w:tcPr>
          <w:p w14:paraId="61F12ED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8C31C8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4AF41A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部门规章】《城乡规划编制单位资质管理规定》（2012年住房和城乡建设部令第12号发布，2016年住房和城乡建设部令第28号修改）第四十条：城乡规划编制单位未按照本规定要求提供信用档案信息的，由县级以上地方人民政府城乡规划主管部门给予警告，责令限期改正；逾期未改正的，可处1000元以上1万元以下的罚款。</w:t>
            </w:r>
          </w:p>
        </w:tc>
        <w:tc>
          <w:tcPr>
            <w:tcW w:w="3585" w:type="dxa"/>
            <w:vAlign w:val="center"/>
          </w:tcPr>
          <w:p w14:paraId="1F7ACA9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05D2AA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4E2C39C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F0782B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7B6C75D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662E38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6BEB9A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675D7AA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9B1621E">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F424CBA">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413BFC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68C68C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A0B466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298B3C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F20E9C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3DFBD3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1D67AC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A5F3AD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ED409E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FCF8B8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BA21E6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83BE0A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8A9AF6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2E7EED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4932D6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AF794E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5018B7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357FD4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9464C49">
            <w:pPr>
              <w:snapToGrid w:val="0"/>
              <w:spacing w:line="240" w:lineRule="atLeast"/>
              <w:jc w:val="center"/>
              <w:rPr>
                <w:rFonts w:ascii="仿宋_GB2312" w:hAnsi="仿宋_GB2312" w:eastAsia="仿宋_GB2312" w:cs="仿宋_GB2312"/>
                <w:sz w:val="20"/>
                <w:szCs w:val="20"/>
              </w:rPr>
            </w:pPr>
          </w:p>
        </w:tc>
      </w:tr>
    </w:tbl>
    <w:p w14:paraId="5B604DC9"/>
    <w:p w14:paraId="3077D1A8"/>
    <w:p w14:paraId="46D865E6"/>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D599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E1EC58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04383AF">
            <w:pPr>
              <w:spacing w:line="240" w:lineRule="atLeast"/>
              <w:rPr>
                <w:rFonts w:asciiTheme="majorEastAsia" w:hAnsiTheme="majorEastAsia" w:eastAsiaTheme="majorEastAsia" w:cstheme="majorEastAsia"/>
                <w:spacing w:val="-20"/>
                <w:sz w:val="20"/>
                <w:szCs w:val="20"/>
              </w:rPr>
            </w:pPr>
          </w:p>
          <w:p w14:paraId="13472DC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0B8D40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1B8AAF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D74560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CC02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B0A3738">
            <w:pPr>
              <w:spacing w:line="240" w:lineRule="atLeast"/>
              <w:jc w:val="left"/>
              <w:rPr>
                <w:rFonts w:ascii="仿宋_GB2312" w:hAnsi="仿宋_GB2312" w:eastAsia="仿宋_GB2312" w:cs="仿宋_GB2312"/>
                <w:sz w:val="20"/>
                <w:szCs w:val="20"/>
              </w:rPr>
            </w:pPr>
          </w:p>
        </w:tc>
        <w:tc>
          <w:tcPr>
            <w:tcW w:w="555" w:type="dxa"/>
            <w:vMerge w:val="continue"/>
          </w:tcPr>
          <w:p w14:paraId="472B0A17">
            <w:pPr>
              <w:spacing w:line="240" w:lineRule="atLeast"/>
              <w:jc w:val="left"/>
              <w:rPr>
                <w:rFonts w:ascii="仿宋_GB2312" w:hAnsi="仿宋_GB2312" w:eastAsia="仿宋_GB2312" w:cs="仿宋_GB2312"/>
                <w:sz w:val="20"/>
                <w:szCs w:val="20"/>
              </w:rPr>
            </w:pPr>
          </w:p>
        </w:tc>
        <w:tc>
          <w:tcPr>
            <w:tcW w:w="784" w:type="dxa"/>
            <w:vAlign w:val="center"/>
          </w:tcPr>
          <w:p w14:paraId="5DA9E78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6E6D61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840DA6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B24CBF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E71D1A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F0298F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9BCE18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45246A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7F662A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AA503EA">
            <w:pPr>
              <w:spacing w:line="240" w:lineRule="atLeast"/>
              <w:jc w:val="left"/>
              <w:rPr>
                <w:rFonts w:ascii="仿宋_GB2312" w:hAnsi="仿宋_GB2312" w:eastAsia="仿宋_GB2312" w:cs="仿宋_GB2312"/>
                <w:sz w:val="20"/>
                <w:szCs w:val="20"/>
              </w:rPr>
            </w:pPr>
          </w:p>
        </w:tc>
      </w:tr>
      <w:tr w14:paraId="75CA9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D1D72A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131</w:t>
            </w:r>
          </w:p>
        </w:tc>
        <w:tc>
          <w:tcPr>
            <w:tcW w:w="555" w:type="dxa"/>
            <w:vAlign w:val="center"/>
          </w:tcPr>
          <w:p w14:paraId="1293187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B130E4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BB01DC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D17613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对建设单位或者个人未经批准进行临时建设行为的处罚</w:t>
            </w:r>
          </w:p>
        </w:tc>
        <w:tc>
          <w:tcPr>
            <w:tcW w:w="660" w:type="dxa"/>
            <w:vAlign w:val="center"/>
          </w:tcPr>
          <w:p w14:paraId="129768A5">
            <w:pPr>
              <w:snapToGrid w:val="0"/>
              <w:spacing w:line="240" w:lineRule="atLeast"/>
              <w:jc w:val="center"/>
              <w:rPr>
                <w:rFonts w:ascii="仿宋_GB2312" w:hAnsi="仿宋_GB2312" w:eastAsia="仿宋_GB2312" w:cs="仿宋_GB2312"/>
                <w:sz w:val="20"/>
                <w:szCs w:val="20"/>
              </w:rPr>
            </w:pPr>
          </w:p>
        </w:tc>
        <w:tc>
          <w:tcPr>
            <w:tcW w:w="615" w:type="dxa"/>
            <w:vAlign w:val="center"/>
          </w:tcPr>
          <w:p w14:paraId="669B47F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36BAC5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574421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【法律】《中华人民共和国城乡规划法》第六十六条：建设单位或者个人有下列行为之一的，由所在地城市、县人民政府城乡规划主管部门责令限期拆除，可以并处临时建设工程造价一倍以下的罚款：</w:t>
            </w:r>
          </w:p>
          <w:p w14:paraId="4556E7A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未经批准进行临时建设的。</w:t>
            </w:r>
          </w:p>
        </w:tc>
        <w:tc>
          <w:tcPr>
            <w:tcW w:w="3585" w:type="dxa"/>
            <w:vAlign w:val="center"/>
          </w:tcPr>
          <w:p w14:paraId="623D4AE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F91339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1F67EDE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E132B3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DF6CBB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265DA4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75A0E9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50EDDA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AE88B80">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9BC7F3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6E20D3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4229AC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79392E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A42456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ABAC7A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92A7CF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DD06ED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2C34B6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D954C2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AFCEA9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0FC6BA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0EE776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91D378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69CEE2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19F8A4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EE6B87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DEA424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E3C83C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8C703FB">
            <w:pPr>
              <w:snapToGrid w:val="0"/>
              <w:spacing w:line="240" w:lineRule="atLeast"/>
              <w:jc w:val="center"/>
              <w:rPr>
                <w:rFonts w:ascii="仿宋_GB2312" w:hAnsi="仿宋_GB2312" w:eastAsia="仿宋_GB2312" w:cs="仿宋_GB2312"/>
                <w:sz w:val="20"/>
                <w:szCs w:val="20"/>
              </w:rPr>
            </w:pPr>
          </w:p>
        </w:tc>
      </w:tr>
    </w:tbl>
    <w:p w14:paraId="200B2608"/>
    <w:p w14:paraId="1AEAF7DE"/>
    <w:p w14:paraId="2FD3059A"/>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863E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63C30F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198AF9F">
            <w:pPr>
              <w:spacing w:line="240" w:lineRule="atLeast"/>
              <w:rPr>
                <w:rFonts w:asciiTheme="majorEastAsia" w:hAnsiTheme="majorEastAsia" w:eastAsiaTheme="majorEastAsia" w:cstheme="majorEastAsia"/>
                <w:spacing w:val="-20"/>
                <w:sz w:val="20"/>
                <w:szCs w:val="20"/>
              </w:rPr>
            </w:pPr>
          </w:p>
          <w:p w14:paraId="24B65FE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E90383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B77CC5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BDF86E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B37B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C092590">
            <w:pPr>
              <w:spacing w:line="240" w:lineRule="atLeast"/>
              <w:jc w:val="left"/>
              <w:rPr>
                <w:rFonts w:ascii="仿宋_GB2312" w:hAnsi="仿宋_GB2312" w:eastAsia="仿宋_GB2312" w:cs="仿宋_GB2312"/>
                <w:sz w:val="20"/>
                <w:szCs w:val="20"/>
              </w:rPr>
            </w:pPr>
          </w:p>
        </w:tc>
        <w:tc>
          <w:tcPr>
            <w:tcW w:w="555" w:type="dxa"/>
            <w:vMerge w:val="continue"/>
          </w:tcPr>
          <w:p w14:paraId="2A4EFB8D">
            <w:pPr>
              <w:spacing w:line="240" w:lineRule="atLeast"/>
              <w:jc w:val="left"/>
              <w:rPr>
                <w:rFonts w:ascii="仿宋_GB2312" w:hAnsi="仿宋_GB2312" w:eastAsia="仿宋_GB2312" w:cs="仿宋_GB2312"/>
                <w:sz w:val="20"/>
                <w:szCs w:val="20"/>
              </w:rPr>
            </w:pPr>
          </w:p>
        </w:tc>
        <w:tc>
          <w:tcPr>
            <w:tcW w:w="784" w:type="dxa"/>
            <w:vAlign w:val="center"/>
          </w:tcPr>
          <w:p w14:paraId="020803D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468075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31681C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479E75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514494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37F002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423FCC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9DFAE2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6E6D83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5EB7063">
            <w:pPr>
              <w:spacing w:line="240" w:lineRule="atLeast"/>
              <w:jc w:val="left"/>
              <w:rPr>
                <w:rFonts w:ascii="仿宋_GB2312" w:hAnsi="仿宋_GB2312" w:eastAsia="仿宋_GB2312" w:cs="仿宋_GB2312"/>
                <w:sz w:val="20"/>
                <w:szCs w:val="20"/>
              </w:rPr>
            </w:pPr>
          </w:p>
        </w:tc>
      </w:tr>
      <w:tr w14:paraId="6BD0C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3B18BA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132</w:t>
            </w:r>
          </w:p>
        </w:tc>
        <w:tc>
          <w:tcPr>
            <w:tcW w:w="555" w:type="dxa"/>
            <w:vAlign w:val="center"/>
          </w:tcPr>
          <w:p w14:paraId="054CC69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1D95CD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7FF4A7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D80367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对建设单位或者个人未按照批准内容进行临时建设行为的处罚</w:t>
            </w:r>
          </w:p>
        </w:tc>
        <w:tc>
          <w:tcPr>
            <w:tcW w:w="660" w:type="dxa"/>
            <w:vAlign w:val="center"/>
          </w:tcPr>
          <w:p w14:paraId="73ABF522">
            <w:pPr>
              <w:snapToGrid w:val="0"/>
              <w:spacing w:line="240" w:lineRule="atLeast"/>
              <w:jc w:val="center"/>
              <w:rPr>
                <w:rFonts w:ascii="仿宋_GB2312" w:hAnsi="仿宋_GB2312" w:eastAsia="仿宋_GB2312" w:cs="仿宋_GB2312"/>
                <w:sz w:val="20"/>
                <w:szCs w:val="20"/>
              </w:rPr>
            </w:pPr>
          </w:p>
        </w:tc>
        <w:tc>
          <w:tcPr>
            <w:tcW w:w="615" w:type="dxa"/>
            <w:vAlign w:val="center"/>
          </w:tcPr>
          <w:p w14:paraId="09C8C8B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7EC302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330F42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【法律】《中华人民共和国城乡规划法》第六十六条：建设单位或者个人有下列行为之一的，由所在地城市、县人民政府城乡规划主管部门责令限期拆除，可以并处临时建设工程造价一倍以下的罚款：</w:t>
            </w:r>
          </w:p>
          <w:p w14:paraId="4CCC442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未按照批准内容进行临时建设的。</w:t>
            </w:r>
          </w:p>
        </w:tc>
        <w:tc>
          <w:tcPr>
            <w:tcW w:w="3585" w:type="dxa"/>
            <w:vAlign w:val="center"/>
          </w:tcPr>
          <w:p w14:paraId="14F52E7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3C20CC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6F8395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3C74C9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7D14854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777876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850F6B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D0306E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5DBF77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5BCF767">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8ACC7C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3EAA06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5C1AFF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735327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EB4C2B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C9A0EF5">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1215AC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3DB879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FAB02E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612143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3CCCB3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C74145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B2627F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511671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498867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893920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122218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722B04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857EFF4">
            <w:pPr>
              <w:snapToGrid w:val="0"/>
              <w:spacing w:line="240" w:lineRule="atLeast"/>
              <w:jc w:val="center"/>
              <w:rPr>
                <w:rFonts w:ascii="仿宋_GB2312" w:hAnsi="仿宋_GB2312" w:eastAsia="仿宋_GB2312" w:cs="仿宋_GB2312"/>
                <w:sz w:val="20"/>
                <w:szCs w:val="20"/>
              </w:rPr>
            </w:pPr>
          </w:p>
        </w:tc>
      </w:tr>
    </w:tbl>
    <w:p w14:paraId="60153291"/>
    <w:p w14:paraId="400C7051"/>
    <w:p w14:paraId="20D9C81B"/>
    <w:p w14:paraId="3B5AF695"/>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8931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D52CC3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F0D9467">
            <w:pPr>
              <w:spacing w:line="240" w:lineRule="atLeast"/>
              <w:rPr>
                <w:rFonts w:asciiTheme="majorEastAsia" w:hAnsiTheme="majorEastAsia" w:eastAsiaTheme="majorEastAsia" w:cstheme="majorEastAsia"/>
                <w:spacing w:val="-20"/>
                <w:sz w:val="20"/>
                <w:szCs w:val="20"/>
              </w:rPr>
            </w:pPr>
          </w:p>
          <w:p w14:paraId="667FF94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6431CE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EA6DF6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77B4C28">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F700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ED622D8">
            <w:pPr>
              <w:spacing w:line="240" w:lineRule="atLeast"/>
              <w:jc w:val="left"/>
              <w:rPr>
                <w:rFonts w:ascii="仿宋_GB2312" w:hAnsi="仿宋_GB2312" w:eastAsia="仿宋_GB2312" w:cs="仿宋_GB2312"/>
                <w:sz w:val="20"/>
                <w:szCs w:val="20"/>
              </w:rPr>
            </w:pPr>
          </w:p>
        </w:tc>
        <w:tc>
          <w:tcPr>
            <w:tcW w:w="555" w:type="dxa"/>
            <w:vMerge w:val="continue"/>
          </w:tcPr>
          <w:p w14:paraId="51949919">
            <w:pPr>
              <w:spacing w:line="240" w:lineRule="atLeast"/>
              <w:jc w:val="left"/>
              <w:rPr>
                <w:rFonts w:ascii="仿宋_GB2312" w:hAnsi="仿宋_GB2312" w:eastAsia="仿宋_GB2312" w:cs="仿宋_GB2312"/>
                <w:sz w:val="20"/>
                <w:szCs w:val="20"/>
              </w:rPr>
            </w:pPr>
          </w:p>
        </w:tc>
        <w:tc>
          <w:tcPr>
            <w:tcW w:w="784" w:type="dxa"/>
            <w:vAlign w:val="center"/>
          </w:tcPr>
          <w:p w14:paraId="583D939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063ACF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9662CB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44D00A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E7ACD3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063D05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6D27B2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B93BB4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00A50B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64936BD">
            <w:pPr>
              <w:spacing w:line="240" w:lineRule="atLeast"/>
              <w:jc w:val="left"/>
              <w:rPr>
                <w:rFonts w:ascii="仿宋_GB2312" w:hAnsi="仿宋_GB2312" w:eastAsia="仿宋_GB2312" w:cs="仿宋_GB2312"/>
                <w:sz w:val="20"/>
                <w:szCs w:val="20"/>
              </w:rPr>
            </w:pPr>
          </w:p>
        </w:tc>
      </w:tr>
      <w:tr w14:paraId="60CB1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32300C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133</w:t>
            </w:r>
          </w:p>
        </w:tc>
        <w:tc>
          <w:tcPr>
            <w:tcW w:w="555" w:type="dxa"/>
            <w:vAlign w:val="center"/>
          </w:tcPr>
          <w:p w14:paraId="31B07E5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015C13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FAC2E8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7F8339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对建设单位或者个人超过批准期限不拆除临时建筑物、构筑物行为的处罚</w:t>
            </w:r>
          </w:p>
        </w:tc>
        <w:tc>
          <w:tcPr>
            <w:tcW w:w="660" w:type="dxa"/>
            <w:vAlign w:val="center"/>
          </w:tcPr>
          <w:p w14:paraId="2FB2D082">
            <w:pPr>
              <w:snapToGrid w:val="0"/>
              <w:spacing w:line="240" w:lineRule="atLeast"/>
              <w:jc w:val="center"/>
              <w:rPr>
                <w:rFonts w:ascii="仿宋_GB2312" w:hAnsi="仿宋_GB2312" w:eastAsia="仿宋_GB2312" w:cs="仿宋_GB2312"/>
                <w:sz w:val="20"/>
                <w:szCs w:val="20"/>
              </w:rPr>
            </w:pPr>
          </w:p>
        </w:tc>
        <w:tc>
          <w:tcPr>
            <w:tcW w:w="615" w:type="dxa"/>
            <w:vAlign w:val="center"/>
          </w:tcPr>
          <w:p w14:paraId="465B943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3CE016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ACF04B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【法律】《中华人民共和国城乡规划法》第六十六条：建设单位或者个人有下列行为之一的，由所在地城市、县人民政府城乡规划主管部门责令限期拆除，可以并处临时建设工程造价一倍以下的罚款：</w:t>
            </w:r>
          </w:p>
          <w:p w14:paraId="339E6B3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（三）临时建筑物、构筑物超过批准期限不拆除的。</w:t>
            </w:r>
          </w:p>
        </w:tc>
        <w:tc>
          <w:tcPr>
            <w:tcW w:w="3585" w:type="dxa"/>
            <w:vAlign w:val="center"/>
          </w:tcPr>
          <w:p w14:paraId="06C2136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FBABA6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21012D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F48B54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4833C5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B399DC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5B2EB59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973516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CDBD02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E3184B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DECA83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76688B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74090D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034E37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549830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2B6F41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DE9E78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754557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33E7F3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6F3318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CF0A45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E61743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1EEEAE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235A99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27BB5C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28DFC9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40C357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0B1C10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1DB3306">
            <w:pPr>
              <w:snapToGrid w:val="0"/>
              <w:spacing w:line="240" w:lineRule="atLeast"/>
              <w:jc w:val="center"/>
              <w:rPr>
                <w:rFonts w:ascii="仿宋_GB2312" w:hAnsi="仿宋_GB2312" w:eastAsia="仿宋_GB2312" w:cs="仿宋_GB2312"/>
                <w:sz w:val="20"/>
                <w:szCs w:val="20"/>
              </w:rPr>
            </w:pPr>
          </w:p>
        </w:tc>
      </w:tr>
    </w:tbl>
    <w:p w14:paraId="6FF54F94"/>
    <w:p w14:paraId="1ED931FF"/>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A227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24052F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783E09F">
            <w:pPr>
              <w:spacing w:line="240" w:lineRule="atLeast"/>
              <w:rPr>
                <w:rFonts w:asciiTheme="majorEastAsia" w:hAnsiTheme="majorEastAsia" w:eastAsiaTheme="majorEastAsia" w:cstheme="majorEastAsia"/>
                <w:spacing w:val="-20"/>
                <w:sz w:val="20"/>
                <w:szCs w:val="20"/>
              </w:rPr>
            </w:pPr>
          </w:p>
          <w:p w14:paraId="0EF775A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EC39B4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AB347B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A8AEC8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F0C7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3B06281">
            <w:pPr>
              <w:spacing w:line="240" w:lineRule="atLeast"/>
              <w:jc w:val="left"/>
              <w:rPr>
                <w:rFonts w:ascii="仿宋_GB2312" w:hAnsi="仿宋_GB2312" w:eastAsia="仿宋_GB2312" w:cs="仿宋_GB2312"/>
                <w:sz w:val="20"/>
                <w:szCs w:val="20"/>
              </w:rPr>
            </w:pPr>
          </w:p>
        </w:tc>
        <w:tc>
          <w:tcPr>
            <w:tcW w:w="555" w:type="dxa"/>
            <w:vMerge w:val="continue"/>
          </w:tcPr>
          <w:p w14:paraId="13940E5A">
            <w:pPr>
              <w:spacing w:line="240" w:lineRule="atLeast"/>
              <w:jc w:val="left"/>
              <w:rPr>
                <w:rFonts w:ascii="仿宋_GB2312" w:hAnsi="仿宋_GB2312" w:eastAsia="仿宋_GB2312" w:cs="仿宋_GB2312"/>
                <w:sz w:val="20"/>
                <w:szCs w:val="20"/>
              </w:rPr>
            </w:pPr>
          </w:p>
        </w:tc>
        <w:tc>
          <w:tcPr>
            <w:tcW w:w="784" w:type="dxa"/>
            <w:vAlign w:val="center"/>
          </w:tcPr>
          <w:p w14:paraId="7ABC8CA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3D5EBB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8D69E7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57C5F8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B36651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5E81C4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CE6903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98E957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3D5813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039BC50">
            <w:pPr>
              <w:spacing w:line="240" w:lineRule="atLeast"/>
              <w:jc w:val="left"/>
              <w:rPr>
                <w:rFonts w:ascii="仿宋_GB2312" w:hAnsi="仿宋_GB2312" w:eastAsia="仿宋_GB2312" w:cs="仿宋_GB2312"/>
                <w:sz w:val="20"/>
                <w:szCs w:val="20"/>
              </w:rPr>
            </w:pPr>
          </w:p>
        </w:tc>
      </w:tr>
      <w:tr w14:paraId="29AA2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C705D0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134</w:t>
            </w:r>
          </w:p>
        </w:tc>
        <w:tc>
          <w:tcPr>
            <w:tcW w:w="555" w:type="dxa"/>
            <w:vAlign w:val="center"/>
          </w:tcPr>
          <w:p w14:paraId="1BCD1F2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26F2AB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8E2608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23C101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对建设单位未在建设工程竣工验收后六个月内向城乡规划主管部门报送有关竣工验收资料行为的处罚</w:t>
            </w:r>
          </w:p>
        </w:tc>
        <w:tc>
          <w:tcPr>
            <w:tcW w:w="660" w:type="dxa"/>
            <w:vAlign w:val="center"/>
          </w:tcPr>
          <w:p w14:paraId="67C920D3">
            <w:pPr>
              <w:snapToGrid w:val="0"/>
              <w:spacing w:line="240" w:lineRule="atLeast"/>
              <w:jc w:val="center"/>
              <w:rPr>
                <w:rFonts w:ascii="仿宋_GB2312" w:hAnsi="仿宋_GB2312" w:eastAsia="仿宋_GB2312" w:cs="仿宋_GB2312"/>
                <w:sz w:val="20"/>
                <w:szCs w:val="20"/>
              </w:rPr>
            </w:pPr>
          </w:p>
        </w:tc>
        <w:tc>
          <w:tcPr>
            <w:tcW w:w="615" w:type="dxa"/>
            <w:vAlign w:val="center"/>
          </w:tcPr>
          <w:p w14:paraId="1EED0EB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DFAFB7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D4EC57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法律】《中华人民共和国城乡规划法》第六十七条：建设单位未在建设工程竣工验收后六个月内向城乡规划主管部门报送有关竣工验收资料的，由所在地城市、县人民政府城乡规划主管部门责令限期补报；逾期不补报的，处一万元以上五万元以下的罚款。</w:t>
            </w:r>
          </w:p>
        </w:tc>
        <w:tc>
          <w:tcPr>
            <w:tcW w:w="3585" w:type="dxa"/>
            <w:vAlign w:val="center"/>
          </w:tcPr>
          <w:p w14:paraId="7EC2636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89D2F0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19ADBE8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58F4BC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F793E7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7B06ED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706BB1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2894A2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667DBD0">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1C19073">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DBA884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3F9924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62B069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B0192D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369061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C3E7F05">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442A02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40BAF7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185039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5D2CAF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18B3B5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7E9D9D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16D5AF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19980D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27D1FF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22F3D9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868380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5FE0F3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156E84F">
            <w:pPr>
              <w:snapToGrid w:val="0"/>
              <w:spacing w:line="240" w:lineRule="atLeast"/>
              <w:jc w:val="center"/>
              <w:rPr>
                <w:rFonts w:ascii="仿宋_GB2312" w:hAnsi="仿宋_GB2312" w:eastAsia="仿宋_GB2312" w:cs="仿宋_GB2312"/>
                <w:sz w:val="20"/>
                <w:szCs w:val="20"/>
              </w:rPr>
            </w:pPr>
          </w:p>
        </w:tc>
      </w:tr>
    </w:tbl>
    <w:p w14:paraId="127F2F8E"/>
    <w:p w14:paraId="32D74D25"/>
    <w:p w14:paraId="4E9E2FFB"/>
    <w:p w14:paraId="2CDEAF3F"/>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8191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7E0C8E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0792331">
            <w:pPr>
              <w:spacing w:line="240" w:lineRule="atLeast"/>
              <w:rPr>
                <w:rFonts w:asciiTheme="majorEastAsia" w:hAnsiTheme="majorEastAsia" w:eastAsiaTheme="majorEastAsia" w:cstheme="majorEastAsia"/>
                <w:spacing w:val="-20"/>
                <w:sz w:val="20"/>
                <w:szCs w:val="20"/>
              </w:rPr>
            </w:pPr>
          </w:p>
          <w:p w14:paraId="3EC5BB3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F1F876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CE78E4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5CBE92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5076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F4AAA66">
            <w:pPr>
              <w:spacing w:line="240" w:lineRule="atLeast"/>
              <w:jc w:val="left"/>
              <w:rPr>
                <w:rFonts w:ascii="仿宋_GB2312" w:hAnsi="仿宋_GB2312" w:eastAsia="仿宋_GB2312" w:cs="仿宋_GB2312"/>
                <w:sz w:val="20"/>
                <w:szCs w:val="20"/>
              </w:rPr>
            </w:pPr>
          </w:p>
        </w:tc>
        <w:tc>
          <w:tcPr>
            <w:tcW w:w="555" w:type="dxa"/>
            <w:vMerge w:val="continue"/>
          </w:tcPr>
          <w:p w14:paraId="16DEB072">
            <w:pPr>
              <w:spacing w:line="240" w:lineRule="atLeast"/>
              <w:jc w:val="left"/>
              <w:rPr>
                <w:rFonts w:ascii="仿宋_GB2312" w:hAnsi="仿宋_GB2312" w:eastAsia="仿宋_GB2312" w:cs="仿宋_GB2312"/>
                <w:sz w:val="20"/>
                <w:szCs w:val="20"/>
              </w:rPr>
            </w:pPr>
          </w:p>
        </w:tc>
        <w:tc>
          <w:tcPr>
            <w:tcW w:w="784" w:type="dxa"/>
            <w:vAlign w:val="center"/>
          </w:tcPr>
          <w:p w14:paraId="4CB8F3C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16F219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EF544F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1C5E6E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1C0C26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7971BB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677965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590882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95A4C5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3797462">
            <w:pPr>
              <w:spacing w:line="240" w:lineRule="atLeast"/>
              <w:jc w:val="left"/>
              <w:rPr>
                <w:rFonts w:ascii="仿宋_GB2312" w:hAnsi="仿宋_GB2312" w:eastAsia="仿宋_GB2312" w:cs="仿宋_GB2312"/>
                <w:sz w:val="20"/>
                <w:szCs w:val="20"/>
              </w:rPr>
            </w:pPr>
          </w:p>
        </w:tc>
      </w:tr>
      <w:tr w14:paraId="7602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CE054D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135</w:t>
            </w:r>
          </w:p>
        </w:tc>
        <w:tc>
          <w:tcPr>
            <w:tcW w:w="555" w:type="dxa"/>
            <w:vAlign w:val="center"/>
          </w:tcPr>
          <w:p w14:paraId="29DCC1B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467010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A1083B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841AE3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对外国的组织或者个人未经批准，或者未与中华人民共和国有关部门、单位合作，擅自从事测绘活动行为的处罚</w:t>
            </w:r>
          </w:p>
        </w:tc>
        <w:tc>
          <w:tcPr>
            <w:tcW w:w="660" w:type="dxa"/>
            <w:vAlign w:val="center"/>
          </w:tcPr>
          <w:p w14:paraId="58691C01">
            <w:pPr>
              <w:snapToGrid w:val="0"/>
              <w:spacing w:line="240" w:lineRule="atLeast"/>
              <w:jc w:val="center"/>
              <w:rPr>
                <w:rFonts w:ascii="仿宋_GB2312" w:hAnsi="仿宋_GB2312" w:eastAsia="仿宋_GB2312" w:cs="仿宋_GB2312"/>
                <w:sz w:val="20"/>
                <w:szCs w:val="20"/>
              </w:rPr>
            </w:pPr>
          </w:p>
        </w:tc>
        <w:tc>
          <w:tcPr>
            <w:tcW w:w="615" w:type="dxa"/>
            <w:vAlign w:val="center"/>
          </w:tcPr>
          <w:p w14:paraId="526C1EC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A912D1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8A63C4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一条：违反本法规定，外国的组织或者个人未经批准，或者未与中华人民共和国有关部门、单位合作，擅自从事测绘活动的，责令停止违法行为，没收违法所得、测绘成果和测绘工具，并处十万元以上五十万元以下的罚款；情节严重的，并处五十万元以上一百万元以下的罚款，限期出境或者驱逐出境；构成犯罪的，依法追究刑事责任。</w:t>
            </w:r>
          </w:p>
          <w:p w14:paraId="7737246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48E6E74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14:paraId="2E0F85C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14:paraId="42991A8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1B49727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5076625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14:paraId="1995DDD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0378F02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7.执行责任：依照生效的行政处罚决定，监督当事人履行。当事人逾期不履行行政处罚决定的，申请人民法院强制执行，或向当事人单位、上级主管部门通报，或向社会通报，或停办相关审批手续等。</w:t>
            </w:r>
          </w:p>
          <w:p w14:paraId="360C863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F88521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45E1876">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3A7442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2A03DC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55C94E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96F9DC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61D8E7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6723198">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AA947B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5836FF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AE7CDB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CA4B49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319044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0E2676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DBFA4D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286DF7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80704B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331927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CAAA6D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FD130B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25BB84C">
            <w:pPr>
              <w:snapToGrid w:val="0"/>
              <w:spacing w:line="240" w:lineRule="atLeast"/>
              <w:jc w:val="center"/>
              <w:rPr>
                <w:rFonts w:ascii="仿宋_GB2312" w:hAnsi="仿宋_GB2312" w:eastAsia="仿宋_GB2312" w:cs="仿宋_GB2312"/>
                <w:sz w:val="20"/>
                <w:szCs w:val="20"/>
              </w:rPr>
            </w:pPr>
          </w:p>
        </w:tc>
      </w:tr>
    </w:tbl>
    <w:p w14:paraId="60371E35"/>
    <w:p w14:paraId="4340AC25"/>
    <w:p w14:paraId="0BFED28E"/>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7274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03307C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0D0F9BD">
            <w:pPr>
              <w:spacing w:line="240" w:lineRule="atLeast"/>
              <w:rPr>
                <w:rFonts w:asciiTheme="majorEastAsia" w:hAnsiTheme="majorEastAsia" w:eastAsiaTheme="majorEastAsia" w:cstheme="majorEastAsia"/>
                <w:spacing w:val="-20"/>
                <w:sz w:val="20"/>
                <w:szCs w:val="20"/>
              </w:rPr>
            </w:pPr>
          </w:p>
          <w:p w14:paraId="7F2D7CD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044938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238E1B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247F02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BBE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F5865D2">
            <w:pPr>
              <w:spacing w:line="240" w:lineRule="atLeast"/>
              <w:jc w:val="left"/>
              <w:rPr>
                <w:rFonts w:ascii="仿宋_GB2312" w:hAnsi="仿宋_GB2312" w:eastAsia="仿宋_GB2312" w:cs="仿宋_GB2312"/>
                <w:sz w:val="20"/>
                <w:szCs w:val="20"/>
              </w:rPr>
            </w:pPr>
          </w:p>
        </w:tc>
        <w:tc>
          <w:tcPr>
            <w:tcW w:w="555" w:type="dxa"/>
            <w:vMerge w:val="continue"/>
          </w:tcPr>
          <w:p w14:paraId="08BF707D">
            <w:pPr>
              <w:spacing w:line="240" w:lineRule="atLeast"/>
              <w:jc w:val="left"/>
              <w:rPr>
                <w:rFonts w:ascii="仿宋_GB2312" w:hAnsi="仿宋_GB2312" w:eastAsia="仿宋_GB2312" w:cs="仿宋_GB2312"/>
                <w:sz w:val="20"/>
                <w:szCs w:val="20"/>
              </w:rPr>
            </w:pPr>
          </w:p>
        </w:tc>
        <w:tc>
          <w:tcPr>
            <w:tcW w:w="784" w:type="dxa"/>
            <w:vAlign w:val="center"/>
          </w:tcPr>
          <w:p w14:paraId="1677D1A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F9DDAD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51E732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A6E243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C2BB93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3EC377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AFACE2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B01893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D8E9BA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E2586C8">
            <w:pPr>
              <w:spacing w:line="240" w:lineRule="atLeast"/>
              <w:jc w:val="left"/>
              <w:rPr>
                <w:rFonts w:ascii="仿宋_GB2312" w:hAnsi="仿宋_GB2312" w:eastAsia="仿宋_GB2312" w:cs="仿宋_GB2312"/>
                <w:sz w:val="20"/>
                <w:szCs w:val="20"/>
              </w:rPr>
            </w:pPr>
          </w:p>
        </w:tc>
      </w:tr>
      <w:tr w14:paraId="4A831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EAD159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136</w:t>
            </w:r>
          </w:p>
        </w:tc>
        <w:tc>
          <w:tcPr>
            <w:tcW w:w="555" w:type="dxa"/>
            <w:vAlign w:val="center"/>
          </w:tcPr>
          <w:p w14:paraId="5345A37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A6195F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A0AC06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617403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对实施基础测绘项目，不使用全国统一的测绘基准和测绘系统或者不执行国家规定的测绘技术规范和标准行为的处罚</w:t>
            </w:r>
          </w:p>
        </w:tc>
        <w:tc>
          <w:tcPr>
            <w:tcW w:w="660" w:type="dxa"/>
            <w:vAlign w:val="center"/>
          </w:tcPr>
          <w:p w14:paraId="5565EC04">
            <w:pPr>
              <w:snapToGrid w:val="0"/>
              <w:spacing w:line="240" w:lineRule="atLeast"/>
              <w:jc w:val="center"/>
              <w:rPr>
                <w:rFonts w:ascii="仿宋_GB2312" w:hAnsi="仿宋_GB2312" w:eastAsia="仿宋_GB2312" w:cs="仿宋_GB2312"/>
                <w:sz w:val="20"/>
                <w:szCs w:val="20"/>
              </w:rPr>
            </w:pPr>
          </w:p>
        </w:tc>
        <w:tc>
          <w:tcPr>
            <w:tcW w:w="615" w:type="dxa"/>
            <w:vAlign w:val="center"/>
          </w:tcPr>
          <w:p w14:paraId="5D09639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CAF01A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A16CFA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1.【法律】《中华人民共和国测绘法》第五条：从事测绘活动，应当使用国家规定的测绘基准和测绘系统，执行国家规定的测绘技术规范和标准。</w:t>
            </w:r>
          </w:p>
          <w:p w14:paraId="1802B55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基础测绘条例》（2009年国务院第556号令）第三十一条：违反本条例规定，实施基础测绘项目，不使用全国统一的测绘基准和测绘系统或者不执行国家规定的测绘技术规范和标准的，责令限期改正，给予警告，可以并处10万元以下罚款；对负有直接责任的主管人员和其他直接责任人员，依法给予处分。</w:t>
            </w:r>
          </w:p>
          <w:p w14:paraId="3A63870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第三十四条：本条例规定的降低资质等级、吊销测绘资质证书的行政处罚，由颁发资质证书的部门决定；其他行政处罚由县级以上人民政府测绘行政主管部门决定。</w:t>
            </w:r>
          </w:p>
        </w:tc>
        <w:tc>
          <w:tcPr>
            <w:tcW w:w="3585" w:type="dxa"/>
            <w:vAlign w:val="center"/>
          </w:tcPr>
          <w:p w14:paraId="71055BE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实施基础测绘项目，不使用全国统一的测绘基准和测绘系统或者不执行国家规定的测绘技术规范和标准的情况，应及时制止（对正在实施的违法行为，下达《责令停止违法行为通知书》）,并进行审查核实，符合立案条件的予以立案。</w:t>
            </w:r>
          </w:p>
          <w:p w14:paraId="6507134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实施基础测绘项目，不使用全国统一的测绘基准和测绘系统或者不执行国家规定的测绘技术规范和标准的情况，并制作笔录。调查时允许当事人辩解陈述。执法人员应保守有关秘密。</w:t>
            </w:r>
          </w:p>
          <w:p w14:paraId="2CFB39C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2D8FDF8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56CC97B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实施基础测绘项目，不使用全国统一的测绘基准和测绘系统或者不执行国家规定的测绘技术规范和标准的事实进行认定，依法制作《行政处罚决定书》，载明违反法律法规或规章的事实和证据、行政处罚的具体依据和内容，告知当事人陈述申辩或者听证情况等内容，告知申请行政复议或提起行政诉讼的权利。</w:t>
            </w:r>
          </w:p>
          <w:p w14:paraId="741F8D1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1CF1991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7.执行责任：依照生效的行政处罚决定，监督当事人履行。当事人逾期不履行行政处罚决定的，申请人民法院强制执行，或向当事人单位、上级主管部门通报，或向社会通报，或停办相关审批手续等。</w:t>
            </w:r>
          </w:p>
          <w:p w14:paraId="06043BE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C0CECC6">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B664DC7">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100C85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1AFC02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FB6193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13EC56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3AC092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21F80B8">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6FF190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834688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CB6A12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13C343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EEDF7D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3F9BB3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E23B4D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2E995F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5E0A35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DEA466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1FFE2F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10C489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461BBA2">
            <w:pPr>
              <w:snapToGrid w:val="0"/>
              <w:spacing w:line="240" w:lineRule="atLeast"/>
              <w:jc w:val="center"/>
              <w:rPr>
                <w:rFonts w:ascii="仿宋_GB2312" w:hAnsi="仿宋_GB2312" w:eastAsia="仿宋_GB2312" w:cs="仿宋_GB2312"/>
                <w:sz w:val="20"/>
                <w:szCs w:val="20"/>
              </w:rPr>
            </w:pPr>
          </w:p>
        </w:tc>
      </w:tr>
    </w:tbl>
    <w:p w14:paraId="4580CEE7"/>
    <w:p w14:paraId="11C3407E"/>
    <w:p w14:paraId="3409F319"/>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445E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F9A475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891AA11">
            <w:pPr>
              <w:spacing w:line="240" w:lineRule="atLeast"/>
              <w:rPr>
                <w:rFonts w:asciiTheme="majorEastAsia" w:hAnsiTheme="majorEastAsia" w:eastAsiaTheme="majorEastAsia" w:cstheme="majorEastAsia"/>
                <w:spacing w:val="-20"/>
                <w:sz w:val="20"/>
                <w:szCs w:val="20"/>
              </w:rPr>
            </w:pPr>
          </w:p>
          <w:p w14:paraId="4FDC66B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93C0A3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505C7A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69F493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4C55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6435A58">
            <w:pPr>
              <w:spacing w:line="240" w:lineRule="atLeast"/>
              <w:jc w:val="left"/>
              <w:rPr>
                <w:rFonts w:ascii="仿宋_GB2312" w:hAnsi="仿宋_GB2312" w:eastAsia="仿宋_GB2312" w:cs="仿宋_GB2312"/>
                <w:sz w:val="20"/>
                <w:szCs w:val="20"/>
              </w:rPr>
            </w:pPr>
          </w:p>
        </w:tc>
        <w:tc>
          <w:tcPr>
            <w:tcW w:w="555" w:type="dxa"/>
            <w:vMerge w:val="continue"/>
          </w:tcPr>
          <w:p w14:paraId="38DAC795">
            <w:pPr>
              <w:spacing w:line="240" w:lineRule="atLeast"/>
              <w:jc w:val="left"/>
              <w:rPr>
                <w:rFonts w:ascii="仿宋_GB2312" w:hAnsi="仿宋_GB2312" w:eastAsia="仿宋_GB2312" w:cs="仿宋_GB2312"/>
                <w:sz w:val="20"/>
                <w:szCs w:val="20"/>
              </w:rPr>
            </w:pPr>
          </w:p>
        </w:tc>
        <w:tc>
          <w:tcPr>
            <w:tcW w:w="784" w:type="dxa"/>
            <w:vAlign w:val="center"/>
          </w:tcPr>
          <w:p w14:paraId="09060A1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46C37E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93D71B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B4FBE6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76ABB0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44B75B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81A536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D5EB7B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D4A688D">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4722680">
            <w:pPr>
              <w:spacing w:line="240" w:lineRule="atLeast"/>
              <w:jc w:val="left"/>
              <w:rPr>
                <w:rFonts w:ascii="仿宋_GB2312" w:hAnsi="仿宋_GB2312" w:eastAsia="仿宋_GB2312" w:cs="仿宋_GB2312"/>
                <w:sz w:val="20"/>
                <w:szCs w:val="20"/>
              </w:rPr>
            </w:pPr>
          </w:p>
        </w:tc>
      </w:tr>
      <w:tr w14:paraId="11F9D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746C0A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137</w:t>
            </w:r>
          </w:p>
        </w:tc>
        <w:tc>
          <w:tcPr>
            <w:tcW w:w="555" w:type="dxa"/>
            <w:vAlign w:val="center"/>
          </w:tcPr>
          <w:p w14:paraId="56475F6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F15B84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C41A32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F883CB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对未经批准擅自建立相对独立的平面坐标系统，或者采用不符合国家标准的基础地理信息数据建立地理信息系统行为的处罚</w:t>
            </w:r>
          </w:p>
        </w:tc>
        <w:tc>
          <w:tcPr>
            <w:tcW w:w="660" w:type="dxa"/>
            <w:vAlign w:val="center"/>
          </w:tcPr>
          <w:p w14:paraId="33DC63B4">
            <w:pPr>
              <w:snapToGrid w:val="0"/>
              <w:spacing w:line="240" w:lineRule="atLeast"/>
              <w:jc w:val="center"/>
              <w:rPr>
                <w:rFonts w:ascii="仿宋_GB2312" w:hAnsi="仿宋_GB2312" w:eastAsia="仿宋_GB2312" w:cs="仿宋_GB2312"/>
                <w:sz w:val="20"/>
                <w:szCs w:val="20"/>
              </w:rPr>
            </w:pPr>
          </w:p>
        </w:tc>
        <w:tc>
          <w:tcPr>
            <w:tcW w:w="615" w:type="dxa"/>
            <w:vAlign w:val="center"/>
          </w:tcPr>
          <w:p w14:paraId="76C6F9A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B45577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211043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二条：违反本法规定，未经批准擅自建立相对独立的平面坐标系统，或者采用不符合国家标准的基础地理信息数据建立地理信息系统的，给予警告，责令改正，可以并处五十万元以下的罚款；对直接负责的主管人员和其他直接责任人员，依法给予处分。</w:t>
            </w:r>
          </w:p>
          <w:p w14:paraId="4450519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6985690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未经批准擅自建立相对独立的平面坐标系统，或者采用不符合国家标准的基础地理信息数据建立地理信息系统的情况，应及时制止（对正在实施的违法行为，下达《责令停止违法行为通知书》）,并进行审查核实，符合立案条件的予以立案。</w:t>
            </w:r>
          </w:p>
          <w:p w14:paraId="36A5C13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擅自建立相对独立的平面坐标系统，或者采用不符合国家标准的基础地理信息数据建立地理信息系统的情况，并制作笔录。调查时允许当事人辩解陈述。执法人员应保守有关秘密。</w:t>
            </w:r>
          </w:p>
          <w:p w14:paraId="4779670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646F695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288791D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擅自建立相对独立的平面坐标系统，或者采用不符合国家标准的基础地理信息数据建立地理信息系统的事实进行认定，依法制作《行政处罚决定书》，载明违反法律法规或规章的事实和证据、行政处罚的具体依据和内容，告知当事人陈述申辩或者听证情况等内容，告知申请行政复议或提起行政诉讼的权力。</w:t>
            </w:r>
          </w:p>
          <w:p w14:paraId="237FF35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4434C0A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7．执行责任：依照生效的行政处罚决定，监督当事人履行。当事人逾期不履行行政处罚决定的，申请人民法院强制执行，或向当事人单位、上级主管部门通报，或向社会通报，或停办相关审批手续等。</w:t>
            </w:r>
          </w:p>
          <w:p w14:paraId="1E8C56C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475220D">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2AAA57A">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CBE42A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63E1CF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154241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D0F4A8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348E81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0F0234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2A7F4D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4C98E5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EE7869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0E65FD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063B76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7ECEC7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DC89BB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77D1D0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5DBCF3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676726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30E151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3A572D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65C1E9D">
            <w:pPr>
              <w:snapToGrid w:val="0"/>
              <w:spacing w:line="240" w:lineRule="atLeast"/>
              <w:jc w:val="center"/>
              <w:rPr>
                <w:rFonts w:ascii="仿宋_GB2312" w:hAnsi="仿宋_GB2312" w:eastAsia="仿宋_GB2312" w:cs="仿宋_GB2312"/>
                <w:sz w:val="20"/>
                <w:szCs w:val="20"/>
              </w:rPr>
            </w:pPr>
          </w:p>
        </w:tc>
      </w:tr>
    </w:tbl>
    <w:p w14:paraId="7AB8E367"/>
    <w:p w14:paraId="496E0E87"/>
    <w:p w14:paraId="07BA7B4D"/>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1F10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14634C0">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FABE58C">
            <w:pPr>
              <w:spacing w:line="240" w:lineRule="atLeast"/>
              <w:rPr>
                <w:rFonts w:asciiTheme="majorEastAsia" w:hAnsiTheme="majorEastAsia" w:eastAsiaTheme="majorEastAsia" w:cstheme="majorEastAsia"/>
                <w:spacing w:val="-20"/>
                <w:sz w:val="20"/>
                <w:szCs w:val="20"/>
              </w:rPr>
            </w:pPr>
          </w:p>
          <w:p w14:paraId="7C64EA5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020D1E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263FCC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FAE033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EBEB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2B8C1C2">
            <w:pPr>
              <w:spacing w:line="240" w:lineRule="atLeast"/>
              <w:jc w:val="left"/>
              <w:rPr>
                <w:rFonts w:ascii="仿宋_GB2312" w:hAnsi="仿宋_GB2312" w:eastAsia="仿宋_GB2312" w:cs="仿宋_GB2312"/>
                <w:sz w:val="20"/>
                <w:szCs w:val="20"/>
              </w:rPr>
            </w:pPr>
          </w:p>
        </w:tc>
        <w:tc>
          <w:tcPr>
            <w:tcW w:w="555" w:type="dxa"/>
            <w:vMerge w:val="continue"/>
          </w:tcPr>
          <w:p w14:paraId="072FAC85">
            <w:pPr>
              <w:spacing w:line="240" w:lineRule="atLeast"/>
              <w:jc w:val="left"/>
              <w:rPr>
                <w:rFonts w:ascii="仿宋_GB2312" w:hAnsi="仿宋_GB2312" w:eastAsia="仿宋_GB2312" w:cs="仿宋_GB2312"/>
                <w:sz w:val="20"/>
                <w:szCs w:val="20"/>
              </w:rPr>
            </w:pPr>
          </w:p>
        </w:tc>
        <w:tc>
          <w:tcPr>
            <w:tcW w:w="784" w:type="dxa"/>
            <w:vAlign w:val="center"/>
          </w:tcPr>
          <w:p w14:paraId="73EFFA4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8C47A0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4AFF98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613EDE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1D8BA0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897743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D6B1C0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5C7A96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7839EA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F2C631D">
            <w:pPr>
              <w:spacing w:line="240" w:lineRule="atLeast"/>
              <w:jc w:val="left"/>
              <w:rPr>
                <w:rFonts w:ascii="仿宋_GB2312" w:hAnsi="仿宋_GB2312" w:eastAsia="仿宋_GB2312" w:cs="仿宋_GB2312"/>
                <w:sz w:val="20"/>
                <w:szCs w:val="20"/>
              </w:rPr>
            </w:pPr>
          </w:p>
        </w:tc>
      </w:tr>
      <w:tr w14:paraId="21396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5C588F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138</w:t>
            </w:r>
          </w:p>
        </w:tc>
        <w:tc>
          <w:tcPr>
            <w:tcW w:w="555" w:type="dxa"/>
            <w:vAlign w:val="center"/>
          </w:tcPr>
          <w:p w14:paraId="3ED3036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FBF691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617C67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8747BA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对卫星导航定位基准站建设单位未报备案行为的处罚</w:t>
            </w:r>
          </w:p>
        </w:tc>
        <w:tc>
          <w:tcPr>
            <w:tcW w:w="660" w:type="dxa"/>
            <w:vAlign w:val="center"/>
          </w:tcPr>
          <w:p w14:paraId="51949449">
            <w:pPr>
              <w:snapToGrid w:val="0"/>
              <w:spacing w:line="240" w:lineRule="atLeast"/>
              <w:jc w:val="center"/>
              <w:rPr>
                <w:rFonts w:ascii="仿宋_GB2312" w:hAnsi="仿宋_GB2312" w:eastAsia="仿宋_GB2312" w:cs="仿宋_GB2312"/>
                <w:sz w:val="20"/>
                <w:szCs w:val="20"/>
              </w:rPr>
            </w:pPr>
          </w:p>
        </w:tc>
        <w:tc>
          <w:tcPr>
            <w:tcW w:w="615" w:type="dxa"/>
            <w:vAlign w:val="center"/>
          </w:tcPr>
          <w:p w14:paraId="5F84567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B94B4F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0EC8C5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三条：违反本法规定，卫星导航定位基准站建设单位未报备案的，给予警告，责令限期改正；逾期不改正的，处十万元以上三十万元以下的罚款；对直接负责的主管人员和其他直接责任人员，依法给予处分。</w:t>
            </w:r>
          </w:p>
          <w:p w14:paraId="69A3F12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42DCFF8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卫星导航定位基准站建设单位未报备案的情况，应及时制止（对正在实施的违法行为，下达《责令停止违法行为通知书》）,并进行审查核实，符合立案条件的予以立案。</w:t>
            </w:r>
          </w:p>
          <w:p w14:paraId="289DB55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2.调查责任：执法人员不得少于两人，出示证件、表明身份；通过搜集证据、现场了解核实卫星导航定位基准站建设单位未报备案的情况，并制作笔录。调查时允许当事人辩解陈述。执法人员应保守有关秘密。</w:t>
            </w:r>
          </w:p>
          <w:p w14:paraId="77763D5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6238AC7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68E261B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卫星导航定位基准站建设单位未报备案的事实进行认定，依法制作《行政处罚决定书》，载明违反法律法规或规章的事实和证据、行政处罚的具体依据和内容，告知当事人陈述申辩或者听证情况等内容，告知申请行政复议或提起行政诉讼的权力。</w:t>
            </w:r>
          </w:p>
          <w:p w14:paraId="3626F78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1A0E0DE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1D08139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627B520">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1868858">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AA77CC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941B93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920D76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BE5131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B63E82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56845B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20C216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C726FC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ACF6C4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04CCD2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C8915F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19E446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9660F5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E80C7B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14B157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E67C4D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7BB928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0BE385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930C521">
            <w:pPr>
              <w:snapToGrid w:val="0"/>
              <w:spacing w:line="240" w:lineRule="atLeast"/>
              <w:jc w:val="center"/>
              <w:rPr>
                <w:rFonts w:ascii="仿宋_GB2312" w:hAnsi="仿宋_GB2312" w:eastAsia="仿宋_GB2312" w:cs="仿宋_GB2312"/>
                <w:sz w:val="20"/>
                <w:szCs w:val="20"/>
              </w:rPr>
            </w:pPr>
          </w:p>
        </w:tc>
      </w:tr>
    </w:tbl>
    <w:p w14:paraId="4CD7E324"/>
    <w:p w14:paraId="5A1B7F88"/>
    <w:p w14:paraId="0F92869C"/>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85DE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FD9FDE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7A8735B">
            <w:pPr>
              <w:spacing w:line="240" w:lineRule="atLeast"/>
              <w:rPr>
                <w:rFonts w:asciiTheme="majorEastAsia" w:hAnsiTheme="majorEastAsia" w:eastAsiaTheme="majorEastAsia" w:cstheme="majorEastAsia"/>
                <w:spacing w:val="-20"/>
                <w:sz w:val="20"/>
                <w:szCs w:val="20"/>
              </w:rPr>
            </w:pPr>
          </w:p>
          <w:p w14:paraId="5383685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D275F5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9640F9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1F29CE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C263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310D635">
            <w:pPr>
              <w:spacing w:line="240" w:lineRule="atLeast"/>
              <w:jc w:val="left"/>
              <w:rPr>
                <w:rFonts w:ascii="仿宋_GB2312" w:hAnsi="仿宋_GB2312" w:eastAsia="仿宋_GB2312" w:cs="仿宋_GB2312"/>
                <w:sz w:val="20"/>
                <w:szCs w:val="20"/>
              </w:rPr>
            </w:pPr>
          </w:p>
        </w:tc>
        <w:tc>
          <w:tcPr>
            <w:tcW w:w="555" w:type="dxa"/>
            <w:vMerge w:val="continue"/>
          </w:tcPr>
          <w:p w14:paraId="627EDA84">
            <w:pPr>
              <w:spacing w:line="240" w:lineRule="atLeast"/>
              <w:jc w:val="left"/>
              <w:rPr>
                <w:rFonts w:ascii="仿宋_GB2312" w:hAnsi="仿宋_GB2312" w:eastAsia="仿宋_GB2312" w:cs="仿宋_GB2312"/>
                <w:sz w:val="20"/>
                <w:szCs w:val="20"/>
              </w:rPr>
            </w:pPr>
          </w:p>
        </w:tc>
        <w:tc>
          <w:tcPr>
            <w:tcW w:w="784" w:type="dxa"/>
            <w:vAlign w:val="center"/>
          </w:tcPr>
          <w:p w14:paraId="3B8A0F6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37809F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0BC24E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51C7E4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070F9F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BAEE69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E87F2D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6DE0B2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70C513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DDB80F9">
            <w:pPr>
              <w:spacing w:line="240" w:lineRule="atLeast"/>
              <w:jc w:val="left"/>
              <w:rPr>
                <w:rFonts w:ascii="仿宋_GB2312" w:hAnsi="仿宋_GB2312" w:eastAsia="仿宋_GB2312" w:cs="仿宋_GB2312"/>
                <w:sz w:val="20"/>
                <w:szCs w:val="20"/>
              </w:rPr>
            </w:pPr>
          </w:p>
        </w:tc>
      </w:tr>
      <w:tr w14:paraId="44576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6831C9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139</w:t>
            </w:r>
          </w:p>
        </w:tc>
        <w:tc>
          <w:tcPr>
            <w:tcW w:w="555" w:type="dxa"/>
            <w:vAlign w:val="center"/>
          </w:tcPr>
          <w:p w14:paraId="1837EB0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D51173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1B6407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883D3A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对卫星导航定位基准站的建设和运行维护不符合国家标准、要求行为的处罚</w:t>
            </w:r>
          </w:p>
        </w:tc>
        <w:tc>
          <w:tcPr>
            <w:tcW w:w="660" w:type="dxa"/>
            <w:vAlign w:val="center"/>
          </w:tcPr>
          <w:p w14:paraId="4ADFC5CF">
            <w:pPr>
              <w:snapToGrid w:val="0"/>
              <w:spacing w:line="240" w:lineRule="atLeast"/>
              <w:jc w:val="center"/>
              <w:rPr>
                <w:rFonts w:ascii="仿宋_GB2312" w:hAnsi="仿宋_GB2312" w:eastAsia="仿宋_GB2312" w:cs="仿宋_GB2312"/>
                <w:sz w:val="20"/>
                <w:szCs w:val="20"/>
              </w:rPr>
            </w:pPr>
          </w:p>
        </w:tc>
        <w:tc>
          <w:tcPr>
            <w:tcW w:w="615" w:type="dxa"/>
            <w:vAlign w:val="center"/>
          </w:tcPr>
          <w:p w14:paraId="487EDBA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BE5DF1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633B6A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四条：违反本法规定，卫星导航定位基准站的建设和运行维护不符合国家标准、要求的，给予警告，责令限期改正，没收违法所得和测绘成果，并处三十万元以上五十万元以下的罚款；逾期不改正的，没收相关设备；对直接负责的主管人员和其他直接责任人员，依法给予处分；构成犯罪的，依法追究刑事责任。</w:t>
            </w:r>
          </w:p>
          <w:p w14:paraId="67440C2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3A66D75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卫星导航定位基准站的建设和运行维护不符合国家标准、要求的情况，应及时制止（对正在实施的违法行为，下达《责令停止违法行为通知书》）,并进行审查核实，符合立案条件的予以立案。</w:t>
            </w:r>
          </w:p>
          <w:p w14:paraId="6D459E2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卫星导航定位基准站的建设和运行维护不符合国家标准、要求的情况，并制作笔录。调查时允许当事人辩解陈述。执法人员应保守有关秘密。</w:t>
            </w:r>
          </w:p>
          <w:p w14:paraId="6878EE1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2CC636B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39BEBB9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卫星导航定位基准站的建设和运行维护不符合国家标准、要求的事实进行认定，依法制作《行政处罚决定书》，载明违反法律法规或规章的事实和证据、行政处罚的具体依据和内容，告知当事人陈述申辩或者听证情况等内容，告知申请行政复议或提起行政诉讼的权力。</w:t>
            </w:r>
          </w:p>
          <w:p w14:paraId="46FDD7C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352D395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11CF180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987D715">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7A9C79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546AC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75E5A2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A89C4C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A46F34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DF3A00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C66CA9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A8C9DD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240D9B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03579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E6BAB0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B01191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83C233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6EE97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3E40ED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195414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1335B7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C0BE3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1FF77B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F9D998A">
            <w:pPr>
              <w:snapToGrid w:val="0"/>
              <w:spacing w:line="240" w:lineRule="atLeast"/>
              <w:jc w:val="center"/>
              <w:rPr>
                <w:rFonts w:ascii="仿宋_GB2312" w:hAnsi="仿宋_GB2312" w:eastAsia="仿宋_GB2312" w:cs="仿宋_GB2312"/>
                <w:sz w:val="20"/>
                <w:szCs w:val="20"/>
              </w:rPr>
            </w:pPr>
          </w:p>
        </w:tc>
      </w:tr>
    </w:tbl>
    <w:p w14:paraId="0DBE94F0"/>
    <w:p w14:paraId="4E4B3442"/>
    <w:p w14:paraId="2B7D8030"/>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579F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23330B3">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4D8609B">
            <w:pPr>
              <w:spacing w:line="240" w:lineRule="atLeast"/>
              <w:rPr>
                <w:rFonts w:asciiTheme="majorEastAsia" w:hAnsiTheme="majorEastAsia" w:eastAsiaTheme="majorEastAsia" w:cstheme="majorEastAsia"/>
                <w:spacing w:val="-20"/>
                <w:sz w:val="20"/>
                <w:szCs w:val="20"/>
              </w:rPr>
            </w:pPr>
          </w:p>
          <w:p w14:paraId="3937817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608148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F5C2F9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39386A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F562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310E63F">
            <w:pPr>
              <w:spacing w:line="240" w:lineRule="atLeast"/>
              <w:jc w:val="left"/>
              <w:rPr>
                <w:rFonts w:ascii="仿宋_GB2312" w:hAnsi="仿宋_GB2312" w:eastAsia="仿宋_GB2312" w:cs="仿宋_GB2312"/>
                <w:sz w:val="20"/>
                <w:szCs w:val="20"/>
              </w:rPr>
            </w:pPr>
          </w:p>
        </w:tc>
        <w:tc>
          <w:tcPr>
            <w:tcW w:w="555" w:type="dxa"/>
            <w:vMerge w:val="continue"/>
          </w:tcPr>
          <w:p w14:paraId="6FCF6C21">
            <w:pPr>
              <w:spacing w:line="240" w:lineRule="atLeast"/>
              <w:jc w:val="left"/>
              <w:rPr>
                <w:rFonts w:ascii="仿宋_GB2312" w:hAnsi="仿宋_GB2312" w:eastAsia="仿宋_GB2312" w:cs="仿宋_GB2312"/>
                <w:sz w:val="20"/>
                <w:szCs w:val="20"/>
              </w:rPr>
            </w:pPr>
          </w:p>
        </w:tc>
        <w:tc>
          <w:tcPr>
            <w:tcW w:w="784" w:type="dxa"/>
            <w:vAlign w:val="center"/>
          </w:tcPr>
          <w:p w14:paraId="6E4E2E3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5E2DF9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108B58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54BDD3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EB581C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9A004B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9676C8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675B5C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2E8A08D">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CB5ACE3">
            <w:pPr>
              <w:spacing w:line="240" w:lineRule="atLeast"/>
              <w:jc w:val="left"/>
              <w:rPr>
                <w:rFonts w:ascii="仿宋_GB2312" w:hAnsi="仿宋_GB2312" w:eastAsia="仿宋_GB2312" w:cs="仿宋_GB2312"/>
                <w:sz w:val="20"/>
                <w:szCs w:val="20"/>
              </w:rPr>
            </w:pPr>
          </w:p>
        </w:tc>
      </w:tr>
      <w:tr w14:paraId="7EA66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01F7E0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140</w:t>
            </w:r>
          </w:p>
        </w:tc>
        <w:tc>
          <w:tcPr>
            <w:tcW w:w="555" w:type="dxa"/>
            <w:vAlign w:val="center"/>
          </w:tcPr>
          <w:p w14:paraId="1D23C5D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7170B6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A07309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7447E1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对未取得测绘资质证书，擅自从事测绘活动行为的处罚</w:t>
            </w:r>
          </w:p>
        </w:tc>
        <w:tc>
          <w:tcPr>
            <w:tcW w:w="660" w:type="dxa"/>
            <w:vAlign w:val="center"/>
          </w:tcPr>
          <w:p w14:paraId="3A84EBEC">
            <w:pPr>
              <w:snapToGrid w:val="0"/>
              <w:spacing w:line="240" w:lineRule="atLeast"/>
              <w:jc w:val="center"/>
              <w:rPr>
                <w:rFonts w:ascii="仿宋_GB2312" w:hAnsi="仿宋_GB2312" w:eastAsia="仿宋_GB2312" w:cs="仿宋_GB2312"/>
                <w:sz w:val="20"/>
                <w:szCs w:val="20"/>
              </w:rPr>
            </w:pPr>
          </w:p>
        </w:tc>
        <w:tc>
          <w:tcPr>
            <w:tcW w:w="615" w:type="dxa"/>
            <w:vAlign w:val="center"/>
          </w:tcPr>
          <w:p w14:paraId="58496FF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BD6C0A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221C8F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五条第一款：违反本法规定，未取得测绘资质证书，擅自从事测绘活动的，责令停止违法行为，没收违法所得和测绘成果，并处测绘约定报酬一倍以上二倍以下的罚款；情节严重的，没收测绘工具。</w:t>
            </w:r>
          </w:p>
          <w:p w14:paraId="57E499E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p w14:paraId="2F7EDE3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基础测绘条例》（2009年国务院第556号）第二十九条：违反本条例规定，未取得测绘资质证书从事基础测绘活动的，责令停止违法行为，没收违法所得和测绘成果，并处测绘约定报酬1倍以上2倍以下的罚款。</w:t>
            </w:r>
          </w:p>
        </w:tc>
        <w:tc>
          <w:tcPr>
            <w:tcW w:w="3585" w:type="dxa"/>
            <w:vAlign w:val="center"/>
          </w:tcPr>
          <w:p w14:paraId="66B2C48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未取得测绘资质证书，擅自从事测绘活动的情况，应及时制止（对正在实施的违法行为，下达《责令停止违法行为通知书》）,并进行审查核实，符合立案条件的予以立案。</w:t>
            </w:r>
          </w:p>
          <w:p w14:paraId="5058311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2.调查责任：执法人员不得少于两人，出示证件、表明身份；通过搜集证据、现场了解核实未取得测绘资质证书，擅自从事测绘活动的情况，并制作笔录。调查时允许当事人辩解陈述。执法人员应保守有关秘密。</w:t>
            </w:r>
          </w:p>
          <w:p w14:paraId="4FBC851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77EC31C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31B2FA9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未取得测绘资质证书，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14:paraId="4E5470C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320F94E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7732B24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6415071">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4222588">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EC0F2D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90671F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83B7F6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23517E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667581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9EAB81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37E18F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95BFB6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77A8FE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FDC671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D21444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34F5E3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826B1E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6F924B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F2B4D0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EAF88A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1677C1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41131B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3A1EEA4">
            <w:pPr>
              <w:snapToGrid w:val="0"/>
              <w:spacing w:line="240" w:lineRule="atLeast"/>
              <w:jc w:val="center"/>
              <w:rPr>
                <w:rFonts w:ascii="仿宋_GB2312" w:hAnsi="仿宋_GB2312" w:eastAsia="仿宋_GB2312" w:cs="仿宋_GB2312"/>
                <w:sz w:val="20"/>
                <w:szCs w:val="20"/>
              </w:rPr>
            </w:pPr>
          </w:p>
        </w:tc>
      </w:tr>
    </w:tbl>
    <w:p w14:paraId="61CB3DD7"/>
    <w:p w14:paraId="658080FC"/>
    <w:p w14:paraId="476AD577"/>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C70A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BF1A8B7">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CAA0754">
            <w:pPr>
              <w:spacing w:line="240" w:lineRule="atLeast"/>
              <w:rPr>
                <w:rFonts w:asciiTheme="majorEastAsia" w:hAnsiTheme="majorEastAsia" w:eastAsiaTheme="majorEastAsia" w:cstheme="majorEastAsia"/>
                <w:spacing w:val="-20"/>
                <w:sz w:val="20"/>
                <w:szCs w:val="20"/>
              </w:rPr>
            </w:pPr>
          </w:p>
          <w:p w14:paraId="0881476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BCE551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5637BE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65D797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5DE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40EAF0F">
            <w:pPr>
              <w:spacing w:line="240" w:lineRule="atLeast"/>
              <w:jc w:val="left"/>
              <w:rPr>
                <w:rFonts w:ascii="仿宋_GB2312" w:hAnsi="仿宋_GB2312" w:eastAsia="仿宋_GB2312" w:cs="仿宋_GB2312"/>
                <w:sz w:val="20"/>
                <w:szCs w:val="20"/>
              </w:rPr>
            </w:pPr>
          </w:p>
        </w:tc>
        <w:tc>
          <w:tcPr>
            <w:tcW w:w="555" w:type="dxa"/>
            <w:vMerge w:val="continue"/>
          </w:tcPr>
          <w:p w14:paraId="4DD4E114">
            <w:pPr>
              <w:spacing w:line="240" w:lineRule="atLeast"/>
              <w:jc w:val="left"/>
              <w:rPr>
                <w:rFonts w:ascii="仿宋_GB2312" w:hAnsi="仿宋_GB2312" w:eastAsia="仿宋_GB2312" w:cs="仿宋_GB2312"/>
                <w:sz w:val="20"/>
                <w:szCs w:val="20"/>
              </w:rPr>
            </w:pPr>
          </w:p>
        </w:tc>
        <w:tc>
          <w:tcPr>
            <w:tcW w:w="784" w:type="dxa"/>
            <w:vAlign w:val="center"/>
          </w:tcPr>
          <w:p w14:paraId="58AEC3C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DD8F99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09D526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1D1CAF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68299E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22F54B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B67AD3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8AA0B9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551E08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8D85F6F">
            <w:pPr>
              <w:spacing w:line="240" w:lineRule="atLeast"/>
              <w:jc w:val="left"/>
              <w:rPr>
                <w:rFonts w:ascii="仿宋_GB2312" w:hAnsi="仿宋_GB2312" w:eastAsia="仿宋_GB2312" w:cs="仿宋_GB2312"/>
                <w:sz w:val="20"/>
                <w:szCs w:val="20"/>
              </w:rPr>
            </w:pPr>
          </w:p>
        </w:tc>
      </w:tr>
      <w:tr w14:paraId="47FB0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8EB914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141</w:t>
            </w:r>
          </w:p>
        </w:tc>
        <w:tc>
          <w:tcPr>
            <w:tcW w:w="555" w:type="dxa"/>
            <w:vAlign w:val="center"/>
          </w:tcPr>
          <w:p w14:paraId="1D1D6B0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CA0D31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4013EF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8D9117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对以欺骗手段取得测绘资质证书从事测绘活动行为的处罚</w:t>
            </w:r>
          </w:p>
        </w:tc>
        <w:tc>
          <w:tcPr>
            <w:tcW w:w="660" w:type="dxa"/>
            <w:vAlign w:val="center"/>
          </w:tcPr>
          <w:p w14:paraId="67312E00">
            <w:pPr>
              <w:snapToGrid w:val="0"/>
              <w:spacing w:line="240" w:lineRule="atLeast"/>
              <w:jc w:val="center"/>
              <w:rPr>
                <w:rFonts w:ascii="仿宋_GB2312" w:hAnsi="仿宋_GB2312" w:eastAsia="仿宋_GB2312" w:cs="仿宋_GB2312"/>
                <w:sz w:val="20"/>
                <w:szCs w:val="20"/>
              </w:rPr>
            </w:pPr>
          </w:p>
        </w:tc>
        <w:tc>
          <w:tcPr>
            <w:tcW w:w="615" w:type="dxa"/>
            <w:vAlign w:val="center"/>
          </w:tcPr>
          <w:p w14:paraId="38D67B0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4F35D1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BEDD98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五条第二款：以欺骗手段取得测绘资质证书从事测绘活动的，吊销测绘资质证书，没收违法所得和测绘成果，并处测绘约定报酬一倍以上二倍以下的罚款；情节严重的，没收测绘工具。</w:t>
            </w:r>
          </w:p>
          <w:p w14:paraId="2D89DE6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09ADC4A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以欺骗手段取得测绘资质证书从事测绘活动的情况，应及时制止（对正在实施的违法行为，下达《责令停止违法行为通知书》）,并进行审查核实，符合立案条件的予以立案。</w:t>
            </w:r>
          </w:p>
          <w:p w14:paraId="2F275D0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以欺骗手段取得测绘资质证书从事测绘活动的情况，并制作笔录。调查时允许当事人辩解陈述。执法人员应保守有关秘密。</w:t>
            </w:r>
          </w:p>
          <w:p w14:paraId="2B5EB5B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3744FEB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4877667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以欺骗手段取得测绘资质证书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14:paraId="5446C49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10EAE96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630F865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086F7B1">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D57027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939FD1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1D5232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FAC7A5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6DABB2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2DF0F1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0E07A8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54D8ED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3EBF78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5C74E8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5C19FC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DA5997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AEB522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C28984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C084CF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82CB0F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DA4472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989265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0572D4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888DAD0">
            <w:pPr>
              <w:snapToGrid w:val="0"/>
              <w:spacing w:line="240" w:lineRule="atLeast"/>
              <w:jc w:val="center"/>
              <w:rPr>
                <w:rFonts w:ascii="仿宋_GB2312" w:hAnsi="仿宋_GB2312" w:eastAsia="仿宋_GB2312" w:cs="仿宋_GB2312"/>
                <w:sz w:val="20"/>
                <w:szCs w:val="20"/>
              </w:rPr>
            </w:pPr>
          </w:p>
        </w:tc>
      </w:tr>
    </w:tbl>
    <w:p w14:paraId="0AC6452D"/>
    <w:p w14:paraId="61C95089"/>
    <w:p w14:paraId="18A4FB7B"/>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9046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0EBBE99">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8A3083D">
            <w:pPr>
              <w:spacing w:line="240" w:lineRule="atLeast"/>
              <w:rPr>
                <w:rFonts w:asciiTheme="majorEastAsia" w:hAnsiTheme="majorEastAsia" w:eastAsiaTheme="majorEastAsia" w:cstheme="majorEastAsia"/>
                <w:spacing w:val="-20"/>
                <w:sz w:val="20"/>
                <w:szCs w:val="20"/>
              </w:rPr>
            </w:pPr>
          </w:p>
          <w:p w14:paraId="078DB7A8">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BB8BCD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F29F44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AA277F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69DD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1EF633F">
            <w:pPr>
              <w:spacing w:line="240" w:lineRule="atLeast"/>
              <w:jc w:val="left"/>
              <w:rPr>
                <w:rFonts w:ascii="仿宋_GB2312" w:hAnsi="仿宋_GB2312" w:eastAsia="仿宋_GB2312" w:cs="仿宋_GB2312"/>
                <w:sz w:val="20"/>
                <w:szCs w:val="20"/>
              </w:rPr>
            </w:pPr>
          </w:p>
        </w:tc>
        <w:tc>
          <w:tcPr>
            <w:tcW w:w="555" w:type="dxa"/>
            <w:vMerge w:val="continue"/>
          </w:tcPr>
          <w:p w14:paraId="2D373037">
            <w:pPr>
              <w:spacing w:line="240" w:lineRule="atLeast"/>
              <w:jc w:val="left"/>
              <w:rPr>
                <w:rFonts w:ascii="仿宋_GB2312" w:hAnsi="仿宋_GB2312" w:eastAsia="仿宋_GB2312" w:cs="仿宋_GB2312"/>
                <w:sz w:val="20"/>
                <w:szCs w:val="20"/>
              </w:rPr>
            </w:pPr>
          </w:p>
        </w:tc>
        <w:tc>
          <w:tcPr>
            <w:tcW w:w="784" w:type="dxa"/>
            <w:vAlign w:val="center"/>
          </w:tcPr>
          <w:p w14:paraId="7379934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9562ED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12F284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1F6FF8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A188B4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91E55A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7E1800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0D05F5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4D71B6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F6160B5">
            <w:pPr>
              <w:spacing w:line="240" w:lineRule="atLeast"/>
              <w:jc w:val="left"/>
              <w:rPr>
                <w:rFonts w:ascii="仿宋_GB2312" w:hAnsi="仿宋_GB2312" w:eastAsia="仿宋_GB2312" w:cs="仿宋_GB2312"/>
                <w:sz w:val="20"/>
                <w:szCs w:val="20"/>
              </w:rPr>
            </w:pPr>
          </w:p>
        </w:tc>
      </w:tr>
      <w:tr w14:paraId="51DFF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1C2C65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142</w:t>
            </w:r>
          </w:p>
        </w:tc>
        <w:tc>
          <w:tcPr>
            <w:tcW w:w="555" w:type="dxa"/>
            <w:vAlign w:val="center"/>
          </w:tcPr>
          <w:p w14:paraId="43A12BC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62793B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1D98B5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318FCB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对测绘单位超越资质等级许可的范围从事测绘活动行为的处罚</w:t>
            </w:r>
          </w:p>
        </w:tc>
        <w:tc>
          <w:tcPr>
            <w:tcW w:w="660" w:type="dxa"/>
            <w:vAlign w:val="center"/>
          </w:tcPr>
          <w:p w14:paraId="6AF5B870">
            <w:pPr>
              <w:snapToGrid w:val="0"/>
              <w:spacing w:line="240" w:lineRule="atLeast"/>
              <w:jc w:val="center"/>
              <w:rPr>
                <w:rFonts w:ascii="仿宋_GB2312" w:hAnsi="仿宋_GB2312" w:eastAsia="仿宋_GB2312" w:cs="仿宋_GB2312"/>
                <w:sz w:val="20"/>
                <w:szCs w:val="20"/>
              </w:rPr>
            </w:pPr>
          </w:p>
        </w:tc>
        <w:tc>
          <w:tcPr>
            <w:tcW w:w="615" w:type="dxa"/>
            <w:vAlign w:val="center"/>
          </w:tcPr>
          <w:p w14:paraId="7905D0B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FF3A3D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1C2CD6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五十六条第一款：违反本法规定，测绘单位有下列行为之一的，责令停止违法行为，没收违法所得和测绘成果，处测绘约定报酬一倍以上二倍以下的罚款，并可以责令停业整顿或者降低测绘资质等级；情节严重的，吊销测绘资质证书：</w:t>
            </w:r>
          </w:p>
          <w:p w14:paraId="39653A6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（一）超越资质等级许可的范围从事测绘活动。</w:t>
            </w:r>
          </w:p>
          <w:p w14:paraId="73E277B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p w14:paraId="718E2DE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基础测绘条例》（2009年国务院第556号）第三十条：违反本条例规定，基础测绘项目承担单位超越资质等级许可的范围从事基础测绘活动的，责令停止违法行为，没收违法所得和测绘成果，处测绘约定报酬1倍以上2倍以下的罚款，并可以责令停业整顿或者降低资质等级；情节严重的，吊销测绘资质证书。</w:t>
            </w:r>
          </w:p>
        </w:tc>
        <w:tc>
          <w:tcPr>
            <w:tcW w:w="3585" w:type="dxa"/>
            <w:vAlign w:val="center"/>
          </w:tcPr>
          <w:p w14:paraId="4263D94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超越资质等级许可的范围从事测绘活动的情况，应及时制止（对正在实施的违法行为，下达《责令停止违法行为通知书》）,并进行审查核实，符合立案条件的予以立案。</w:t>
            </w:r>
          </w:p>
          <w:p w14:paraId="4B8216A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2.调查责任：执法人员不得少于两人，出示证件、表明身份；通过搜集证据、现场了解核实超越资质等级许可的范围从事测绘活动的情况，并制作笔录。调查时允许当事人辩解陈述。执法人员应保守有关秘密。</w:t>
            </w:r>
          </w:p>
          <w:p w14:paraId="0008167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0C052D9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526584C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超越资质等级许可的范围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14:paraId="6D7D5F3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03C219F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5F19E11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CEB07C0">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B3E31A8">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7DC5EA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FE577C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F904EB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5BDCA4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947612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D737B65">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073259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6B6952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D7218C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32A64B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087EFC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E5DD73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0A34EB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F9F08F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30E96D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6797F1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722F2E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96AA35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99C8F31">
            <w:pPr>
              <w:snapToGrid w:val="0"/>
              <w:spacing w:line="240" w:lineRule="atLeast"/>
              <w:jc w:val="center"/>
              <w:rPr>
                <w:rFonts w:ascii="仿宋_GB2312" w:hAnsi="仿宋_GB2312" w:eastAsia="仿宋_GB2312" w:cs="仿宋_GB2312"/>
                <w:sz w:val="20"/>
                <w:szCs w:val="20"/>
              </w:rPr>
            </w:pPr>
          </w:p>
        </w:tc>
      </w:tr>
    </w:tbl>
    <w:p w14:paraId="3ABAC9DB"/>
    <w:p w14:paraId="63FE7FBD"/>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B668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EA0FB5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7F447F6">
            <w:pPr>
              <w:spacing w:line="240" w:lineRule="atLeast"/>
              <w:rPr>
                <w:rFonts w:asciiTheme="majorEastAsia" w:hAnsiTheme="majorEastAsia" w:eastAsiaTheme="majorEastAsia" w:cstheme="majorEastAsia"/>
                <w:spacing w:val="-20"/>
                <w:sz w:val="20"/>
                <w:szCs w:val="20"/>
              </w:rPr>
            </w:pPr>
          </w:p>
          <w:p w14:paraId="3A4ED46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9B1E53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324B6B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20A02F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CABB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BCF3C80">
            <w:pPr>
              <w:spacing w:line="240" w:lineRule="atLeast"/>
              <w:jc w:val="left"/>
              <w:rPr>
                <w:rFonts w:ascii="仿宋_GB2312" w:hAnsi="仿宋_GB2312" w:eastAsia="仿宋_GB2312" w:cs="仿宋_GB2312"/>
                <w:sz w:val="20"/>
                <w:szCs w:val="20"/>
              </w:rPr>
            </w:pPr>
          </w:p>
        </w:tc>
        <w:tc>
          <w:tcPr>
            <w:tcW w:w="555" w:type="dxa"/>
            <w:vMerge w:val="continue"/>
          </w:tcPr>
          <w:p w14:paraId="598864C7">
            <w:pPr>
              <w:spacing w:line="240" w:lineRule="atLeast"/>
              <w:jc w:val="left"/>
              <w:rPr>
                <w:rFonts w:ascii="仿宋_GB2312" w:hAnsi="仿宋_GB2312" w:eastAsia="仿宋_GB2312" w:cs="仿宋_GB2312"/>
                <w:sz w:val="20"/>
                <w:szCs w:val="20"/>
              </w:rPr>
            </w:pPr>
          </w:p>
        </w:tc>
        <w:tc>
          <w:tcPr>
            <w:tcW w:w="784" w:type="dxa"/>
            <w:vAlign w:val="center"/>
          </w:tcPr>
          <w:p w14:paraId="0666234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5867FA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22F607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3ECA60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8BA92D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BB0506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50478B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5C8DEB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FFC203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A69FF93">
            <w:pPr>
              <w:spacing w:line="240" w:lineRule="atLeast"/>
              <w:jc w:val="left"/>
              <w:rPr>
                <w:rFonts w:ascii="仿宋_GB2312" w:hAnsi="仿宋_GB2312" w:eastAsia="仿宋_GB2312" w:cs="仿宋_GB2312"/>
                <w:sz w:val="20"/>
                <w:szCs w:val="20"/>
              </w:rPr>
            </w:pPr>
          </w:p>
        </w:tc>
      </w:tr>
      <w:tr w14:paraId="4A97E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D91DEB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143</w:t>
            </w:r>
          </w:p>
        </w:tc>
        <w:tc>
          <w:tcPr>
            <w:tcW w:w="555" w:type="dxa"/>
            <w:vAlign w:val="center"/>
          </w:tcPr>
          <w:p w14:paraId="1D65212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95AE68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B7D8F8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94B87A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对测绘单位以其他测绘单位的名义从事测绘活动行为的处罚</w:t>
            </w:r>
          </w:p>
        </w:tc>
        <w:tc>
          <w:tcPr>
            <w:tcW w:w="660" w:type="dxa"/>
            <w:vAlign w:val="center"/>
          </w:tcPr>
          <w:p w14:paraId="6862ABDA">
            <w:pPr>
              <w:snapToGrid w:val="0"/>
              <w:spacing w:line="240" w:lineRule="atLeast"/>
              <w:jc w:val="center"/>
              <w:rPr>
                <w:rFonts w:ascii="仿宋_GB2312" w:hAnsi="仿宋_GB2312" w:eastAsia="仿宋_GB2312" w:cs="仿宋_GB2312"/>
                <w:sz w:val="20"/>
                <w:szCs w:val="20"/>
              </w:rPr>
            </w:pPr>
          </w:p>
        </w:tc>
        <w:tc>
          <w:tcPr>
            <w:tcW w:w="615" w:type="dxa"/>
            <w:vAlign w:val="center"/>
          </w:tcPr>
          <w:p w14:paraId="3E925F7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D16D60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86A5D1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六条第二款：违反本法规定，测绘单位有下列行为之一的，责令停止违法行为，没收违法所得和测绘成果，处测绘约定报酬一倍以上二倍以下的罚款，并可以责令停业整顿或者降低测绘资质等级；情节严重的，吊销测绘资质证书：</w:t>
            </w:r>
          </w:p>
          <w:p w14:paraId="5DE56D4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（二）以其他测绘单位的名义从事测绘活动。</w:t>
            </w:r>
          </w:p>
          <w:p w14:paraId="7BBA46C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512FA5B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以其他测绘单位的名义从事测绘活动的情况，应及时制止（对正在实施的违法行为，下达《责令停止违法行为通知书》）,并进行审查核实，符合立案条件的予以立案。</w:t>
            </w:r>
          </w:p>
          <w:p w14:paraId="16EFEDB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2.调查责任：执法人员不得少于两人，出示证件、表明身份；通过搜集证据、现场了解核实以其他测绘单位的名义从事测绘活动的情况，并制作笔录。调查时允许当事人辩解陈述。执法人员应保守有关秘密。</w:t>
            </w:r>
          </w:p>
          <w:p w14:paraId="7F511A3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0F16EB0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324488A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以其他测绘单位的名义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14:paraId="1128DAD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1422D0C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7F35C30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2F0BAB5">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1594048">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F0366D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83FA29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339BB7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F316BA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2897DC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5ADE66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4F172A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F4D3D2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A92C79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96EBB0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2424F2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F11B55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727F18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A04774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B06B33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5214C4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F132C5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B9934D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56E3A9E">
            <w:pPr>
              <w:snapToGrid w:val="0"/>
              <w:spacing w:line="240" w:lineRule="atLeast"/>
              <w:jc w:val="center"/>
              <w:rPr>
                <w:rFonts w:ascii="仿宋_GB2312" w:hAnsi="仿宋_GB2312" w:eastAsia="仿宋_GB2312" w:cs="仿宋_GB2312"/>
                <w:sz w:val="20"/>
                <w:szCs w:val="20"/>
              </w:rPr>
            </w:pPr>
          </w:p>
        </w:tc>
      </w:tr>
    </w:tbl>
    <w:p w14:paraId="67FEABA7"/>
    <w:p w14:paraId="3BA6605B"/>
    <w:p w14:paraId="1C12322E"/>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2DC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4B8042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2DF3A3B">
            <w:pPr>
              <w:spacing w:line="240" w:lineRule="atLeast"/>
              <w:rPr>
                <w:rFonts w:asciiTheme="majorEastAsia" w:hAnsiTheme="majorEastAsia" w:eastAsiaTheme="majorEastAsia" w:cstheme="majorEastAsia"/>
                <w:spacing w:val="-20"/>
                <w:sz w:val="20"/>
                <w:szCs w:val="20"/>
              </w:rPr>
            </w:pPr>
          </w:p>
          <w:p w14:paraId="2886A92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009B93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F98585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8E33C4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4C64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BFD7486">
            <w:pPr>
              <w:spacing w:line="240" w:lineRule="atLeast"/>
              <w:jc w:val="left"/>
              <w:rPr>
                <w:rFonts w:ascii="仿宋_GB2312" w:hAnsi="仿宋_GB2312" w:eastAsia="仿宋_GB2312" w:cs="仿宋_GB2312"/>
                <w:sz w:val="20"/>
                <w:szCs w:val="20"/>
              </w:rPr>
            </w:pPr>
          </w:p>
        </w:tc>
        <w:tc>
          <w:tcPr>
            <w:tcW w:w="555" w:type="dxa"/>
            <w:vMerge w:val="continue"/>
          </w:tcPr>
          <w:p w14:paraId="5CC35A23">
            <w:pPr>
              <w:spacing w:line="240" w:lineRule="atLeast"/>
              <w:jc w:val="left"/>
              <w:rPr>
                <w:rFonts w:ascii="仿宋_GB2312" w:hAnsi="仿宋_GB2312" w:eastAsia="仿宋_GB2312" w:cs="仿宋_GB2312"/>
                <w:sz w:val="20"/>
                <w:szCs w:val="20"/>
              </w:rPr>
            </w:pPr>
          </w:p>
        </w:tc>
        <w:tc>
          <w:tcPr>
            <w:tcW w:w="784" w:type="dxa"/>
            <w:vAlign w:val="center"/>
          </w:tcPr>
          <w:p w14:paraId="02D3767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5CC834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9A3478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B14154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4D08C4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7DE578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D9D97A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D891FC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21E8D7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00F9F7D">
            <w:pPr>
              <w:spacing w:line="240" w:lineRule="atLeast"/>
              <w:jc w:val="left"/>
              <w:rPr>
                <w:rFonts w:ascii="仿宋_GB2312" w:hAnsi="仿宋_GB2312" w:eastAsia="仿宋_GB2312" w:cs="仿宋_GB2312"/>
                <w:sz w:val="20"/>
                <w:szCs w:val="20"/>
              </w:rPr>
            </w:pPr>
          </w:p>
        </w:tc>
      </w:tr>
      <w:tr w14:paraId="5171F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C44801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144</w:t>
            </w:r>
          </w:p>
        </w:tc>
        <w:tc>
          <w:tcPr>
            <w:tcW w:w="555" w:type="dxa"/>
            <w:vAlign w:val="center"/>
          </w:tcPr>
          <w:p w14:paraId="0DD1AD0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DA5F24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F3F615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9D04A0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对测绘单位允许其他单位以本单位的名义从事测绘活动行为的处罚</w:t>
            </w:r>
          </w:p>
        </w:tc>
        <w:tc>
          <w:tcPr>
            <w:tcW w:w="660" w:type="dxa"/>
            <w:vAlign w:val="center"/>
          </w:tcPr>
          <w:p w14:paraId="2BD82B2F">
            <w:pPr>
              <w:snapToGrid w:val="0"/>
              <w:spacing w:line="240" w:lineRule="atLeast"/>
              <w:jc w:val="center"/>
              <w:rPr>
                <w:rFonts w:ascii="仿宋_GB2312" w:hAnsi="仿宋_GB2312" w:eastAsia="仿宋_GB2312" w:cs="仿宋_GB2312"/>
                <w:sz w:val="20"/>
                <w:szCs w:val="20"/>
              </w:rPr>
            </w:pPr>
          </w:p>
        </w:tc>
        <w:tc>
          <w:tcPr>
            <w:tcW w:w="615" w:type="dxa"/>
            <w:vAlign w:val="center"/>
          </w:tcPr>
          <w:p w14:paraId="50D1AEC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04DEFE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5111DD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六条第三款：违反本法规定，测绘单位有下列行为之一的，责令停止违法行为，没收违法所得和测绘成果，处测绘约定报酬一倍以上二倍以下的罚款，并可以责令停业整顿或者降低测绘资质等级；情节严重的，吊销测绘资质证书：</w:t>
            </w:r>
          </w:p>
          <w:p w14:paraId="321FF48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（三）允许其他单位以本单位的名义从事测绘活动。</w:t>
            </w:r>
          </w:p>
          <w:p w14:paraId="203A9DC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6067FBD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允许其他单位以本单位的名义从事测绘活动的情况，应及时制止（对正在实施的违法行为，下达《责令停止违法行为通知书》）,并进行审查核实，符合立案条件的予以立案。</w:t>
            </w:r>
          </w:p>
          <w:p w14:paraId="137EED1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允许其他单位以本单位的名义从事测绘活动的情况，并制作笔录。调查时允许当事人辩解陈述。执法人员应保守有关秘密。</w:t>
            </w:r>
          </w:p>
          <w:p w14:paraId="5103BED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747FA79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7C5103A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允许其他单位以本单位的名义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14:paraId="6D31E9D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14CBA36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37100A2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33AC8E6">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59E32B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9C384F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0DDC4D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F60167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B1DD27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4FF2D1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843444F">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E9306F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BE3D54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FE77BB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ABA20E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280D52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9B4E8D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0EF88A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335625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A2584A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0B8B7C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30BB30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3043EC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63CFD68">
            <w:pPr>
              <w:snapToGrid w:val="0"/>
              <w:spacing w:line="240" w:lineRule="atLeast"/>
              <w:jc w:val="center"/>
              <w:rPr>
                <w:rFonts w:ascii="仿宋_GB2312" w:hAnsi="仿宋_GB2312" w:eastAsia="仿宋_GB2312" w:cs="仿宋_GB2312"/>
                <w:sz w:val="20"/>
                <w:szCs w:val="20"/>
              </w:rPr>
            </w:pPr>
          </w:p>
        </w:tc>
      </w:tr>
    </w:tbl>
    <w:p w14:paraId="58A97B1A"/>
    <w:p w14:paraId="659647B9"/>
    <w:p w14:paraId="5443BB61"/>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A55B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16D4E98">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4AF0AE2">
            <w:pPr>
              <w:spacing w:line="240" w:lineRule="atLeast"/>
              <w:rPr>
                <w:rFonts w:asciiTheme="majorEastAsia" w:hAnsiTheme="majorEastAsia" w:eastAsiaTheme="majorEastAsia" w:cstheme="majorEastAsia"/>
                <w:spacing w:val="-20"/>
                <w:sz w:val="20"/>
                <w:szCs w:val="20"/>
              </w:rPr>
            </w:pPr>
          </w:p>
          <w:p w14:paraId="1E7E804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93CD7D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86C2F8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EB4917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773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6BA406D">
            <w:pPr>
              <w:spacing w:line="240" w:lineRule="atLeast"/>
              <w:jc w:val="left"/>
              <w:rPr>
                <w:rFonts w:ascii="仿宋_GB2312" w:hAnsi="仿宋_GB2312" w:eastAsia="仿宋_GB2312" w:cs="仿宋_GB2312"/>
                <w:sz w:val="20"/>
                <w:szCs w:val="20"/>
              </w:rPr>
            </w:pPr>
          </w:p>
        </w:tc>
        <w:tc>
          <w:tcPr>
            <w:tcW w:w="555" w:type="dxa"/>
            <w:vMerge w:val="continue"/>
          </w:tcPr>
          <w:p w14:paraId="50979E02">
            <w:pPr>
              <w:spacing w:line="240" w:lineRule="atLeast"/>
              <w:jc w:val="left"/>
              <w:rPr>
                <w:rFonts w:ascii="仿宋_GB2312" w:hAnsi="仿宋_GB2312" w:eastAsia="仿宋_GB2312" w:cs="仿宋_GB2312"/>
                <w:sz w:val="20"/>
                <w:szCs w:val="20"/>
              </w:rPr>
            </w:pPr>
          </w:p>
        </w:tc>
        <w:tc>
          <w:tcPr>
            <w:tcW w:w="784" w:type="dxa"/>
            <w:vAlign w:val="center"/>
          </w:tcPr>
          <w:p w14:paraId="5F3B23E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FAC352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18ABF6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0A2616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A04331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4E1613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EFA470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F84929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A642FE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EED7AD0">
            <w:pPr>
              <w:spacing w:line="240" w:lineRule="atLeast"/>
              <w:jc w:val="left"/>
              <w:rPr>
                <w:rFonts w:ascii="仿宋_GB2312" w:hAnsi="仿宋_GB2312" w:eastAsia="仿宋_GB2312" w:cs="仿宋_GB2312"/>
                <w:sz w:val="20"/>
                <w:szCs w:val="20"/>
              </w:rPr>
            </w:pPr>
          </w:p>
        </w:tc>
      </w:tr>
      <w:tr w14:paraId="06D96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485B4F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145</w:t>
            </w:r>
          </w:p>
        </w:tc>
        <w:tc>
          <w:tcPr>
            <w:tcW w:w="555" w:type="dxa"/>
            <w:vAlign w:val="center"/>
          </w:tcPr>
          <w:p w14:paraId="49CA0EA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E9FCDF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BFC6BD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37F667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对测绘资质单位的名称、注册地址或者法定代表人发生变化未及时申请变更行为的处罚</w:t>
            </w:r>
          </w:p>
        </w:tc>
        <w:tc>
          <w:tcPr>
            <w:tcW w:w="660" w:type="dxa"/>
            <w:vAlign w:val="center"/>
          </w:tcPr>
          <w:p w14:paraId="659254F8">
            <w:pPr>
              <w:snapToGrid w:val="0"/>
              <w:spacing w:line="240" w:lineRule="atLeast"/>
              <w:jc w:val="center"/>
              <w:rPr>
                <w:rFonts w:ascii="仿宋_GB2312" w:hAnsi="仿宋_GB2312" w:eastAsia="仿宋_GB2312" w:cs="仿宋_GB2312"/>
                <w:sz w:val="20"/>
                <w:szCs w:val="20"/>
              </w:rPr>
            </w:pPr>
          </w:p>
        </w:tc>
        <w:tc>
          <w:tcPr>
            <w:tcW w:w="615" w:type="dxa"/>
            <w:vAlign w:val="center"/>
          </w:tcPr>
          <w:p w14:paraId="126103B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E850D3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43D03B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测绘管理条例》（1995年自治区第八届人民代表大会常务委员会第14次会议通过，2019年议第二次修订）第十九条：测绘资质单位的名称、注册地址、法定代表人发生变更的，应当在有关部门核准完成变更后三十日内，向测绘资质审批机关申请变更登记。</w:t>
            </w:r>
          </w:p>
          <w:p w14:paraId="25E09ED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十二条：违反本条例第十九条规定，测绘资质单位的名称、注册地址或者法定代表人发生变化未及时申请变更的，由县级以上人民政府测绘地理信息主管部门给予警告，责令限期改正；逾期不改正的，处五千元以上五万元以下的罚款。</w:t>
            </w:r>
          </w:p>
        </w:tc>
        <w:tc>
          <w:tcPr>
            <w:tcW w:w="3585" w:type="dxa"/>
            <w:vAlign w:val="center"/>
          </w:tcPr>
          <w:p w14:paraId="6D9C852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测绘资质单位的名称、注册地址或者法定代表人发生变化未及时申请变更的情况，应及时制止（对正在实施的违法行为，下达《责令停止违法行为通知书》）,并进行审查核实，符合立案条件的予以立案。</w:t>
            </w:r>
          </w:p>
          <w:p w14:paraId="28D2AFB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2.调查责任：执法人员不得少于两人，出示证件、表明身份；通过搜集证据、现场了解核实测绘资质单位的名称、注册地址或者法定代表人发生变化未及时申请变更的情况，并制作笔录。</w:t>
            </w:r>
          </w:p>
          <w:p w14:paraId="27A068B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3.审查责任：对调查结果进行审核；提出是否给予当事人处罚和给予何种处罚的意见。调查时允许当事人辩解陈述。执法人员应保守有关秘密。</w:t>
            </w:r>
          </w:p>
          <w:p w14:paraId="4AFC86F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71C35A2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测绘资质单位的名称、注册地址或者法定代表人发生变化未及时申请变更的事实进行认定，依法制作《行政处罚决定书》，载明违反法律法规或规章的事实和证据、行政处罚的具体依据和内容，告知当事人陈述申辩或者听证情况等内容，告知申请行政复议或提起行政诉讼的权利。</w:t>
            </w:r>
          </w:p>
          <w:p w14:paraId="5D56B39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6C21966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7．执行责任：依照生效的行政处罚决定，监督当事人履行。当事人逾期不履行行政处罚决定的，申请人民法院强制执行，或向当事人单位、上级主管部门通报，或向社会通报，或停办相关审批手续等。</w:t>
            </w:r>
          </w:p>
          <w:p w14:paraId="1B3562A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6D15BD5">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6E3A78F">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959DB3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7DC258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D3FA43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5E569F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4DA0DE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7EF5A5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C94E3D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7DBB4A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A51D64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EE5B58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AB6B1B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9EEDF3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577006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9B7F02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B83C6A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F1B60D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DE3698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5BA7F3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ED3F7A6">
            <w:pPr>
              <w:snapToGrid w:val="0"/>
              <w:spacing w:line="240" w:lineRule="atLeast"/>
              <w:jc w:val="center"/>
              <w:rPr>
                <w:rFonts w:ascii="仿宋_GB2312" w:hAnsi="仿宋_GB2312" w:eastAsia="仿宋_GB2312" w:cs="仿宋_GB2312"/>
                <w:sz w:val="20"/>
                <w:szCs w:val="20"/>
              </w:rPr>
            </w:pPr>
          </w:p>
        </w:tc>
      </w:tr>
    </w:tbl>
    <w:p w14:paraId="259A47E4"/>
    <w:p w14:paraId="42043FF6"/>
    <w:p w14:paraId="3FE264F3"/>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75CE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CA5E02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507DF36">
            <w:pPr>
              <w:spacing w:line="240" w:lineRule="atLeast"/>
              <w:rPr>
                <w:rFonts w:asciiTheme="majorEastAsia" w:hAnsiTheme="majorEastAsia" w:eastAsiaTheme="majorEastAsia" w:cstheme="majorEastAsia"/>
                <w:spacing w:val="-20"/>
                <w:sz w:val="20"/>
                <w:szCs w:val="20"/>
              </w:rPr>
            </w:pPr>
          </w:p>
          <w:p w14:paraId="42EC134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817C8B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50AA82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D11115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A425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F6FCC55">
            <w:pPr>
              <w:spacing w:line="240" w:lineRule="atLeast"/>
              <w:jc w:val="left"/>
              <w:rPr>
                <w:rFonts w:ascii="仿宋_GB2312" w:hAnsi="仿宋_GB2312" w:eastAsia="仿宋_GB2312" w:cs="仿宋_GB2312"/>
                <w:sz w:val="20"/>
                <w:szCs w:val="20"/>
              </w:rPr>
            </w:pPr>
          </w:p>
        </w:tc>
        <w:tc>
          <w:tcPr>
            <w:tcW w:w="555" w:type="dxa"/>
            <w:vMerge w:val="continue"/>
          </w:tcPr>
          <w:p w14:paraId="23A89D87">
            <w:pPr>
              <w:spacing w:line="240" w:lineRule="atLeast"/>
              <w:jc w:val="left"/>
              <w:rPr>
                <w:rFonts w:ascii="仿宋_GB2312" w:hAnsi="仿宋_GB2312" w:eastAsia="仿宋_GB2312" w:cs="仿宋_GB2312"/>
                <w:sz w:val="20"/>
                <w:szCs w:val="20"/>
              </w:rPr>
            </w:pPr>
          </w:p>
        </w:tc>
        <w:tc>
          <w:tcPr>
            <w:tcW w:w="784" w:type="dxa"/>
            <w:vAlign w:val="center"/>
          </w:tcPr>
          <w:p w14:paraId="7FB77D9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594195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6CA122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B2FDF2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6F21596">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70448A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5C6904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DDCB54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5B78F4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A5EEB30">
            <w:pPr>
              <w:spacing w:line="240" w:lineRule="atLeast"/>
              <w:jc w:val="left"/>
              <w:rPr>
                <w:rFonts w:ascii="仿宋_GB2312" w:hAnsi="仿宋_GB2312" w:eastAsia="仿宋_GB2312" w:cs="仿宋_GB2312"/>
                <w:sz w:val="20"/>
                <w:szCs w:val="20"/>
              </w:rPr>
            </w:pPr>
          </w:p>
        </w:tc>
      </w:tr>
      <w:tr w14:paraId="6818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B8718D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146</w:t>
            </w:r>
          </w:p>
        </w:tc>
        <w:tc>
          <w:tcPr>
            <w:tcW w:w="555" w:type="dxa"/>
            <w:vAlign w:val="center"/>
          </w:tcPr>
          <w:p w14:paraId="0B7BA93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2AB301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B7B113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11FF33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对测绘项目的招标单位让不具有相应资质等级的测绘单位中标，或者让测绘单位低于测绘成本中标行为的处罚</w:t>
            </w:r>
          </w:p>
        </w:tc>
        <w:tc>
          <w:tcPr>
            <w:tcW w:w="660" w:type="dxa"/>
            <w:vAlign w:val="center"/>
          </w:tcPr>
          <w:p w14:paraId="6639AE76">
            <w:pPr>
              <w:snapToGrid w:val="0"/>
              <w:spacing w:line="240" w:lineRule="atLeast"/>
              <w:jc w:val="center"/>
              <w:rPr>
                <w:rFonts w:ascii="仿宋_GB2312" w:hAnsi="仿宋_GB2312" w:eastAsia="仿宋_GB2312" w:cs="仿宋_GB2312"/>
                <w:sz w:val="20"/>
                <w:szCs w:val="20"/>
              </w:rPr>
            </w:pPr>
          </w:p>
        </w:tc>
        <w:tc>
          <w:tcPr>
            <w:tcW w:w="615" w:type="dxa"/>
            <w:vAlign w:val="center"/>
          </w:tcPr>
          <w:p w14:paraId="428D530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5EB58D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FA5465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七条：违反本法规定，测绘项目的招标单位让不具有相应资质等级的测绘单位中标，或者让测绘单位低于测绘成本中标的，责令改正，可以处测绘约定报酬二倍以下的罚款。招标单位的工作人员利用职务上的便利，索取他人财物，或者非法收受他人财物为他人谋取利益的，依法给予处分；构成犯罪的，依法追究刑事责任。</w:t>
            </w:r>
          </w:p>
          <w:p w14:paraId="73903AC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6BA717B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测绘项目的招标单位让不具有相应资质等级的测绘单位中标，或者让测绘单位低于测绘成本中标的情况，应及时制止（对正在实施的违法行为，下达《责令停止违法行为通知书》）,并进行审查核实，符合立案条件的予以立案。</w:t>
            </w:r>
          </w:p>
          <w:p w14:paraId="2A4D458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测绘项目的招标单位让不具有相应资质等级的测绘单位中标，或者让测绘单位低于测绘成本中标的情况，并制作笔录。调查时允许当事人辩解陈述。执法人员应保守有关秘密。</w:t>
            </w:r>
          </w:p>
          <w:p w14:paraId="4E3BF6C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37E4F6A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2A3F189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测绘项目的招标单位让不具有相应资质等级的测绘单位中标，或者让测绘单位低于测绘成本中标的事实进行认定，依法制作《行政处罚决定书》，载明违反法律法规或规章的事实和证据、行政处罚的具体依据和内容，告知当事人陈述申辩或者听证情况等内容，告知申请行政复议或提起行政诉讼的权利。</w:t>
            </w:r>
          </w:p>
          <w:p w14:paraId="4AAE4DF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6D5BD24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0E41E6F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9C0AC40">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221B08F">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E4D371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316A2D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4BF1AF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92CC4F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B78CA3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22E6304">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97B103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29A780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A92A83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7F21CC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C937FF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E81BE0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54B808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A0D7DA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B4A83E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2D2FA9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20A4A3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D119F8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F61C625">
            <w:pPr>
              <w:snapToGrid w:val="0"/>
              <w:spacing w:line="240" w:lineRule="atLeast"/>
              <w:jc w:val="center"/>
              <w:rPr>
                <w:rFonts w:ascii="仿宋_GB2312" w:hAnsi="仿宋_GB2312" w:eastAsia="仿宋_GB2312" w:cs="仿宋_GB2312"/>
                <w:sz w:val="20"/>
                <w:szCs w:val="20"/>
              </w:rPr>
            </w:pPr>
          </w:p>
        </w:tc>
      </w:tr>
    </w:tbl>
    <w:p w14:paraId="4974CA15"/>
    <w:p w14:paraId="22966FE4"/>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AC0D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746D4C0">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E936C10">
            <w:pPr>
              <w:spacing w:line="240" w:lineRule="atLeast"/>
              <w:rPr>
                <w:rFonts w:asciiTheme="majorEastAsia" w:hAnsiTheme="majorEastAsia" w:eastAsiaTheme="majorEastAsia" w:cstheme="majorEastAsia"/>
                <w:spacing w:val="-20"/>
                <w:sz w:val="20"/>
                <w:szCs w:val="20"/>
              </w:rPr>
            </w:pPr>
          </w:p>
          <w:p w14:paraId="276CB4B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3A30FB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F4B980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E86376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9FC1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4299E78">
            <w:pPr>
              <w:spacing w:line="240" w:lineRule="atLeast"/>
              <w:jc w:val="left"/>
              <w:rPr>
                <w:rFonts w:ascii="仿宋_GB2312" w:hAnsi="仿宋_GB2312" w:eastAsia="仿宋_GB2312" w:cs="仿宋_GB2312"/>
                <w:sz w:val="20"/>
                <w:szCs w:val="20"/>
              </w:rPr>
            </w:pPr>
          </w:p>
        </w:tc>
        <w:tc>
          <w:tcPr>
            <w:tcW w:w="555" w:type="dxa"/>
            <w:vMerge w:val="continue"/>
          </w:tcPr>
          <w:p w14:paraId="2171750D">
            <w:pPr>
              <w:spacing w:line="240" w:lineRule="atLeast"/>
              <w:jc w:val="left"/>
              <w:rPr>
                <w:rFonts w:ascii="仿宋_GB2312" w:hAnsi="仿宋_GB2312" w:eastAsia="仿宋_GB2312" w:cs="仿宋_GB2312"/>
                <w:sz w:val="20"/>
                <w:szCs w:val="20"/>
              </w:rPr>
            </w:pPr>
          </w:p>
        </w:tc>
        <w:tc>
          <w:tcPr>
            <w:tcW w:w="784" w:type="dxa"/>
            <w:vAlign w:val="center"/>
          </w:tcPr>
          <w:p w14:paraId="53C8795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2A9640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3C6738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00ABCA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EF53F2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0B913B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F87824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7A64FC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D08C3F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7B1D3BE">
            <w:pPr>
              <w:spacing w:line="240" w:lineRule="atLeast"/>
              <w:jc w:val="left"/>
              <w:rPr>
                <w:rFonts w:ascii="仿宋_GB2312" w:hAnsi="仿宋_GB2312" w:eastAsia="仿宋_GB2312" w:cs="仿宋_GB2312"/>
                <w:sz w:val="20"/>
                <w:szCs w:val="20"/>
              </w:rPr>
            </w:pPr>
          </w:p>
        </w:tc>
      </w:tr>
      <w:tr w14:paraId="121A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962D27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147</w:t>
            </w:r>
          </w:p>
        </w:tc>
        <w:tc>
          <w:tcPr>
            <w:tcW w:w="555" w:type="dxa"/>
            <w:vAlign w:val="center"/>
          </w:tcPr>
          <w:p w14:paraId="0B9521D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495798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A0F0CA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0DA4F0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对中标的测绘单位向他人转让测绘项目行为的处罚</w:t>
            </w:r>
          </w:p>
        </w:tc>
        <w:tc>
          <w:tcPr>
            <w:tcW w:w="660" w:type="dxa"/>
            <w:vAlign w:val="center"/>
          </w:tcPr>
          <w:p w14:paraId="3BB9C22A">
            <w:pPr>
              <w:snapToGrid w:val="0"/>
              <w:spacing w:line="240" w:lineRule="atLeast"/>
              <w:jc w:val="center"/>
              <w:rPr>
                <w:rFonts w:ascii="仿宋_GB2312" w:hAnsi="仿宋_GB2312" w:eastAsia="仿宋_GB2312" w:cs="仿宋_GB2312"/>
                <w:sz w:val="20"/>
                <w:szCs w:val="20"/>
              </w:rPr>
            </w:pPr>
          </w:p>
        </w:tc>
        <w:tc>
          <w:tcPr>
            <w:tcW w:w="615" w:type="dxa"/>
            <w:vAlign w:val="center"/>
          </w:tcPr>
          <w:p w14:paraId="7764BB9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9A5926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46D682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八条：违反本法规定，中标的测绘单位向他人转让测绘项目的，责令改正，没收违法所得，处测绘约定报酬一倍以上二倍以下的罚款，并可以责令停业整顿或者降低测绘资质等级；情节严重的，吊销测绘资质证书。</w:t>
            </w:r>
          </w:p>
          <w:p w14:paraId="063305B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20E5509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中标的测绘单位向他人转让测绘项目的情况，应及时制止（对正在实施的违法行为，下达《责令停止违法行为通知书》）,并进行审查核实，符合立案条件的予以立案。</w:t>
            </w:r>
          </w:p>
          <w:p w14:paraId="1508F53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2.调查责任：执法人员不得少于两人，出示证件、表明身份；通过搜集证据、现场了解核实中标的测绘单位向他人转让测绘项目的情况，并制作笔录。调查时允许当事人辩解陈述。执法人员应保守有关秘密。</w:t>
            </w:r>
          </w:p>
          <w:p w14:paraId="29B4494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3362E1C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37054DC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中标的测绘单位向他人转让测绘项目的事实进行认定，依法制作《行政处罚决定书》，载明违反法律法规或规章的事实和证据、行政处罚的具体依据和内容，告知当事人陈述申辩或者听证情况等内容，告知申请行政复议或提起行政诉讼的权利。</w:t>
            </w:r>
          </w:p>
          <w:p w14:paraId="74D625A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2F4F9D5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36AFA64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8D88B6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E09239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FD03E6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094CBA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736803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B20680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BE9E1F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14998AF">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EA21CB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F696DB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EF2FFC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86E0BE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C4AAEA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FBA43B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ECEBE5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67DDCC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B88D8F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D49817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87DEE2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038D2D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5579D85">
            <w:pPr>
              <w:snapToGrid w:val="0"/>
              <w:spacing w:line="240" w:lineRule="atLeast"/>
              <w:jc w:val="center"/>
              <w:rPr>
                <w:rFonts w:ascii="仿宋_GB2312" w:hAnsi="仿宋_GB2312" w:eastAsia="仿宋_GB2312" w:cs="仿宋_GB2312"/>
                <w:sz w:val="20"/>
                <w:szCs w:val="20"/>
              </w:rPr>
            </w:pPr>
          </w:p>
        </w:tc>
      </w:tr>
    </w:tbl>
    <w:p w14:paraId="04FE7D93"/>
    <w:p w14:paraId="3BA92C1F"/>
    <w:p w14:paraId="237B5246"/>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D82E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B0808F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698C204">
            <w:pPr>
              <w:spacing w:line="240" w:lineRule="atLeast"/>
              <w:rPr>
                <w:rFonts w:asciiTheme="majorEastAsia" w:hAnsiTheme="majorEastAsia" w:eastAsiaTheme="majorEastAsia" w:cstheme="majorEastAsia"/>
                <w:spacing w:val="-20"/>
                <w:sz w:val="20"/>
                <w:szCs w:val="20"/>
              </w:rPr>
            </w:pPr>
          </w:p>
          <w:p w14:paraId="22D4A53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2BE9F7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3B7095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277F07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B172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645BC44">
            <w:pPr>
              <w:spacing w:line="240" w:lineRule="atLeast"/>
              <w:jc w:val="left"/>
              <w:rPr>
                <w:rFonts w:ascii="仿宋_GB2312" w:hAnsi="仿宋_GB2312" w:eastAsia="仿宋_GB2312" w:cs="仿宋_GB2312"/>
                <w:sz w:val="20"/>
                <w:szCs w:val="20"/>
              </w:rPr>
            </w:pPr>
          </w:p>
        </w:tc>
        <w:tc>
          <w:tcPr>
            <w:tcW w:w="555" w:type="dxa"/>
            <w:vMerge w:val="continue"/>
          </w:tcPr>
          <w:p w14:paraId="398D90E2">
            <w:pPr>
              <w:spacing w:line="240" w:lineRule="atLeast"/>
              <w:jc w:val="left"/>
              <w:rPr>
                <w:rFonts w:ascii="仿宋_GB2312" w:hAnsi="仿宋_GB2312" w:eastAsia="仿宋_GB2312" w:cs="仿宋_GB2312"/>
                <w:sz w:val="20"/>
                <w:szCs w:val="20"/>
              </w:rPr>
            </w:pPr>
          </w:p>
        </w:tc>
        <w:tc>
          <w:tcPr>
            <w:tcW w:w="784" w:type="dxa"/>
            <w:vAlign w:val="center"/>
          </w:tcPr>
          <w:p w14:paraId="7A7FC52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5CF18C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F0368C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EA5812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AA7E38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2FC32F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087B0B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882D8A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DF0A9F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E78254D">
            <w:pPr>
              <w:spacing w:line="240" w:lineRule="atLeast"/>
              <w:jc w:val="left"/>
              <w:rPr>
                <w:rFonts w:ascii="仿宋_GB2312" w:hAnsi="仿宋_GB2312" w:eastAsia="仿宋_GB2312" w:cs="仿宋_GB2312"/>
                <w:sz w:val="20"/>
                <w:szCs w:val="20"/>
              </w:rPr>
            </w:pPr>
          </w:p>
        </w:tc>
      </w:tr>
      <w:tr w14:paraId="451DB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B519A6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148</w:t>
            </w:r>
          </w:p>
        </w:tc>
        <w:tc>
          <w:tcPr>
            <w:tcW w:w="555" w:type="dxa"/>
            <w:vAlign w:val="center"/>
          </w:tcPr>
          <w:p w14:paraId="6947D04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FF3922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D4A46E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F5048D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对未取得测绘执业资格，擅自从事测绘活动行为的处罚</w:t>
            </w:r>
          </w:p>
        </w:tc>
        <w:tc>
          <w:tcPr>
            <w:tcW w:w="660" w:type="dxa"/>
            <w:vAlign w:val="center"/>
          </w:tcPr>
          <w:p w14:paraId="0405EA02">
            <w:pPr>
              <w:snapToGrid w:val="0"/>
              <w:spacing w:line="240" w:lineRule="atLeast"/>
              <w:jc w:val="center"/>
              <w:rPr>
                <w:rFonts w:ascii="仿宋_GB2312" w:hAnsi="仿宋_GB2312" w:eastAsia="仿宋_GB2312" w:cs="仿宋_GB2312"/>
                <w:sz w:val="20"/>
                <w:szCs w:val="20"/>
              </w:rPr>
            </w:pPr>
          </w:p>
        </w:tc>
        <w:tc>
          <w:tcPr>
            <w:tcW w:w="615" w:type="dxa"/>
            <w:vAlign w:val="center"/>
          </w:tcPr>
          <w:p w14:paraId="0BA3DBF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C03851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C188F1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九条：违反本法规定，未取得测绘执业资格，擅自从事测绘活动的，责令停止违法行为，没收违法所得和测绘成果，对其所在单位可以处违法所得二倍以下的罚款；情节严重的，没收测绘工具；造成损失的，依法承担赔偿责任。</w:t>
            </w:r>
          </w:p>
          <w:p w14:paraId="601484A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0721DFB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未取得测绘执业资格，擅自从事测绘活动的情况，应及时制止（对正在实施的违法行为，下达《责令停止违法行为通知书》）,并进行审查核实，符合立案条件的予以立案。</w:t>
            </w:r>
          </w:p>
          <w:p w14:paraId="32D36B0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2.调查责任：执法人员不得少于两人，出示证件、表明身份；通过搜集证据、现场了解核实未取得测绘执业资格，擅自从事测绘活动的情况，并制作笔录。调查时允许当事人辩解陈述。执法人员应保守有关秘密。</w:t>
            </w:r>
          </w:p>
          <w:p w14:paraId="568003D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1589442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7388464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未取得测绘执业资格，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14:paraId="6BC811A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2E3175D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4D5FAE8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0EAD49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5199DB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ACA569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2423F3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D7B3B5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6A498F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EA966F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42116B4">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C33ECA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C84029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B4376F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31D7A2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1F76AF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AA94CA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08D85F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01CC3D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3F2911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CC746E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793837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249FB6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F05ACB1">
            <w:pPr>
              <w:snapToGrid w:val="0"/>
              <w:spacing w:line="240" w:lineRule="atLeast"/>
              <w:jc w:val="center"/>
              <w:rPr>
                <w:rFonts w:ascii="仿宋_GB2312" w:hAnsi="仿宋_GB2312" w:eastAsia="仿宋_GB2312" w:cs="仿宋_GB2312"/>
                <w:sz w:val="20"/>
                <w:szCs w:val="20"/>
              </w:rPr>
            </w:pPr>
          </w:p>
        </w:tc>
      </w:tr>
    </w:tbl>
    <w:p w14:paraId="4F5CECD8"/>
    <w:p w14:paraId="7DD53CDB"/>
    <w:p w14:paraId="2D737267"/>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994"/>
        <w:gridCol w:w="615"/>
        <w:gridCol w:w="630"/>
        <w:gridCol w:w="1155"/>
        <w:gridCol w:w="4380"/>
        <w:gridCol w:w="3585"/>
        <w:gridCol w:w="9515"/>
        <w:gridCol w:w="330"/>
      </w:tblGrid>
      <w:tr w14:paraId="3CE80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3BE1AE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C91161C">
            <w:pPr>
              <w:spacing w:line="240" w:lineRule="atLeast"/>
              <w:rPr>
                <w:rFonts w:asciiTheme="majorEastAsia" w:hAnsiTheme="majorEastAsia" w:eastAsiaTheme="majorEastAsia" w:cstheme="majorEastAsia"/>
                <w:spacing w:val="-20"/>
                <w:sz w:val="20"/>
                <w:szCs w:val="20"/>
              </w:rPr>
            </w:pPr>
          </w:p>
          <w:p w14:paraId="1402170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C23FF8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81782A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0DF926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65DF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E52C6DE">
            <w:pPr>
              <w:spacing w:line="240" w:lineRule="atLeast"/>
              <w:jc w:val="left"/>
              <w:rPr>
                <w:rFonts w:ascii="仿宋_GB2312" w:hAnsi="仿宋_GB2312" w:eastAsia="仿宋_GB2312" w:cs="仿宋_GB2312"/>
                <w:sz w:val="20"/>
                <w:szCs w:val="20"/>
              </w:rPr>
            </w:pPr>
          </w:p>
        </w:tc>
        <w:tc>
          <w:tcPr>
            <w:tcW w:w="555" w:type="dxa"/>
            <w:vMerge w:val="continue"/>
          </w:tcPr>
          <w:p w14:paraId="2B97D273">
            <w:pPr>
              <w:spacing w:line="240" w:lineRule="atLeast"/>
              <w:jc w:val="left"/>
              <w:rPr>
                <w:rFonts w:ascii="仿宋_GB2312" w:hAnsi="仿宋_GB2312" w:eastAsia="仿宋_GB2312" w:cs="仿宋_GB2312"/>
                <w:sz w:val="20"/>
                <w:szCs w:val="20"/>
              </w:rPr>
            </w:pPr>
          </w:p>
        </w:tc>
        <w:tc>
          <w:tcPr>
            <w:tcW w:w="994" w:type="dxa"/>
            <w:vAlign w:val="center"/>
          </w:tcPr>
          <w:p w14:paraId="2065820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736A73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15" w:type="dxa"/>
            <w:vAlign w:val="center"/>
          </w:tcPr>
          <w:p w14:paraId="27E8FBE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30" w:type="dxa"/>
            <w:vAlign w:val="center"/>
          </w:tcPr>
          <w:p w14:paraId="1FC7E39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55" w:type="dxa"/>
            <w:vAlign w:val="center"/>
          </w:tcPr>
          <w:p w14:paraId="0BFD3456">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380" w:type="dxa"/>
            <w:vAlign w:val="center"/>
          </w:tcPr>
          <w:p w14:paraId="45EB6EF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39C8FC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70EFCA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BA4F16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94E9802">
            <w:pPr>
              <w:spacing w:line="240" w:lineRule="atLeast"/>
              <w:jc w:val="left"/>
              <w:rPr>
                <w:rFonts w:ascii="仿宋_GB2312" w:hAnsi="仿宋_GB2312" w:eastAsia="仿宋_GB2312" w:cs="仿宋_GB2312"/>
                <w:sz w:val="20"/>
                <w:szCs w:val="20"/>
              </w:rPr>
            </w:pPr>
          </w:p>
        </w:tc>
      </w:tr>
      <w:tr w14:paraId="0A03C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4BCA2A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149</w:t>
            </w:r>
          </w:p>
        </w:tc>
        <w:tc>
          <w:tcPr>
            <w:tcW w:w="555" w:type="dxa"/>
            <w:vAlign w:val="center"/>
          </w:tcPr>
          <w:p w14:paraId="0487CA6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967E3B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CB6858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994" w:type="dxa"/>
            <w:vAlign w:val="center"/>
          </w:tcPr>
          <w:p w14:paraId="51C7A8C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对不汇交测绘成果资料的，测绘项目出资人逾期不汇交的，承担国家投资的测绘项目的单位逾期不汇交的，自暂扣测绘资质证书之日起六个月内仍不汇交行为的处罚</w:t>
            </w:r>
          </w:p>
        </w:tc>
        <w:tc>
          <w:tcPr>
            <w:tcW w:w="615" w:type="dxa"/>
            <w:vAlign w:val="center"/>
          </w:tcPr>
          <w:p w14:paraId="47624291">
            <w:pPr>
              <w:snapToGrid w:val="0"/>
              <w:spacing w:line="240" w:lineRule="atLeast"/>
              <w:jc w:val="center"/>
              <w:rPr>
                <w:rFonts w:ascii="仿宋_GB2312" w:hAnsi="仿宋_GB2312" w:eastAsia="仿宋_GB2312" w:cs="仿宋_GB2312"/>
                <w:sz w:val="20"/>
                <w:szCs w:val="20"/>
              </w:rPr>
            </w:pPr>
          </w:p>
        </w:tc>
        <w:tc>
          <w:tcPr>
            <w:tcW w:w="630" w:type="dxa"/>
            <w:vAlign w:val="center"/>
          </w:tcPr>
          <w:p w14:paraId="2F026B4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55" w:type="dxa"/>
            <w:vAlign w:val="center"/>
          </w:tcPr>
          <w:p w14:paraId="32AAC64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380" w:type="dxa"/>
            <w:vAlign w:val="center"/>
          </w:tcPr>
          <w:p w14:paraId="534ACBA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法律】《中华人民共和国测绘法》第六十条：违反本法规定，不汇交测绘成果资料的，责令限期汇交；测绘项目出资人逾期不汇交的，处重测所需费用一倍以上二倍以下的罚款；承担国家投资的测绘项目的单位逾期不汇交的，处五万元以上二十万元以下的罚款，并处暂扣测绘资质证书，自暂扣测绘资质证书之日起六个月内仍不汇交的，吊销测绘资质证书；对直接负责的主管人员和其他直接责任人员，依法给予处分。</w:t>
            </w:r>
          </w:p>
        </w:tc>
        <w:tc>
          <w:tcPr>
            <w:tcW w:w="3585" w:type="dxa"/>
            <w:vAlign w:val="center"/>
          </w:tcPr>
          <w:p w14:paraId="07E8726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不汇交测绘成果资料，测绘项目出资人逾期不汇交的，承担国家投资的测绘项目的单位逾期不汇交的，自暂扣测绘资质证书之日起六个月内仍不汇交的情况，应及时制止（对正在实施的违法行为，下达《责令停止违法行为通知书》）,并进行审查核实，符合立案条件的予以立案。</w:t>
            </w:r>
          </w:p>
          <w:p w14:paraId="7F4C823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不汇交测绘成果资料，测绘项目出资人逾期不汇交的，承担国家投资的测绘项目的单位逾期不汇交的，自暂扣测绘资质证书之日起六个月内仍不汇的情况，并制作笔录。调查时允许当事人辩解陈述。执法人员应保守有关秘密。</w:t>
            </w:r>
          </w:p>
          <w:p w14:paraId="14617F6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229C8DF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6370108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不汇交测绘成果资料，测绘项目出资人逾期不汇交的，承担国家投资的测绘项目的单位逾期不汇交的，自暂扣测绘资质证书之日起六个月内仍不汇交的事实进行认定，依法制作《行政处罚决定书》，载明违反法律法规或规章的事实和证据、行政处罚的具体依据和内容，告知当事人陈述申辩或者听证情况等内容，告知申请行政复议或提起行政诉讼的权利。</w:t>
            </w:r>
          </w:p>
          <w:p w14:paraId="5F4B38B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538B201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021743A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400209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50A1CE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9AF10C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1B90A2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1F8AF0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D5FD91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7BDB87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176BCA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4BAD7C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CD3CD1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6BAB1F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1DD3FC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6D8FC5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C49239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2D1BB3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B03D1E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6B1754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9F682A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5C3931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E740B5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7BC00C7">
            <w:pPr>
              <w:snapToGrid w:val="0"/>
              <w:spacing w:line="240" w:lineRule="atLeast"/>
              <w:jc w:val="center"/>
              <w:rPr>
                <w:rFonts w:ascii="仿宋_GB2312" w:hAnsi="仿宋_GB2312" w:eastAsia="仿宋_GB2312" w:cs="仿宋_GB2312"/>
                <w:sz w:val="20"/>
                <w:szCs w:val="20"/>
              </w:rPr>
            </w:pPr>
          </w:p>
        </w:tc>
      </w:tr>
    </w:tbl>
    <w:p w14:paraId="0E4A46D2"/>
    <w:p w14:paraId="32382F9E"/>
    <w:p w14:paraId="32BDC2AB"/>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1614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EC18EB3">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5369F10">
            <w:pPr>
              <w:spacing w:line="240" w:lineRule="atLeast"/>
              <w:rPr>
                <w:rFonts w:asciiTheme="majorEastAsia" w:hAnsiTheme="majorEastAsia" w:eastAsiaTheme="majorEastAsia" w:cstheme="majorEastAsia"/>
                <w:spacing w:val="-20"/>
                <w:sz w:val="20"/>
                <w:szCs w:val="20"/>
              </w:rPr>
            </w:pPr>
          </w:p>
          <w:p w14:paraId="55E1462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47426C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33682E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FAC8ED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676E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883F048">
            <w:pPr>
              <w:spacing w:line="240" w:lineRule="atLeast"/>
              <w:jc w:val="left"/>
              <w:rPr>
                <w:rFonts w:ascii="仿宋_GB2312" w:hAnsi="仿宋_GB2312" w:eastAsia="仿宋_GB2312" w:cs="仿宋_GB2312"/>
                <w:sz w:val="20"/>
                <w:szCs w:val="20"/>
              </w:rPr>
            </w:pPr>
          </w:p>
        </w:tc>
        <w:tc>
          <w:tcPr>
            <w:tcW w:w="555" w:type="dxa"/>
            <w:vMerge w:val="continue"/>
          </w:tcPr>
          <w:p w14:paraId="7A9B3A13">
            <w:pPr>
              <w:spacing w:line="240" w:lineRule="atLeast"/>
              <w:jc w:val="left"/>
              <w:rPr>
                <w:rFonts w:ascii="仿宋_GB2312" w:hAnsi="仿宋_GB2312" w:eastAsia="仿宋_GB2312" w:cs="仿宋_GB2312"/>
                <w:sz w:val="20"/>
                <w:szCs w:val="20"/>
              </w:rPr>
            </w:pPr>
          </w:p>
        </w:tc>
        <w:tc>
          <w:tcPr>
            <w:tcW w:w="784" w:type="dxa"/>
            <w:vAlign w:val="center"/>
          </w:tcPr>
          <w:p w14:paraId="67CC6A1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C9A7C6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67D94B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071762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86AFA9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960CC5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B0A5D7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7690CE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BAA6D9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974CF92">
            <w:pPr>
              <w:spacing w:line="240" w:lineRule="atLeast"/>
              <w:jc w:val="left"/>
              <w:rPr>
                <w:rFonts w:ascii="仿宋_GB2312" w:hAnsi="仿宋_GB2312" w:eastAsia="仿宋_GB2312" w:cs="仿宋_GB2312"/>
                <w:sz w:val="20"/>
                <w:szCs w:val="20"/>
              </w:rPr>
            </w:pPr>
          </w:p>
        </w:tc>
      </w:tr>
      <w:tr w14:paraId="2935B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17041A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150</w:t>
            </w:r>
          </w:p>
        </w:tc>
        <w:tc>
          <w:tcPr>
            <w:tcW w:w="555" w:type="dxa"/>
            <w:vAlign w:val="center"/>
          </w:tcPr>
          <w:p w14:paraId="2505AE6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F73B26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356986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EA6DAD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对擅自发布中华人民共和国领域和中华人民共和国管辖的其他海域的重要地理信息数据行为的处罚</w:t>
            </w:r>
          </w:p>
        </w:tc>
        <w:tc>
          <w:tcPr>
            <w:tcW w:w="660" w:type="dxa"/>
            <w:vAlign w:val="center"/>
          </w:tcPr>
          <w:p w14:paraId="4F7FCDB4">
            <w:pPr>
              <w:snapToGrid w:val="0"/>
              <w:spacing w:line="240" w:lineRule="atLeast"/>
              <w:jc w:val="center"/>
              <w:rPr>
                <w:rFonts w:ascii="仿宋_GB2312" w:hAnsi="仿宋_GB2312" w:eastAsia="仿宋_GB2312" w:cs="仿宋_GB2312"/>
                <w:sz w:val="20"/>
                <w:szCs w:val="20"/>
              </w:rPr>
            </w:pPr>
          </w:p>
        </w:tc>
        <w:tc>
          <w:tcPr>
            <w:tcW w:w="615" w:type="dxa"/>
            <w:vAlign w:val="center"/>
          </w:tcPr>
          <w:p w14:paraId="08E67BA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89446B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49CFC8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六十一条：违反本法规定，擅自发布中华人民共和国领域和中华人民共和国管辖的其他海域的重要地理信息数据的，给予警告，责令改正，可以并处五十万元以下的罚款；对直接负责的主管人员和其他直接责任人员，依法给予处分；构成犯罪的，依法追究刑事责任。</w:t>
            </w:r>
          </w:p>
          <w:p w14:paraId="76540D4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2346703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擅自发布中华人民共和国领域和中华人民共和国管辖的其他海域的重要地理信息数据的情况，应及时制止（对正在实施的违法行为，下达《责令停止违法行为通知书》）,并进行审查核实，符合立案条件的予以立案。</w:t>
            </w:r>
          </w:p>
          <w:p w14:paraId="3DC8121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擅自发布中华人民共和国领域和中华人民共和国管辖的其他海域的重要地理信息数据的情况，并制作笔录。调查时允许当事人辩解陈述。执法人员应保守有关秘密。</w:t>
            </w:r>
          </w:p>
          <w:p w14:paraId="4386727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0ECA0A5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693170A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擅自发布我国领域和管辖的其他海域的重要地理信息数据的事实进行认定，依法制作《行政处罚决定书》，载明违反法律法规或规章的事实和证据、行政处罚的具体依据和内容，告知当事人陈述申辩或者听证情况等内容，告知申请行政复议或提起行政诉讼的权力。</w:t>
            </w:r>
          </w:p>
          <w:p w14:paraId="02F528B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7747D9C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7AD4148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A9E90B9">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D051761">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EA9215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F3837A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F3246D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C40AC1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FFA109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B84377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4CCCA3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1202BA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E19DD2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7D5E3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0FA40C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B74F2A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782F20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385908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E65BE5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6D1EA0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9D466A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D7D39D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2E97796">
            <w:pPr>
              <w:snapToGrid w:val="0"/>
              <w:spacing w:line="240" w:lineRule="atLeast"/>
              <w:jc w:val="center"/>
              <w:rPr>
                <w:rFonts w:ascii="仿宋_GB2312" w:hAnsi="仿宋_GB2312" w:eastAsia="仿宋_GB2312" w:cs="仿宋_GB2312"/>
                <w:sz w:val="20"/>
                <w:szCs w:val="20"/>
              </w:rPr>
            </w:pPr>
          </w:p>
        </w:tc>
      </w:tr>
    </w:tbl>
    <w:p w14:paraId="5C678866"/>
    <w:p w14:paraId="55CE33D6"/>
    <w:p w14:paraId="066C68D6"/>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13C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825D79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EBDD73D">
            <w:pPr>
              <w:spacing w:line="240" w:lineRule="atLeast"/>
              <w:rPr>
                <w:rFonts w:asciiTheme="majorEastAsia" w:hAnsiTheme="majorEastAsia" w:eastAsiaTheme="majorEastAsia" w:cstheme="majorEastAsia"/>
                <w:spacing w:val="-20"/>
                <w:sz w:val="20"/>
                <w:szCs w:val="20"/>
              </w:rPr>
            </w:pPr>
          </w:p>
          <w:p w14:paraId="7A3CD32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840C29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30D8D8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56C2B5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AE33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CB71DCF">
            <w:pPr>
              <w:spacing w:line="240" w:lineRule="atLeast"/>
              <w:jc w:val="left"/>
              <w:rPr>
                <w:rFonts w:ascii="仿宋_GB2312" w:hAnsi="仿宋_GB2312" w:eastAsia="仿宋_GB2312" w:cs="仿宋_GB2312"/>
                <w:sz w:val="20"/>
                <w:szCs w:val="20"/>
              </w:rPr>
            </w:pPr>
          </w:p>
        </w:tc>
        <w:tc>
          <w:tcPr>
            <w:tcW w:w="555" w:type="dxa"/>
            <w:vMerge w:val="continue"/>
          </w:tcPr>
          <w:p w14:paraId="08BD66DB">
            <w:pPr>
              <w:spacing w:line="240" w:lineRule="atLeast"/>
              <w:jc w:val="left"/>
              <w:rPr>
                <w:rFonts w:ascii="仿宋_GB2312" w:hAnsi="仿宋_GB2312" w:eastAsia="仿宋_GB2312" w:cs="仿宋_GB2312"/>
                <w:sz w:val="20"/>
                <w:szCs w:val="20"/>
              </w:rPr>
            </w:pPr>
          </w:p>
        </w:tc>
        <w:tc>
          <w:tcPr>
            <w:tcW w:w="784" w:type="dxa"/>
            <w:vAlign w:val="center"/>
          </w:tcPr>
          <w:p w14:paraId="5B23221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D5B29F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F633A5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EFB75E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9C9A8F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9C3B58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59A42C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F83600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275314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6768EB7">
            <w:pPr>
              <w:spacing w:line="240" w:lineRule="atLeast"/>
              <w:jc w:val="left"/>
              <w:rPr>
                <w:rFonts w:ascii="仿宋_GB2312" w:hAnsi="仿宋_GB2312" w:eastAsia="仿宋_GB2312" w:cs="仿宋_GB2312"/>
                <w:sz w:val="20"/>
                <w:szCs w:val="20"/>
              </w:rPr>
            </w:pPr>
          </w:p>
        </w:tc>
      </w:tr>
      <w:tr w14:paraId="5C9F3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5D8320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151</w:t>
            </w:r>
          </w:p>
        </w:tc>
        <w:tc>
          <w:tcPr>
            <w:tcW w:w="555" w:type="dxa"/>
            <w:vAlign w:val="center"/>
          </w:tcPr>
          <w:p w14:paraId="3126531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ABF526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BAE917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01E703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在对社会公众有影响的活动中使用未经依法公布的重要地理信息数据行为的处罚</w:t>
            </w:r>
          </w:p>
        </w:tc>
        <w:tc>
          <w:tcPr>
            <w:tcW w:w="660" w:type="dxa"/>
            <w:vAlign w:val="center"/>
          </w:tcPr>
          <w:p w14:paraId="070AC887">
            <w:pPr>
              <w:snapToGrid w:val="0"/>
              <w:spacing w:line="240" w:lineRule="atLeast"/>
              <w:jc w:val="center"/>
              <w:rPr>
                <w:rFonts w:ascii="仿宋_GB2312" w:hAnsi="仿宋_GB2312" w:eastAsia="仿宋_GB2312" w:cs="仿宋_GB2312"/>
                <w:sz w:val="20"/>
                <w:szCs w:val="20"/>
              </w:rPr>
            </w:pPr>
          </w:p>
        </w:tc>
        <w:tc>
          <w:tcPr>
            <w:tcW w:w="615" w:type="dxa"/>
            <w:vAlign w:val="center"/>
          </w:tcPr>
          <w:p w14:paraId="03B0DC7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ABCBAF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4C9843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中华人民共和国测绘成果管理条例》（2006年国务院令第469号）第二十九条：违反本条例规定，有下列行为之一的，由测绘行政主管部门或者其他有关部门依据职责责令改正，给予警告，可处10万元以下的罚款；对直接负责的主管人员和其他直接责任人员，依法给予处分：</w:t>
            </w:r>
          </w:p>
          <w:p w14:paraId="39E4FEA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（三）在对社会公众有影响的活动中使用未经依法公布的重要地理信息数据的。</w:t>
            </w:r>
          </w:p>
        </w:tc>
        <w:tc>
          <w:tcPr>
            <w:tcW w:w="3585" w:type="dxa"/>
            <w:vAlign w:val="center"/>
          </w:tcPr>
          <w:p w14:paraId="725AB97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在对社会公众有影响的活动中使用未经依法公布的重要地理信息数据的情况，应及时制止（对正在实施的违法行为，下达《责令停止违法行为通知书》）,并进行审查核实，符合立案条件的予以立案。</w:t>
            </w:r>
          </w:p>
          <w:p w14:paraId="5044877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在对社会公众有影响的活动中使用未经依法公布的重要地理信息数据的情况，并制作笔录。调查时允许当事人辩解陈述。执法人员应保守有关秘密。</w:t>
            </w:r>
          </w:p>
          <w:p w14:paraId="16F0BF4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1A494C4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75CDA9A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对社会公众有影响的活动中使用未经依法公布的重要地理信息数据的事实进行认定，依法制作《行政处罚决定书》，载明违反法律法规或规章的事实和证据、行政处罚的具体依据和内容，告知当事人陈述申辩或者听证情况等内容，告知申请行政复议或提起行政诉讼的权力。</w:t>
            </w:r>
          </w:p>
          <w:p w14:paraId="0FE2063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11A38F8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664B0D7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64B25C9">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F6B909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DD7270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66FEEC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757675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0983BF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333C3E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35AA38F">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934895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9341B0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02353B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0229A3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512F49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455847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7DCAAC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C7FE7F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11F3FB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F7893E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21733D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5029D9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1DEEAC3">
            <w:pPr>
              <w:snapToGrid w:val="0"/>
              <w:spacing w:line="240" w:lineRule="atLeast"/>
              <w:jc w:val="center"/>
              <w:rPr>
                <w:rFonts w:ascii="仿宋_GB2312" w:hAnsi="仿宋_GB2312" w:eastAsia="仿宋_GB2312" w:cs="仿宋_GB2312"/>
                <w:sz w:val="20"/>
                <w:szCs w:val="20"/>
              </w:rPr>
            </w:pPr>
          </w:p>
        </w:tc>
      </w:tr>
    </w:tbl>
    <w:p w14:paraId="2BEAA68E"/>
    <w:p w14:paraId="66EFC258"/>
    <w:p w14:paraId="012500D7"/>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169F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C90888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9B8ADEE">
            <w:pPr>
              <w:spacing w:line="240" w:lineRule="atLeast"/>
              <w:rPr>
                <w:rFonts w:asciiTheme="majorEastAsia" w:hAnsiTheme="majorEastAsia" w:eastAsiaTheme="majorEastAsia" w:cstheme="majorEastAsia"/>
                <w:spacing w:val="-20"/>
                <w:sz w:val="20"/>
                <w:szCs w:val="20"/>
              </w:rPr>
            </w:pPr>
          </w:p>
          <w:p w14:paraId="4D1655A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4B4E42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08F497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0D6D0E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5535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A663AF5">
            <w:pPr>
              <w:spacing w:line="240" w:lineRule="atLeast"/>
              <w:jc w:val="left"/>
              <w:rPr>
                <w:rFonts w:ascii="仿宋_GB2312" w:hAnsi="仿宋_GB2312" w:eastAsia="仿宋_GB2312" w:cs="仿宋_GB2312"/>
                <w:sz w:val="20"/>
                <w:szCs w:val="20"/>
              </w:rPr>
            </w:pPr>
          </w:p>
        </w:tc>
        <w:tc>
          <w:tcPr>
            <w:tcW w:w="555" w:type="dxa"/>
            <w:vMerge w:val="continue"/>
          </w:tcPr>
          <w:p w14:paraId="786AB43C">
            <w:pPr>
              <w:spacing w:line="240" w:lineRule="atLeast"/>
              <w:jc w:val="left"/>
              <w:rPr>
                <w:rFonts w:ascii="仿宋_GB2312" w:hAnsi="仿宋_GB2312" w:eastAsia="仿宋_GB2312" w:cs="仿宋_GB2312"/>
                <w:sz w:val="20"/>
                <w:szCs w:val="20"/>
              </w:rPr>
            </w:pPr>
          </w:p>
        </w:tc>
        <w:tc>
          <w:tcPr>
            <w:tcW w:w="784" w:type="dxa"/>
            <w:vAlign w:val="center"/>
          </w:tcPr>
          <w:p w14:paraId="34B3D46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BD165A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784834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CBFB55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7E802B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F876E7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125B03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5AC19D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503708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D94E823">
            <w:pPr>
              <w:spacing w:line="240" w:lineRule="atLeast"/>
              <w:jc w:val="left"/>
              <w:rPr>
                <w:rFonts w:ascii="仿宋_GB2312" w:hAnsi="仿宋_GB2312" w:eastAsia="仿宋_GB2312" w:cs="仿宋_GB2312"/>
                <w:sz w:val="20"/>
                <w:szCs w:val="20"/>
              </w:rPr>
            </w:pPr>
          </w:p>
        </w:tc>
      </w:tr>
      <w:tr w14:paraId="4C7B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5D4763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152</w:t>
            </w:r>
          </w:p>
        </w:tc>
        <w:tc>
          <w:tcPr>
            <w:tcW w:w="555" w:type="dxa"/>
            <w:vAlign w:val="center"/>
          </w:tcPr>
          <w:p w14:paraId="1EBC7F2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8933CC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3B1B21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59590D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对未在地图的适当位置显著标注审图号，或者未按照有关规定送交样本行为的处罚</w:t>
            </w:r>
          </w:p>
        </w:tc>
        <w:tc>
          <w:tcPr>
            <w:tcW w:w="660" w:type="dxa"/>
            <w:vAlign w:val="center"/>
          </w:tcPr>
          <w:p w14:paraId="608A22E7">
            <w:pPr>
              <w:snapToGrid w:val="0"/>
              <w:spacing w:line="240" w:lineRule="atLeast"/>
              <w:jc w:val="center"/>
              <w:rPr>
                <w:rFonts w:ascii="仿宋_GB2312" w:hAnsi="仿宋_GB2312" w:eastAsia="仿宋_GB2312" w:cs="仿宋_GB2312"/>
                <w:sz w:val="20"/>
                <w:szCs w:val="20"/>
              </w:rPr>
            </w:pPr>
          </w:p>
        </w:tc>
        <w:tc>
          <w:tcPr>
            <w:tcW w:w="615" w:type="dxa"/>
            <w:vAlign w:val="center"/>
          </w:tcPr>
          <w:p w14:paraId="44F985F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5F67C4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3F2BF8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六十二条：违反本法规定，编制、出版、展示、登载、更新的地图或者互联网地图服务不符合国家有关地图管理规定的，依法给予行政处罚、处分；构成犯罪的，依法追究刑事责任。</w:t>
            </w:r>
          </w:p>
          <w:p w14:paraId="2FCF8EE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2.【行政法规】《地图管理条例》（2015年国务院令第664号） 第五十三条：违反本条例规定，未在地图的适当位置显著标注审图号，或者未按照有关规定送交样本的，责令改正，给予警告；情节严重的，责令停业整顿，降低资质等级或者吊销测绘资质证书。</w:t>
            </w:r>
          </w:p>
        </w:tc>
        <w:tc>
          <w:tcPr>
            <w:tcW w:w="3585" w:type="dxa"/>
            <w:vAlign w:val="center"/>
          </w:tcPr>
          <w:p w14:paraId="067CCE2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未在地图的适当位置显著标注审图号，或者未按照有关规定送交样本的情况，应及时制止（对正在实施的违法行为，下达《责令停止违法行为通知书》）,并进行审查核实，符合立案条件的予以立案。</w:t>
            </w:r>
          </w:p>
          <w:p w14:paraId="4ECA104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行政执法人员不得少于两人，出示证件、表明身份；通过搜集证据、现场了解核实未在地图的适当位置显著标注审图号，或者未按照有关规定送交样本的情况，并制作笔录。调查时允许当事人辩解陈述。执法人员应保守有关秘密。</w:t>
            </w:r>
          </w:p>
          <w:p w14:paraId="5C1374F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3.审查责任：对调查结果进行审核；提出是否给予当事人行政处罚和给予何种处罚的意见。</w:t>
            </w:r>
          </w:p>
          <w:p w14:paraId="71E6A64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27A853A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未在地图的适当位置显著标注审图号，或者未按照有关规定送交样本的事实进行认定，依法制作《行政处罚决定书》，载明违反法律法规或规章的事实和证据、行政处罚具体的依据和内容，告知当事人陈述申辩或者听证情况等内容， 告知申请行政复议或提起行政诉讼的权力。</w:t>
            </w:r>
          </w:p>
          <w:p w14:paraId="2153C8B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76C5A03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17A5D5D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28A7336">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B4D275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0ABB9F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10EE4D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A2164A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E3BD52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8C7546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94EBD0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2B08CF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7BE925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D6CA7B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15747D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F53B8B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7B27BB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EC5E75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E301EC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F54460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F96A09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00C2B7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1ACA41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1127F21">
            <w:pPr>
              <w:snapToGrid w:val="0"/>
              <w:spacing w:line="240" w:lineRule="atLeast"/>
              <w:jc w:val="center"/>
              <w:rPr>
                <w:rFonts w:ascii="仿宋_GB2312" w:hAnsi="仿宋_GB2312" w:eastAsia="仿宋_GB2312" w:cs="仿宋_GB2312"/>
                <w:sz w:val="20"/>
                <w:szCs w:val="20"/>
              </w:rPr>
            </w:pPr>
          </w:p>
        </w:tc>
      </w:tr>
    </w:tbl>
    <w:p w14:paraId="2A216D7E"/>
    <w:p w14:paraId="1747BD38"/>
    <w:p w14:paraId="2B78252C"/>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07E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6B5BA6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3518407">
            <w:pPr>
              <w:spacing w:line="240" w:lineRule="atLeast"/>
              <w:rPr>
                <w:rFonts w:asciiTheme="majorEastAsia" w:hAnsiTheme="majorEastAsia" w:eastAsiaTheme="majorEastAsia" w:cstheme="majorEastAsia"/>
                <w:spacing w:val="-20"/>
                <w:sz w:val="20"/>
                <w:szCs w:val="20"/>
              </w:rPr>
            </w:pPr>
          </w:p>
          <w:p w14:paraId="319A1CD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575802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B9F98B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8B2B7F8">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DFB7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8E61C9F">
            <w:pPr>
              <w:spacing w:line="240" w:lineRule="atLeast"/>
              <w:jc w:val="left"/>
              <w:rPr>
                <w:rFonts w:ascii="仿宋_GB2312" w:hAnsi="仿宋_GB2312" w:eastAsia="仿宋_GB2312" w:cs="仿宋_GB2312"/>
                <w:sz w:val="20"/>
                <w:szCs w:val="20"/>
              </w:rPr>
            </w:pPr>
          </w:p>
        </w:tc>
        <w:tc>
          <w:tcPr>
            <w:tcW w:w="555" w:type="dxa"/>
            <w:vMerge w:val="continue"/>
          </w:tcPr>
          <w:p w14:paraId="650ED9A4">
            <w:pPr>
              <w:spacing w:line="240" w:lineRule="atLeast"/>
              <w:jc w:val="left"/>
              <w:rPr>
                <w:rFonts w:ascii="仿宋_GB2312" w:hAnsi="仿宋_GB2312" w:eastAsia="仿宋_GB2312" w:cs="仿宋_GB2312"/>
                <w:sz w:val="20"/>
                <w:szCs w:val="20"/>
              </w:rPr>
            </w:pPr>
          </w:p>
        </w:tc>
        <w:tc>
          <w:tcPr>
            <w:tcW w:w="784" w:type="dxa"/>
            <w:vAlign w:val="center"/>
          </w:tcPr>
          <w:p w14:paraId="6AD1848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A30ACD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25EAE1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D4CFA0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49558F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935EB6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8AB317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7F1A9E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90A554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293BA18">
            <w:pPr>
              <w:spacing w:line="240" w:lineRule="atLeast"/>
              <w:jc w:val="left"/>
              <w:rPr>
                <w:rFonts w:ascii="仿宋_GB2312" w:hAnsi="仿宋_GB2312" w:eastAsia="仿宋_GB2312" w:cs="仿宋_GB2312"/>
                <w:sz w:val="20"/>
                <w:szCs w:val="20"/>
              </w:rPr>
            </w:pPr>
          </w:p>
        </w:tc>
      </w:tr>
      <w:tr w14:paraId="38C24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14CCCC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153</w:t>
            </w:r>
          </w:p>
        </w:tc>
        <w:tc>
          <w:tcPr>
            <w:tcW w:w="555" w:type="dxa"/>
            <w:vAlign w:val="center"/>
          </w:tcPr>
          <w:p w14:paraId="525005F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C6EF3E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46B0B3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F9E497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对应当送审而未送审地图或者附着地图图形产品行为的处罚</w:t>
            </w:r>
          </w:p>
        </w:tc>
        <w:tc>
          <w:tcPr>
            <w:tcW w:w="660" w:type="dxa"/>
            <w:vAlign w:val="center"/>
          </w:tcPr>
          <w:p w14:paraId="2C78734F">
            <w:pPr>
              <w:snapToGrid w:val="0"/>
              <w:spacing w:line="240" w:lineRule="atLeast"/>
              <w:jc w:val="center"/>
              <w:rPr>
                <w:rFonts w:ascii="仿宋_GB2312" w:hAnsi="仿宋_GB2312" w:eastAsia="仿宋_GB2312" w:cs="仿宋_GB2312"/>
                <w:sz w:val="20"/>
                <w:szCs w:val="20"/>
              </w:rPr>
            </w:pPr>
          </w:p>
        </w:tc>
        <w:tc>
          <w:tcPr>
            <w:tcW w:w="615" w:type="dxa"/>
            <w:vAlign w:val="center"/>
          </w:tcPr>
          <w:p w14:paraId="082A77F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3CA0C6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F20FA7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六十二条：违反本法规定，编制、出版、展示、登载、更新的地图或者互联网地图服务不符合国家有关地图管理规定的，依法给予行政处罚、处分；构成犯罪的，依法追究刑事责任。</w:t>
            </w:r>
          </w:p>
          <w:p w14:paraId="15288B1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2.【行政法规】《地图管理条例》（2015年国务院令第664号） 第四十九条：违反本条例规定，应当送审而未送审的，责令改正，给予警告，没收违法地图或者附着地图图形的产品，可以处10万元以下的罚款；有违法所得的，没收违法所得；构成犯罪的，依法追究刑事责任。</w:t>
            </w:r>
          </w:p>
          <w:p w14:paraId="1C84108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第五十六条：本条例规定的降低资质等级、吊销测绘资质证书的行政处罚，由颁发资质证书的部门决定；其他行政处罚由县级以上人民政府测绘地理信息行政主管部门决定。</w:t>
            </w:r>
          </w:p>
        </w:tc>
        <w:tc>
          <w:tcPr>
            <w:tcW w:w="3585" w:type="dxa"/>
            <w:vAlign w:val="center"/>
          </w:tcPr>
          <w:p w14:paraId="5D7593D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地图或者附着地图图形产品应当送审而未送审的情况，，应及时制止（对正在实施的违法行为，下达《责令停止违法行为通知书》）,并进行审查核实，符合立案条件的予以立案。</w:t>
            </w:r>
          </w:p>
          <w:p w14:paraId="0482676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地图或者附着地图图形产品应当送审而未送审的情况，并制作笔录。调查时允许当事人辩解陈述。执法人员应保守有关秘密。</w:t>
            </w:r>
          </w:p>
          <w:p w14:paraId="5A46273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13F935F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2FC355D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地图或者附着地图图形产品应当送审而未送审的事实进行认定，依法制作《行政处罚决定书》，载明违反法律法规或规章的事实和证据、行政处罚的具体依据和内容，告知当事人陈述申辩或者听证情况等内容，告知申请行政复议或提出行政诉讼的权利。</w:t>
            </w:r>
          </w:p>
          <w:p w14:paraId="661747B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45C9FF2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306CE4B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115842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8CD09F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8C2356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7D3D89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24B616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23E4D4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EDDAE4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E3756A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942E79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F0A86D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ED00A0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A98A0A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6B402A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E46715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AFDB43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5FBA13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285004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6FDF41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678CBB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1E5A7C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FC9E738">
            <w:pPr>
              <w:snapToGrid w:val="0"/>
              <w:spacing w:line="240" w:lineRule="atLeast"/>
              <w:jc w:val="center"/>
              <w:rPr>
                <w:rFonts w:ascii="仿宋_GB2312" w:hAnsi="仿宋_GB2312" w:eastAsia="仿宋_GB2312" w:cs="仿宋_GB2312"/>
                <w:sz w:val="20"/>
                <w:szCs w:val="20"/>
              </w:rPr>
            </w:pPr>
          </w:p>
        </w:tc>
      </w:tr>
    </w:tbl>
    <w:p w14:paraId="77E0AF74"/>
    <w:p w14:paraId="6D71E083"/>
    <w:p w14:paraId="0D80879B"/>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C162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0DA814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C744B73">
            <w:pPr>
              <w:spacing w:line="240" w:lineRule="atLeast"/>
              <w:rPr>
                <w:rFonts w:asciiTheme="majorEastAsia" w:hAnsiTheme="majorEastAsia" w:eastAsiaTheme="majorEastAsia" w:cstheme="majorEastAsia"/>
                <w:spacing w:val="-20"/>
                <w:sz w:val="20"/>
                <w:szCs w:val="20"/>
              </w:rPr>
            </w:pPr>
          </w:p>
          <w:p w14:paraId="2F4D701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55EE57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642F77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408A1D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9A1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2BAEE97">
            <w:pPr>
              <w:spacing w:line="240" w:lineRule="atLeast"/>
              <w:jc w:val="left"/>
              <w:rPr>
                <w:rFonts w:ascii="仿宋_GB2312" w:hAnsi="仿宋_GB2312" w:eastAsia="仿宋_GB2312" w:cs="仿宋_GB2312"/>
                <w:sz w:val="20"/>
                <w:szCs w:val="20"/>
              </w:rPr>
            </w:pPr>
          </w:p>
        </w:tc>
        <w:tc>
          <w:tcPr>
            <w:tcW w:w="555" w:type="dxa"/>
            <w:vMerge w:val="continue"/>
          </w:tcPr>
          <w:p w14:paraId="3153FE79">
            <w:pPr>
              <w:spacing w:line="240" w:lineRule="atLeast"/>
              <w:jc w:val="left"/>
              <w:rPr>
                <w:rFonts w:ascii="仿宋_GB2312" w:hAnsi="仿宋_GB2312" w:eastAsia="仿宋_GB2312" w:cs="仿宋_GB2312"/>
                <w:sz w:val="20"/>
                <w:szCs w:val="20"/>
              </w:rPr>
            </w:pPr>
          </w:p>
        </w:tc>
        <w:tc>
          <w:tcPr>
            <w:tcW w:w="784" w:type="dxa"/>
            <w:vAlign w:val="center"/>
          </w:tcPr>
          <w:p w14:paraId="463F6A4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536FE9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C4CB78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235E33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128741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000077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5B438A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6BACD9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00B304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6B1B11C">
            <w:pPr>
              <w:spacing w:line="240" w:lineRule="atLeast"/>
              <w:jc w:val="left"/>
              <w:rPr>
                <w:rFonts w:ascii="仿宋_GB2312" w:hAnsi="仿宋_GB2312" w:eastAsia="仿宋_GB2312" w:cs="仿宋_GB2312"/>
                <w:sz w:val="20"/>
                <w:szCs w:val="20"/>
              </w:rPr>
            </w:pPr>
          </w:p>
        </w:tc>
      </w:tr>
      <w:tr w14:paraId="3A89D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87095A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154</w:t>
            </w:r>
          </w:p>
        </w:tc>
        <w:tc>
          <w:tcPr>
            <w:tcW w:w="555" w:type="dxa"/>
            <w:vAlign w:val="center"/>
          </w:tcPr>
          <w:p w14:paraId="1031289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C16638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FC84D6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2A0346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对不需要送审的地图不符合国家有关标准和规定行为的处罚</w:t>
            </w:r>
          </w:p>
        </w:tc>
        <w:tc>
          <w:tcPr>
            <w:tcW w:w="660" w:type="dxa"/>
            <w:vAlign w:val="center"/>
          </w:tcPr>
          <w:p w14:paraId="0B42C70B">
            <w:pPr>
              <w:snapToGrid w:val="0"/>
              <w:spacing w:line="240" w:lineRule="atLeast"/>
              <w:jc w:val="center"/>
              <w:rPr>
                <w:rFonts w:ascii="仿宋_GB2312" w:hAnsi="仿宋_GB2312" w:eastAsia="仿宋_GB2312" w:cs="仿宋_GB2312"/>
                <w:sz w:val="20"/>
                <w:szCs w:val="20"/>
              </w:rPr>
            </w:pPr>
          </w:p>
        </w:tc>
        <w:tc>
          <w:tcPr>
            <w:tcW w:w="615" w:type="dxa"/>
            <w:vAlign w:val="center"/>
          </w:tcPr>
          <w:p w14:paraId="10A7E17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D9DAF0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D3229F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六十二条：违反本法规定，编制、出版、展示、登载、更新的地图或者互联网地图服务不符合国家有关地图管理规定的，依法给予行政处罚、处分；构成犯罪的，依法追究刑事责任。</w:t>
            </w:r>
          </w:p>
          <w:p w14:paraId="0C61BCD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地图管理条例》（2015年国务院令第664号）第五十条：违反本条例规定，不需要送审的地图不符合国家有关标准和规定的，责令改正，给予警告，没收违法地图或者附着地图图形的产品，可以处10万元以下的罚款;有违法所得的，没收违法所得;情节严重的，可以向社会通报;构成犯罪的，依法追究刑事责任。</w:t>
            </w:r>
          </w:p>
          <w:p w14:paraId="13E2228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第五十六条：本条例规定的降低资质等级、吊销测绘资质证书的行政处罚，由颁发资质证书的部门决定；其他行政处罚由县级以上人民政府测绘地理信息行政主管部门决定。</w:t>
            </w:r>
          </w:p>
        </w:tc>
        <w:tc>
          <w:tcPr>
            <w:tcW w:w="3585" w:type="dxa"/>
            <w:vAlign w:val="center"/>
          </w:tcPr>
          <w:p w14:paraId="28A564A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不需要送审的地图不符合国家有关标准和规定的情况，应及时制止（对正在实施的违法行为，下达《责令停止违法行为通知书》）,并进行审查核实，符合立案条件的予以立案。</w:t>
            </w:r>
          </w:p>
          <w:p w14:paraId="5DFAAED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不需要送审的地图不符合国家有关标准和规定的情况，并制作笔录。调查时允许当事人辩解陈述。执法人员应保守有关秘密。</w:t>
            </w:r>
          </w:p>
          <w:p w14:paraId="5A25435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434333D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7870E93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不需要送审的地图不符合国家有关标准和规定的事实进行认定，依法制作《行政处罚决定书》，载明违反法律法规或规章的事实和证据、行政处罚的具体依据和内容，告知当事人陈述申辩或者听证情况等内容，告知申请行政复议或提起行政诉讼的权利。</w:t>
            </w:r>
          </w:p>
          <w:p w14:paraId="5A7398C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2199804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4B3ABDC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D4E43C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DFF05E4">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9EA9AB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DF1B55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E7DBA9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BE1E80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DF29E0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3A5974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B745CC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849642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99B22F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E5D78D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7307F9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862DD1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CE6DD3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800FCC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3E59F4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8F3A51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F39ABF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9D420C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7A6AA24">
            <w:pPr>
              <w:snapToGrid w:val="0"/>
              <w:spacing w:line="240" w:lineRule="atLeast"/>
              <w:jc w:val="center"/>
              <w:rPr>
                <w:rFonts w:ascii="仿宋_GB2312" w:hAnsi="仿宋_GB2312" w:eastAsia="仿宋_GB2312" w:cs="仿宋_GB2312"/>
                <w:sz w:val="20"/>
                <w:szCs w:val="20"/>
              </w:rPr>
            </w:pPr>
          </w:p>
        </w:tc>
      </w:tr>
    </w:tbl>
    <w:p w14:paraId="74632617"/>
    <w:p w14:paraId="6B968154"/>
    <w:p w14:paraId="73A4A9FD"/>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AC89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CD3FBF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EB3C13E">
            <w:pPr>
              <w:spacing w:line="240" w:lineRule="atLeast"/>
              <w:rPr>
                <w:rFonts w:asciiTheme="majorEastAsia" w:hAnsiTheme="majorEastAsia" w:eastAsiaTheme="majorEastAsia" w:cstheme="majorEastAsia"/>
                <w:spacing w:val="-20"/>
                <w:sz w:val="20"/>
                <w:szCs w:val="20"/>
              </w:rPr>
            </w:pPr>
          </w:p>
          <w:p w14:paraId="3D09D1D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306E44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A343EC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A82540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83F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EBF32A9">
            <w:pPr>
              <w:spacing w:line="240" w:lineRule="atLeast"/>
              <w:jc w:val="left"/>
              <w:rPr>
                <w:rFonts w:ascii="仿宋_GB2312" w:hAnsi="仿宋_GB2312" w:eastAsia="仿宋_GB2312" w:cs="仿宋_GB2312"/>
                <w:sz w:val="20"/>
                <w:szCs w:val="20"/>
              </w:rPr>
            </w:pPr>
          </w:p>
        </w:tc>
        <w:tc>
          <w:tcPr>
            <w:tcW w:w="555" w:type="dxa"/>
            <w:vMerge w:val="continue"/>
          </w:tcPr>
          <w:p w14:paraId="11D39B34">
            <w:pPr>
              <w:spacing w:line="240" w:lineRule="atLeast"/>
              <w:jc w:val="left"/>
              <w:rPr>
                <w:rFonts w:ascii="仿宋_GB2312" w:hAnsi="仿宋_GB2312" w:eastAsia="仿宋_GB2312" w:cs="仿宋_GB2312"/>
                <w:sz w:val="20"/>
                <w:szCs w:val="20"/>
              </w:rPr>
            </w:pPr>
          </w:p>
        </w:tc>
        <w:tc>
          <w:tcPr>
            <w:tcW w:w="784" w:type="dxa"/>
            <w:vAlign w:val="center"/>
          </w:tcPr>
          <w:p w14:paraId="3B834EB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290524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07FA15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78FC8E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F53628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D2261B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BCA7BE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012B8D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EBB806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6D4D7A4">
            <w:pPr>
              <w:spacing w:line="240" w:lineRule="atLeast"/>
              <w:jc w:val="left"/>
              <w:rPr>
                <w:rFonts w:ascii="仿宋_GB2312" w:hAnsi="仿宋_GB2312" w:eastAsia="仿宋_GB2312" w:cs="仿宋_GB2312"/>
                <w:sz w:val="20"/>
                <w:szCs w:val="20"/>
              </w:rPr>
            </w:pPr>
          </w:p>
        </w:tc>
      </w:tr>
      <w:tr w14:paraId="4BD79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93C347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155</w:t>
            </w:r>
          </w:p>
        </w:tc>
        <w:tc>
          <w:tcPr>
            <w:tcW w:w="555" w:type="dxa"/>
            <w:vAlign w:val="center"/>
          </w:tcPr>
          <w:p w14:paraId="6924931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779919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C63B47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AEB5E6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对经审核不符合国家有关标准和规定的地图未按照审核要求修改即向社会公开行为的处罚</w:t>
            </w:r>
          </w:p>
        </w:tc>
        <w:tc>
          <w:tcPr>
            <w:tcW w:w="660" w:type="dxa"/>
            <w:vAlign w:val="center"/>
          </w:tcPr>
          <w:p w14:paraId="281511C1">
            <w:pPr>
              <w:snapToGrid w:val="0"/>
              <w:spacing w:line="240" w:lineRule="atLeast"/>
              <w:jc w:val="center"/>
              <w:rPr>
                <w:rFonts w:ascii="仿宋_GB2312" w:hAnsi="仿宋_GB2312" w:eastAsia="仿宋_GB2312" w:cs="仿宋_GB2312"/>
                <w:sz w:val="20"/>
                <w:szCs w:val="20"/>
              </w:rPr>
            </w:pPr>
          </w:p>
        </w:tc>
        <w:tc>
          <w:tcPr>
            <w:tcW w:w="615" w:type="dxa"/>
            <w:vAlign w:val="center"/>
          </w:tcPr>
          <w:p w14:paraId="6348256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9D25FB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BDB2EA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六十二条：违反本法规定，编制、出版、展示、登载、更新的地图或者互联网地图服务不符合国家有关地图管理规定的，依法给予行政处罚、处分；构成犯罪的，依法追究刑事责任。</w:t>
            </w:r>
          </w:p>
          <w:p w14:paraId="040B2A3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地图管理条例》（2015年国务院令第664号）五十一条：违反本条例规定，经审核不符合国家有关标准和规定的地图未按照审核要求修改即向社会公开的，责令改正，给予警告，没收违法地图或者附着地图图形的产品，可以处10万元以下的罚款；有违法所得的，没收违法所得；情节严重的，责令停业整顿，降低资质等级或者吊销测绘资质证书，可以向社会通报；构成犯罪的，依法追究刑事责任。</w:t>
            </w:r>
          </w:p>
          <w:p w14:paraId="289FFFA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第五十六条：本条例规定的降低资质等级、吊销测绘资质证书的行政处罚，由颁发资质证书的部门决定；其他行政处罚由县级以上人民政府测绘地理信息行政主管部门决定。</w:t>
            </w:r>
          </w:p>
        </w:tc>
        <w:tc>
          <w:tcPr>
            <w:tcW w:w="3585" w:type="dxa"/>
            <w:vAlign w:val="center"/>
          </w:tcPr>
          <w:p w14:paraId="359B26C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经审核不符合国家有关标准和规定的地图未按照审核要求修改即向社会公开的情况，应及时制止（对正在实施的违法行为，下达《责令停止违法行为通知书》）,并进行审查核实，符合立案条件的予以立案。</w:t>
            </w:r>
          </w:p>
          <w:p w14:paraId="14B49FC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经审核不符合国家有关标准和规定的地图未按照审核要求修改即向社会公开的情况，并制作笔录。调查时允许当事人辩解陈述。执法人员应保守有关秘密。</w:t>
            </w:r>
          </w:p>
          <w:p w14:paraId="3DDD9DA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372633C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254F64A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经审核不符合国家有关标准和规定的地图未按照审核要求修改即向社会公开的事实进行认定，依法制作《行政处罚决定书》，载明违反法律法规或规章的事实和证据、行政处罚的具体依据和内容，告知当事人陈述申辩或者听证情况等内容，告知申请行政复议或提起行政诉讼的权利。</w:t>
            </w:r>
          </w:p>
          <w:p w14:paraId="3A07A5B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3AE56BD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2AFA4CA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4B3FCAB">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051B31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DD1475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85F412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D8B1D1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F17587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A5814F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7879028">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AFBDD4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8CA206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846F5C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D6A5F3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5E704C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5BC19D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9A0A71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06DC2B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68512F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AB4C98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2998E1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840600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BBDDE7B">
            <w:pPr>
              <w:snapToGrid w:val="0"/>
              <w:spacing w:line="240" w:lineRule="atLeast"/>
              <w:jc w:val="center"/>
              <w:rPr>
                <w:rFonts w:ascii="仿宋_GB2312" w:hAnsi="仿宋_GB2312" w:eastAsia="仿宋_GB2312" w:cs="仿宋_GB2312"/>
                <w:sz w:val="20"/>
                <w:szCs w:val="20"/>
              </w:rPr>
            </w:pPr>
          </w:p>
        </w:tc>
      </w:tr>
    </w:tbl>
    <w:p w14:paraId="6036C644"/>
    <w:p w14:paraId="49A50930"/>
    <w:p w14:paraId="09F6C687"/>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6173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7F7CFD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AA06371">
            <w:pPr>
              <w:spacing w:line="240" w:lineRule="atLeast"/>
              <w:rPr>
                <w:rFonts w:asciiTheme="majorEastAsia" w:hAnsiTheme="majorEastAsia" w:eastAsiaTheme="majorEastAsia" w:cstheme="majorEastAsia"/>
                <w:spacing w:val="-20"/>
                <w:sz w:val="20"/>
                <w:szCs w:val="20"/>
              </w:rPr>
            </w:pPr>
          </w:p>
          <w:p w14:paraId="7ED7C59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4CDAEA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E58AB9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13F5B6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A9C7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112D36B">
            <w:pPr>
              <w:spacing w:line="240" w:lineRule="atLeast"/>
              <w:jc w:val="left"/>
              <w:rPr>
                <w:rFonts w:ascii="仿宋_GB2312" w:hAnsi="仿宋_GB2312" w:eastAsia="仿宋_GB2312" w:cs="仿宋_GB2312"/>
                <w:sz w:val="20"/>
                <w:szCs w:val="20"/>
              </w:rPr>
            </w:pPr>
          </w:p>
        </w:tc>
        <w:tc>
          <w:tcPr>
            <w:tcW w:w="555" w:type="dxa"/>
            <w:vMerge w:val="continue"/>
          </w:tcPr>
          <w:p w14:paraId="418D2F4E">
            <w:pPr>
              <w:spacing w:line="240" w:lineRule="atLeast"/>
              <w:jc w:val="left"/>
              <w:rPr>
                <w:rFonts w:ascii="仿宋_GB2312" w:hAnsi="仿宋_GB2312" w:eastAsia="仿宋_GB2312" w:cs="仿宋_GB2312"/>
                <w:sz w:val="20"/>
                <w:szCs w:val="20"/>
              </w:rPr>
            </w:pPr>
          </w:p>
        </w:tc>
        <w:tc>
          <w:tcPr>
            <w:tcW w:w="784" w:type="dxa"/>
            <w:vAlign w:val="center"/>
          </w:tcPr>
          <w:p w14:paraId="1509E98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B7AA75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673C67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D3C58E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60E53F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5CC21D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DE42DE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D8878B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E94B4A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02B2A77">
            <w:pPr>
              <w:spacing w:line="240" w:lineRule="atLeast"/>
              <w:jc w:val="left"/>
              <w:rPr>
                <w:rFonts w:ascii="仿宋_GB2312" w:hAnsi="仿宋_GB2312" w:eastAsia="仿宋_GB2312" w:cs="仿宋_GB2312"/>
                <w:sz w:val="20"/>
                <w:szCs w:val="20"/>
              </w:rPr>
            </w:pPr>
          </w:p>
        </w:tc>
      </w:tr>
      <w:tr w14:paraId="79088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FD8275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156</w:t>
            </w:r>
          </w:p>
        </w:tc>
        <w:tc>
          <w:tcPr>
            <w:tcW w:w="555" w:type="dxa"/>
            <w:vAlign w:val="center"/>
          </w:tcPr>
          <w:p w14:paraId="7B10272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D44D0E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A96D4C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ECB70E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对弄虚作假、伪造申请材料骗取地图审核批准文件，或者伪造、冒用地图审核批准文件和审图号行为的处罚</w:t>
            </w:r>
          </w:p>
        </w:tc>
        <w:tc>
          <w:tcPr>
            <w:tcW w:w="660" w:type="dxa"/>
            <w:vAlign w:val="center"/>
          </w:tcPr>
          <w:p w14:paraId="2DD183AC">
            <w:pPr>
              <w:snapToGrid w:val="0"/>
              <w:spacing w:line="240" w:lineRule="atLeast"/>
              <w:jc w:val="center"/>
              <w:rPr>
                <w:rFonts w:ascii="仿宋_GB2312" w:hAnsi="仿宋_GB2312" w:eastAsia="仿宋_GB2312" w:cs="仿宋_GB2312"/>
                <w:sz w:val="20"/>
                <w:szCs w:val="20"/>
              </w:rPr>
            </w:pPr>
          </w:p>
        </w:tc>
        <w:tc>
          <w:tcPr>
            <w:tcW w:w="615" w:type="dxa"/>
            <w:vAlign w:val="center"/>
          </w:tcPr>
          <w:p w14:paraId="0F6A948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427BEC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9EC631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六十二条：违反本法规定，编制、出版、展示、登载、更新的地图或者互联网地图服务不符合国家有关地图管理规定的，依法给予行政处罚、处分；构成犯罪的，依法追究刑事责任。</w:t>
            </w:r>
          </w:p>
          <w:p w14:paraId="2186B6C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地图管理条例》（2015年国务院令第664号）第五十二条：违反本条例规定，弄虚作假、伪造申请材料骗取地图审核批准文件，或者伪造、冒用地图审核批准文件和审图号的，责令停止违法行为，给予警告，没收违法地图和附着地图图形的产品，并处10万元以上20万元以下的罚款；有违法所得的，没收违法所得；情节严重的，责令停业整顿，降低资质等级或者吊销测绘资质证书；构成犯罪的，依法追究刑事责任。</w:t>
            </w:r>
          </w:p>
          <w:p w14:paraId="236EE9F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第五十六条：本条例规定的降低资质等级、吊销测绘资质证书的行政处罚，由颁发资质证书的部门决定；其他行政处罚由县级以上人民政府测绘地理信息行政主管部门决定。</w:t>
            </w:r>
          </w:p>
        </w:tc>
        <w:tc>
          <w:tcPr>
            <w:tcW w:w="3585" w:type="dxa"/>
            <w:vAlign w:val="center"/>
          </w:tcPr>
          <w:p w14:paraId="7E85E28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弄虚作假、伪造申请材料骗取地图审核批准文件，或者伪造、冒用地图审核批准文件和审图号的情况，应及时制止（对正在实施的违法行为，下达《责令停止违法行为通知书》）,并进行审查核实，符合立案条件的予以立案。</w:t>
            </w:r>
          </w:p>
          <w:p w14:paraId="5BAAA7A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弄虚作假、伪造申请材料骗取地图审核批准文件，或者伪造、冒用地图审核批准文件和审图号的情况，并制作笔录。调查时允许当事人辩解陈述。执法人员应保守有关秘密。</w:t>
            </w:r>
          </w:p>
          <w:p w14:paraId="56B11A5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12E7E40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66D8D6E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弄虚作假、伪造申请材料骗取地图审核批准文件，或者伪造、冒用地图审核批准文件和审图号的事实进行认定，依法制作《行政处罚决定书》，载明违反法律法规或规章的事实和证据、行政处罚的具体依据和内容，告知当事人陈述申辩或者听证情况等内容，告知申请行政复议或提起行政诉讼的权利。</w:t>
            </w:r>
          </w:p>
          <w:p w14:paraId="75A58E7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043973D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7FB73BB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C4DF36D">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0BDF85A">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600188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B745CD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4F7AAA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BDF681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EF9D85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D35C1B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C3CB61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C4FB2A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1123B5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5AB674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D4CAF2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13CBDC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BDC1D3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5317E1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066009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CDA83D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38E3AE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D6581B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0E9BFBF">
            <w:pPr>
              <w:snapToGrid w:val="0"/>
              <w:spacing w:line="240" w:lineRule="atLeast"/>
              <w:jc w:val="center"/>
              <w:rPr>
                <w:rFonts w:ascii="仿宋_GB2312" w:hAnsi="仿宋_GB2312" w:eastAsia="仿宋_GB2312" w:cs="仿宋_GB2312"/>
                <w:sz w:val="20"/>
                <w:szCs w:val="20"/>
              </w:rPr>
            </w:pPr>
          </w:p>
        </w:tc>
      </w:tr>
    </w:tbl>
    <w:p w14:paraId="1FA2E1D6"/>
    <w:p w14:paraId="082B4669"/>
    <w:p w14:paraId="1EAB7AE3"/>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44E0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A397A3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CA9F305">
            <w:pPr>
              <w:spacing w:line="240" w:lineRule="atLeast"/>
              <w:rPr>
                <w:rFonts w:asciiTheme="majorEastAsia" w:hAnsiTheme="majorEastAsia" w:eastAsiaTheme="majorEastAsia" w:cstheme="majorEastAsia"/>
                <w:spacing w:val="-20"/>
                <w:sz w:val="20"/>
                <w:szCs w:val="20"/>
              </w:rPr>
            </w:pPr>
          </w:p>
          <w:p w14:paraId="7596EBF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72BB3C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618CA1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CD99AE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7DC2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E16207F">
            <w:pPr>
              <w:spacing w:line="240" w:lineRule="atLeast"/>
              <w:jc w:val="left"/>
              <w:rPr>
                <w:rFonts w:ascii="仿宋_GB2312" w:hAnsi="仿宋_GB2312" w:eastAsia="仿宋_GB2312" w:cs="仿宋_GB2312"/>
                <w:sz w:val="20"/>
                <w:szCs w:val="20"/>
              </w:rPr>
            </w:pPr>
          </w:p>
        </w:tc>
        <w:tc>
          <w:tcPr>
            <w:tcW w:w="555" w:type="dxa"/>
            <w:vMerge w:val="continue"/>
          </w:tcPr>
          <w:p w14:paraId="10C36DD2">
            <w:pPr>
              <w:spacing w:line="240" w:lineRule="atLeast"/>
              <w:jc w:val="left"/>
              <w:rPr>
                <w:rFonts w:ascii="仿宋_GB2312" w:hAnsi="仿宋_GB2312" w:eastAsia="仿宋_GB2312" w:cs="仿宋_GB2312"/>
                <w:sz w:val="20"/>
                <w:szCs w:val="20"/>
              </w:rPr>
            </w:pPr>
          </w:p>
        </w:tc>
        <w:tc>
          <w:tcPr>
            <w:tcW w:w="784" w:type="dxa"/>
            <w:vAlign w:val="center"/>
          </w:tcPr>
          <w:p w14:paraId="2D962A4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8B0167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601E5E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6F0C37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5380C6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D92513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CD420A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1370BF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93AC61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44214ED">
            <w:pPr>
              <w:spacing w:line="240" w:lineRule="atLeast"/>
              <w:jc w:val="left"/>
              <w:rPr>
                <w:rFonts w:ascii="仿宋_GB2312" w:hAnsi="仿宋_GB2312" w:eastAsia="仿宋_GB2312" w:cs="仿宋_GB2312"/>
                <w:sz w:val="20"/>
                <w:szCs w:val="20"/>
              </w:rPr>
            </w:pPr>
          </w:p>
        </w:tc>
      </w:tr>
      <w:tr w14:paraId="62033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C322DB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157</w:t>
            </w:r>
          </w:p>
        </w:tc>
        <w:tc>
          <w:tcPr>
            <w:tcW w:w="555" w:type="dxa"/>
            <w:vAlign w:val="center"/>
          </w:tcPr>
          <w:p w14:paraId="2D44ECE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064CF4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4C328E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E92FD0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对互联网地图服务单位使用未经依法审核批准的地图提供服务，或者未对互联网地图新增内容进行核查校对行为的处罚</w:t>
            </w:r>
          </w:p>
        </w:tc>
        <w:tc>
          <w:tcPr>
            <w:tcW w:w="660" w:type="dxa"/>
            <w:vAlign w:val="center"/>
          </w:tcPr>
          <w:p w14:paraId="0CA18A35">
            <w:pPr>
              <w:snapToGrid w:val="0"/>
              <w:spacing w:line="240" w:lineRule="atLeast"/>
              <w:jc w:val="center"/>
              <w:rPr>
                <w:rFonts w:ascii="仿宋_GB2312" w:hAnsi="仿宋_GB2312" w:eastAsia="仿宋_GB2312" w:cs="仿宋_GB2312"/>
                <w:sz w:val="20"/>
                <w:szCs w:val="20"/>
              </w:rPr>
            </w:pPr>
          </w:p>
        </w:tc>
        <w:tc>
          <w:tcPr>
            <w:tcW w:w="615" w:type="dxa"/>
            <w:vAlign w:val="center"/>
          </w:tcPr>
          <w:p w14:paraId="737E506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D11E99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6E8B06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六十二条：违反本法规定，编制、出版、展示、登载、更新的地图或者互联网地图服务不符合国家有关地图管理规定的，依法给予行政处罚、处分；构成犯罪的，依法追究刑事责任。</w:t>
            </w:r>
          </w:p>
          <w:p w14:paraId="32D743E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地图管理条例》（2015年国务院令第664号）第五十四条：违反本条例规定，互联网地图服务单位使用未经依法审核批准的地图提供服务，或者未对互联网地图新增内容进行核查校对的，责令改正，给予警告，可以处20万元以下的罚款；有违法所得的，没收违法所得；情节严重的，责令停业整顿，降低资质等级或者吊销测绘资质证书；构成犯罪的，依法追究刑事责任。</w:t>
            </w:r>
          </w:p>
          <w:p w14:paraId="4400191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第五十六条：本条例规定的降低资质等级、吊销测绘资质证书的行政处罚，由颁发资质证书的部门决定；其他行政处罚由县级以上人民政府测绘地理信息行政主管部门决定。</w:t>
            </w:r>
          </w:p>
        </w:tc>
        <w:tc>
          <w:tcPr>
            <w:tcW w:w="3585" w:type="dxa"/>
            <w:vAlign w:val="center"/>
          </w:tcPr>
          <w:p w14:paraId="69B0A6F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互联网地图服务单位使用未经依法审核批准的地图提供服务，或者未对互联网地图新增内容进行核查校对的情况，应及时制止（对正在实施的违法行为，下达《责令停止违法行为通知书》）,并进行审查核实，符合立案条件的予以立案。</w:t>
            </w:r>
          </w:p>
          <w:p w14:paraId="581069F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互联网地图服务单位使用未经依法审核批准的地图提供服务，或者未对互联网地图新增内容进行核查校对的情况，并制作笔录。调查时允许当事人辩解陈述。执法人员应保守有关秘密。</w:t>
            </w:r>
          </w:p>
          <w:p w14:paraId="030A887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71A8790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050C69E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互联网地图服务单位使用未经依法审核批准的地图提供服务，或者未对互联网地图新增内容进行核查校对的事实进行认定，依法制作《行政处罚决定书》，载明违反法律法规或规章的事实和证据、行政处罚的具体依据和内容，告知当事人陈述申辩或者听证情况等内容，告知申请行政复议或提起行政诉讼的权利。</w:t>
            </w:r>
          </w:p>
          <w:p w14:paraId="74CE575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725F281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796852D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640A13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CFCE6CF">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566B45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3BA413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5D7D5F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54FF15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85B188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6D8CBC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FDB3FD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156DE5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58A788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D67893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21C377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5BD35C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076CC3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ECD6BF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6B01E1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BF140B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02C6F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AFB25B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730B588">
            <w:pPr>
              <w:snapToGrid w:val="0"/>
              <w:spacing w:line="240" w:lineRule="atLeast"/>
              <w:jc w:val="center"/>
              <w:rPr>
                <w:rFonts w:ascii="仿宋_GB2312" w:hAnsi="仿宋_GB2312" w:eastAsia="仿宋_GB2312" w:cs="仿宋_GB2312"/>
                <w:sz w:val="20"/>
                <w:szCs w:val="20"/>
              </w:rPr>
            </w:pPr>
          </w:p>
        </w:tc>
      </w:tr>
    </w:tbl>
    <w:p w14:paraId="361E53A9"/>
    <w:p w14:paraId="6A145C47"/>
    <w:p w14:paraId="493CC0CD"/>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11D8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B8702F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6E7B63B">
            <w:pPr>
              <w:spacing w:line="240" w:lineRule="atLeast"/>
              <w:rPr>
                <w:rFonts w:asciiTheme="majorEastAsia" w:hAnsiTheme="majorEastAsia" w:eastAsiaTheme="majorEastAsia" w:cstheme="majorEastAsia"/>
                <w:spacing w:val="-20"/>
                <w:sz w:val="20"/>
                <w:szCs w:val="20"/>
              </w:rPr>
            </w:pPr>
          </w:p>
          <w:p w14:paraId="0547BB9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367162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F56936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DDDF4E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2C89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7A5F8D9">
            <w:pPr>
              <w:spacing w:line="240" w:lineRule="atLeast"/>
              <w:jc w:val="left"/>
              <w:rPr>
                <w:rFonts w:ascii="仿宋_GB2312" w:hAnsi="仿宋_GB2312" w:eastAsia="仿宋_GB2312" w:cs="仿宋_GB2312"/>
                <w:sz w:val="20"/>
                <w:szCs w:val="20"/>
              </w:rPr>
            </w:pPr>
          </w:p>
        </w:tc>
        <w:tc>
          <w:tcPr>
            <w:tcW w:w="555" w:type="dxa"/>
            <w:vMerge w:val="continue"/>
          </w:tcPr>
          <w:p w14:paraId="63E93C83">
            <w:pPr>
              <w:spacing w:line="240" w:lineRule="atLeast"/>
              <w:jc w:val="left"/>
              <w:rPr>
                <w:rFonts w:ascii="仿宋_GB2312" w:hAnsi="仿宋_GB2312" w:eastAsia="仿宋_GB2312" w:cs="仿宋_GB2312"/>
                <w:sz w:val="20"/>
                <w:szCs w:val="20"/>
              </w:rPr>
            </w:pPr>
          </w:p>
        </w:tc>
        <w:tc>
          <w:tcPr>
            <w:tcW w:w="784" w:type="dxa"/>
            <w:vAlign w:val="center"/>
          </w:tcPr>
          <w:p w14:paraId="32C5E00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19DB5D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94A865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07EE1D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46D5EC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DDFB72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CC264F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4D94BA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F6B443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5E192D3">
            <w:pPr>
              <w:spacing w:line="240" w:lineRule="atLeast"/>
              <w:jc w:val="left"/>
              <w:rPr>
                <w:rFonts w:ascii="仿宋_GB2312" w:hAnsi="仿宋_GB2312" w:eastAsia="仿宋_GB2312" w:cs="仿宋_GB2312"/>
                <w:sz w:val="20"/>
                <w:szCs w:val="20"/>
              </w:rPr>
            </w:pPr>
          </w:p>
        </w:tc>
      </w:tr>
      <w:tr w14:paraId="4186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FBC745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158</w:t>
            </w:r>
          </w:p>
        </w:tc>
        <w:tc>
          <w:tcPr>
            <w:tcW w:w="555" w:type="dxa"/>
            <w:vAlign w:val="center"/>
          </w:tcPr>
          <w:p w14:paraId="514EE5D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7A8A55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B97F62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DC34DF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对通过互联网上传标注了含有按照国家有关规定在地图上不得表示的内容行为的处罚</w:t>
            </w:r>
          </w:p>
        </w:tc>
        <w:tc>
          <w:tcPr>
            <w:tcW w:w="660" w:type="dxa"/>
            <w:vAlign w:val="center"/>
          </w:tcPr>
          <w:p w14:paraId="4F1719E5">
            <w:pPr>
              <w:snapToGrid w:val="0"/>
              <w:spacing w:line="240" w:lineRule="atLeast"/>
              <w:jc w:val="center"/>
              <w:rPr>
                <w:rFonts w:ascii="仿宋_GB2312" w:hAnsi="仿宋_GB2312" w:eastAsia="仿宋_GB2312" w:cs="仿宋_GB2312"/>
                <w:sz w:val="20"/>
                <w:szCs w:val="20"/>
              </w:rPr>
            </w:pPr>
          </w:p>
        </w:tc>
        <w:tc>
          <w:tcPr>
            <w:tcW w:w="615" w:type="dxa"/>
            <w:vAlign w:val="center"/>
          </w:tcPr>
          <w:p w14:paraId="2A01F91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8B0117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30444D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六十二条：违反本法规定，编制、出版、展示、登载、更新的地图或者互联网地图服务不符合国家有关地图管理规定的，依法给予行政处罚、处分；构成犯罪的，依法追究刑事责任。</w:t>
            </w:r>
          </w:p>
          <w:p w14:paraId="5294137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地图管理条例》（2015年国务院令第664号）第五十五条：违反本条例规定，通过互联网上传标注了含有按照国家有关规定在地图上不得表示的内容的，责令改正，给予警告，可以处10万元以下的罚款；构成犯罪的，依法追究刑事责任。</w:t>
            </w:r>
          </w:p>
          <w:p w14:paraId="60E454E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第五十六条：本条例规定的降低资质等级、吊销测绘资质证书的行政处罚，由颁发资质证书的部门决定；其他行政处罚由县级以上人民政府测绘地理信息行政主管部门决定。</w:t>
            </w:r>
          </w:p>
        </w:tc>
        <w:tc>
          <w:tcPr>
            <w:tcW w:w="3585" w:type="dxa"/>
            <w:vAlign w:val="center"/>
          </w:tcPr>
          <w:p w14:paraId="1CCA34C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通过互联网上传标注了含有按照国家有关规定在地图上不得表示的内容的情况，应及时制止（对正在实施的违法行为，下达《责令停止违法行为通知书》）,并进行审查核实，符合立案条件的予以立案。</w:t>
            </w:r>
          </w:p>
          <w:p w14:paraId="5BF77DA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通过互联网上传标注了含有按照国家有关规定在地图上不得表示的内容进行核查校对的情况，并制作笔录。调查时允许当事人辩解陈述。执法人员应保守有关秘密。</w:t>
            </w:r>
          </w:p>
          <w:p w14:paraId="38BC547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55B05AE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5AE75AD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通过互联网上传标注了含有按照国家有关规定在地图上不得表示的内容的事实进行认定，依法制作《行政处罚决定书》，载明违反法律法规或规章的事实和证据、行政处罚的具体依据和内容，告知当事人陈述申辩或者听证情况等内容，告知申请行政复议或提起行政诉讼的权利。</w:t>
            </w:r>
          </w:p>
          <w:p w14:paraId="0D8E0B2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74CEA19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0F66493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C6D7C7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3B560BA">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40289C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3F52F3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756866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7306A1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A72DC2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4129728">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5F5C99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B42EB1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F6B4F7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0E91DA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942933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9BAB69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93D0B3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DFED10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49C89D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9DE297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66E8FD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3748A6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ECFCAE0">
            <w:pPr>
              <w:snapToGrid w:val="0"/>
              <w:spacing w:line="240" w:lineRule="atLeast"/>
              <w:jc w:val="center"/>
              <w:rPr>
                <w:rFonts w:ascii="仿宋_GB2312" w:hAnsi="仿宋_GB2312" w:eastAsia="仿宋_GB2312" w:cs="仿宋_GB2312"/>
                <w:sz w:val="20"/>
                <w:szCs w:val="20"/>
              </w:rPr>
            </w:pPr>
          </w:p>
        </w:tc>
      </w:tr>
    </w:tbl>
    <w:p w14:paraId="2B01A88C"/>
    <w:p w14:paraId="49EEFC64"/>
    <w:p w14:paraId="22C7EA31"/>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484B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B13F0F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33F9D54">
            <w:pPr>
              <w:spacing w:line="240" w:lineRule="atLeast"/>
              <w:rPr>
                <w:rFonts w:asciiTheme="majorEastAsia" w:hAnsiTheme="majorEastAsia" w:eastAsiaTheme="majorEastAsia" w:cstheme="majorEastAsia"/>
                <w:spacing w:val="-20"/>
                <w:sz w:val="20"/>
                <w:szCs w:val="20"/>
              </w:rPr>
            </w:pPr>
          </w:p>
          <w:p w14:paraId="7802C55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B7E7CA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9E8BB2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81E344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6301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8127DFA">
            <w:pPr>
              <w:spacing w:line="240" w:lineRule="atLeast"/>
              <w:jc w:val="left"/>
              <w:rPr>
                <w:rFonts w:ascii="仿宋_GB2312" w:hAnsi="仿宋_GB2312" w:eastAsia="仿宋_GB2312" w:cs="仿宋_GB2312"/>
                <w:sz w:val="20"/>
                <w:szCs w:val="20"/>
              </w:rPr>
            </w:pPr>
          </w:p>
        </w:tc>
        <w:tc>
          <w:tcPr>
            <w:tcW w:w="555" w:type="dxa"/>
            <w:vMerge w:val="continue"/>
          </w:tcPr>
          <w:p w14:paraId="1418A719">
            <w:pPr>
              <w:spacing w:line="240" w:lineRule="atLeast"/>
              <w:jc w:val="left"/>
              <w:rPr>
                <w:rFonts w:ascii="仿宋_GB2312" w:hAnsi="仿宋_GB2312" w:eastAsia="仿宋_GB2312" w:cs="仿宋_GB2312"/>
                <w:sz w:val="20"/>
                <w:szCs w:val="20"/>
              </w:rPr>
            </w:pPr>
          </w:p>
        </w:tc>
        <w:tc>
          <w:tcPr>
            <w:tcW w:w="784" w:type="dxa"/>
            <w:vAlign w:val="center"/>
          </w:tcPr>
          <w:p w14:paraId="3EB47FA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A2176A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E05714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72A0FB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E6302E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5852DC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3738B2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990702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907A45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02CD110">
            <w:pPr>
              <w:spacing w:line="240" w:lineRule="atLeast"/>
              <w:jc w:val="left"/>
              <w:rPr>
                <w:rFonts w:ascii="仿宋_GB2312" w:hAnsi="仿宋_GB2312" w:eastAsia="仿宋_GB2312" w:cs="仿宋_GB2312"/>
                <w:sz w:val="20"/>
                <w:szCs w:val="20"/>
              </w:rPr>
            </w:pPr>
          </w:p>
        </w:tc>
      </w:tr>
      <w:tr w14:paraId="1D421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4F1BDA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159</w:t>
            </w:r>
          </w:p>
        </w:tc>
        <w:tc>
          <w:tcPr>
            <w:tcW w:w="555" w:type="dxa"/>
            <w:vAlign w:val="center"/>
          </w:tcPr>
          <w:p w14:paraId="0CE20DE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1D3BF6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17C5D4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C74DE2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对最终向社会公开的地图与审核通过的地图内容及表现形式不一致，或者互联网地图服务审图号有效期届满未重新送审行为的处罚</w:t>
            </w:r>
          </w:p>
        </w:tc>
        <w:tc>
          <w:tcPr>
            <w:tcW w:w="660" w:type="dxa"/>
            <w:vAlign w:val="center"/>
          </w:tcPr>
          <w:p w14:paraId="77FE1CEC">
            <w:pPr>
              <w:snapToGrid w:val="0"/>
              <w:spacing w:line="240" w:lineRule="atLeast"/>
              <w:jc w:val="center"/>
              <w:rPr>
                <w:rFonts w:ascii="仿宋_GB2312" w:hAnsi="仿宋_GB2312" w:eastAsia="仿宋_GB2312" w:cs="仿宋_GB2312"/>
                <w:sz w:val="20"/>
                <w:szCs w:val="20"/>
              </w:rPr>
            </w:pPr>
          </w:p>
        </w:tc>
        <w:tc>
          <w:tcPr>
            <w:tcW w:w="615" w:type="dxa"/>
            <w:vAlign w:val="center"/>
          </w:tcPr>
          <w:p w14:paraId="6C866E9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8E4B59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1E5244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【部门规章】《地图审核管理规定》（2006年国土资源部第34号令公布，2019年自然资源部令第5号修正） 第三十二条：最终向社会公开的地图与审核通过的地图内容及表现形式不一致，或者互联网地图服务审图号有效期届满未重新送审的，自然资源主管部门应当责令改正、给予警告，可以处3万元以下的罚款。</w:t>
            </w:r>
          </w:p>
        </w:tc>
        <w:tc>
          <w:tcPr>
            <w:tcW w:w="3585" w:type="dxa"/>
            <w:vAlign w:val="center"/>
          </w:tcPr>
          <w:p w14:paraId="5CACAF4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对最终向社会公开的地图与审核通过的地图内容及表现形式不一致，或者互联网地图服务审图号有效期届满未重新送审的情况，应及时制止（对正在实施的违法行为，下达《责令停止违法行为通知书》）,并进行审查核实，符合立案条件的予以立案。</w:t>
            </w:r>
          </w:p>
          <w:p w14:paraId="12D8922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对最终向社会公开的地图与审核通过的地图内容及表现形式不一致，或者互联网地图服务审图号有效期届满未重新送审的情况，并制作笔录。调查时允许当事人辩解陈述。执法人员应保守有关秘密。</w:t>
            </w:r>
          </w:p>
          <w:p w14:paraId="284CEFC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58EBA05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067D91A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最终向社会公开的地图与审核通过的地图内容及表现形式不一致，或者互联网地图服务审图号有效期届满未重新送审的事实进行认定，依法制作《行政处罚决定书》，载明违反法律法规或规章的事实和证据、行政处罚的具体依据和内容，告知当事人陈述申辩或者听证情况等内容，告知申请行政复议或提起行政诉讼的权利。</w:t>
            </w:r>
          </w:p>
          <w:p w14:paraId="3AF2361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1FE9BA8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79D4F52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8724717">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26C10E1">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FE9EB1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81CDD5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5E2215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4CEC25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CBC95D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F2A4D8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6BEE36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3F49B4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84BC80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D3908F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D67DC4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B9F795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80E4CE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E6A01E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01CEBE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134D92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4DD169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21FEA0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D80B511">
            <w:pPr>
              <w:snapToGrid w:val="0"/>
              <w:spacing w:line="240" w:lineRule="atLeast"/>
              <w:jc w:val="center"/>
              <w:rPr>
                <w:rFonts w:ascii="仿宋_GB2312" w:hAnsi="仿宋_GB2312" w:eastAsia="仿宋_GB2312" w:cs="仿宋_GB2312"/>
                <w:sz w:val="20"/>
                <w:szCs w:val="20"/>
              </w:rPr>
            </w:pPr>
          </w:p>
        </w:tc>
      </w:tr>
    </w:tbl>
    <w:p w14:paraId="265CA04D"/>
    <w:p w14:paraId="12D7C9DD"/>
    <w:p w14:paraId="2BC432A1"/>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886F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83BD368">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2278B97">
            <w:pPr>
              <w:spacing w:line="240" w:lineRule="atLeast"/>
              <w:rPr>
                <w:rFonts w:asciiTheme="majorEastAsia" w:hAnsiTheme="majorEastAsia" w:eastAsiaTheme="majorEastAsia" w:cstheme="majorEastAsia"/>
                <w:spacing w:val="-20"/>
                <w:sz w:val="20"/>
                <w:szCs w:val="20"/>
              </w:rPr>
            </w:pPr>
          </w:p>
          <w:p w14:paraId="6F696C0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8A9218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8665FD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AB22C2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8E7B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5627206">
            <w:pPr>
              <w:spacing w:line="240" w:lineRule="atLeast"/>
              <w:jc w:val="left"/>
              <w:rPr>
                <w:rFonts w:ascii="仿宋_GB2312" w:hAnsi="仿宋_GB2312" w:eastAsia="仿宋_GB2312" w:cs="仿宋_GB2312"/>
                <w:sz w:val="20"/>
                <w:szCs w:val="20"/>
              </w:rPr>
            </w:pPr>
          </w:p>
        </w:tc>
        <w:tc>
          <w:tcPr>
            <w:tcW w:w="555" w:type="dxa"/>
            <w:vMerge w:val="continue"/>
          </w:tcPr>
          <w:p w14:paraId="19CAF31C">
            <w:pPr>
              <w:spacing w:line="240" w:lineRule="atLeast"/>
              <w:jc w:val="left"/>
              <w:rPr>
                <w:rFonts w:ascii="仿宋_GB2312" w:hAnsi="仿宋_GB2312" w:eastAsia="仿宋_GB2312" w:cs="仿宋_GB2312"/>
                <w:sz w:val="20"/>
                <w:szCs w:val="20"/>
              </w:rPr>
            </w:pPr>
          </w:p>
        </w:tc>
        <w:tc>
          <w:tcPr>
            <w:tcW w:w="784" w:type="dxa"/>
            <w:vAlign w:val="center"/>
          </w:tcPr>
          <w:p w14:paraId="77319A5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9558AC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095C7E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0BC6AD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D39430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936CCB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1D1391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E1E433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BF07B3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C14E6E8">
            <w:pPr>
              <w:spacing w:line="240" w:lineRule="atLeast"/>
              <w:jc w:val="left"/>
              <w:rPr>
                <w:rFonts w:ascii="仿宋_GB2312" w:hAnsi="仿宋_GB2312" w:eastAsia="仿宋_GB2312" w:cs="仿宋_GB2312"/>
                <w:sz w:val="20"/>
                <w:szCs w:val="20"/>
              </w:rPr>
            </w:pPr>
          </w:p>
        </w:tc>
      </w:tr>
      <w:tr w14:paraId="1642C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AE52D3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160</w:t>
            </w:r>
          </w:p>
        </w:tc>
        <w:tc>
          <w:tcPr>
            <w:tcW w:w="555" w:type="dxa"/>
            <w:vAlign w:val="center"/>
          </w:tcPr>
          <w:p w14:paraId="6A78142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423C22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A06B3E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E94D08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对测绘单位测绘成果质量不合格行为的处罚</w:t>
            </w:r>
          </w:p>
        </w:tc>
        <w:tc>
          <w:tcPr>
            <w:tcW w:w="660" w:type="dxa"/>
            <w:vAlign w:val="center"/>
          </w:tcPr>
          <w:p w14:paraId="78CE0958">
            <w:pPr>
              <w:snapToGrid w:val="0"/>
              <w:spacing w:line="240" w:lineRule="atLeast"/>
              <w:jc w:val="center"/>
              <w:rPr>
                <w:rFonts w:ascii="仿宋_GB2312" w:hAnsi="仿宋_GB2312" w:eastAsia="仿宋_GB2312" w:cs="仿宋_GB2312"/>
                <w:sz w:val="20"/>
                <w:szCs w:val="20"/>
              </w:rPr>
            </w:pPr>
          </w:p>
        </w:tc>
        <w:tc>
          <w:tcPr>
            <w:tcW w:w="615" w:type="dxa"/>
            <w:vAlign w:val="center"/>
          </w:tcPr>
          <w:p w14:paraId="4FD3E6E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093172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1FD36B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六十三条：违反本法规定，测绘成果质量不合格的，责令测绘单位补测或者重测；情节严重的，责令停业整顿，并处降低测绘资质等级或者吊销测绘资质证书；造成损失的，依法承担赔偿责任。</w:t>
            </w:r>
          </w:p>
          <w:p w14:paraId="187FFB9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2.【行政法规】《基础测绘条例》（2009年国务院第556号令） 第三十三条：违反本条例规定，基础测绘成果质量不合格的，责令基础测绘项目承担单位补测或者重测；情节严重的，责令停业整顿，降低资质等级直至吊销测绘资质证书；给用户造成损失的，依法承担赔偿责任。</w:t>
            </w:r>
          </w:p>
        </w:tc>
        <w:tc>
          <w:tcPr>
            <w:tcW w:w="3585" w:type="dxa"/>
            <w:vAlign w:val="center"/>
          </w:tcPr>
          <w:p w14:paraId="646E9A1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1.立案责任：对于日常监督检查发现或举报投诉，涉嫌测绘成果质量不合格的情况，应及时制止（对正在实施的违法行为，下达《责令停止违法行为通知书》）,并进行审查核实，符合立案条件的予以立案。</w:t>
            </w:r>
          </w:p>
          <w:p w14:paraId="53BD43D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2.调查责任：执法人员不得少于两人，出示证件、表明身份；通过搜集证据、现场了解核实测绘成果质量不合格的情况，并制作笔录。调查时允许当事人辩解陈述。执法人员应保守有关秘密。</w:t>
            </w:r>
          </w:p>
          <w:p w14:paraId="669924D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7AD9792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4435781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测绘成果质量不合格的事实进行认定，依法制作《行政处罚决定书》，载明违反法律法规或规章的事实和证据、行政处罚的具体依据和内容，告知当事人陈述申辩或者听证情况等内容，告知申请行政复议或提起行政诉讼的权利。</w:t>
            </w:r>
          </w:p>
          <w:p w14:paraId="5ED95EC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302CB65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38C62C9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C754D55">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8B68010">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4B417F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5AC651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FF498B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28EC5B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412AE5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1AF90B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DB01A9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0757BD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2B878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429B5C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9B21DE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D14179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4EC623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3BB277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BADEB8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6A8892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48B344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AFCF4B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EB4F1D6">
            <w:pPr>
              <w:snapToGrid w:val="0"/>
              <w:spacing w:line="240" w:lineRule="atLeast"/>
              <w:jc w:val="center"/>
              <w:rPr>
                <w:rFonts w:ascii="仿宋_GB2312" w:hAnsi="仿宋_GB2312" w:eastAsia="仿宋_GB2312" w:cs="仿宋_GB2312"/>
                <w:sz w:val="20"/>
                <w:szCs w:val="20"/>
              </w:rPr>
            </w:pPr>
          </w:p>
        </w:tc>
      </w:tr>
    </w:tbl>
    <w:p w14:paraId="78FE3A23"/>
    <w:p w14:paraId="1B931E36"/>
    <w:p w14:paraId="0CD1211F"/>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3DD3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C2BB499">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0C8161C">
            <w:pPr>
              <w:spacing w:line="240" w:lineRule="atLeast"/>
              <w:rPr>
                <w:rFonts w:asciiTheme="majorEastAsia" w:hAnsiTheme="majorEastAsia" w:eastAsiaTheme="majorEastAsia" w:cstheme="majorEastAsia"/>
                <w:spacing w:val="-20"/>
                <w:sz w:val="20"/>
                <w:szCs w:val="20"/>
              </w:rPr>
            </w:pPr>
          </w:p>
          <w:p w14:paraId="43BA454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0A785E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072629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0DABB1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6316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E2344C7">
            <w:pPr>
              <w:spacing w:line="240" w:lineRule="atLeast"/>
              <w:jc w:val="left"/>
              <w:rPr>
                <w:rFonts w:ascii="仿宋_GB2312" w:hAnsi="仿宋_GB2312" w:eastAsia="仿宋_GB2312" w:cs="仿宋_GB2312"/>
                <w:sz w:val="20"/>
                <w:szCs w:val="20"/>
              </w:rPr>
            </w:pPr>
          </w:p>
        </w:tc>
        <w:tc>
          <w:tcPr>
            <w:tcW w:w="555" w:type="dxa"/>
            <w:vMerge w:val="continue"/>
          </w:tcPr>
          <w:p w14:paraId="012146B3">
            <w:pPr>
              <w:spacing w:line="240" w:lineRule="atLeast"/>
              <w:jc w:val="left"/>
              <w:rPr>
                <w:rFonts w:ascii="仿宋_GB2312" w:hAnsi="仿宋_GB2312" w:eastAsia="仿宋_GB2312" w:cs="仿宋_GB2312"/>
                <w:sz w:val="20"/>
                <w:szCs w:val="20"/>
              </w:rPr>
            </w:pPr>
          </w:p>
        </w:tc>
        <w:tc>
          <w:tcPr>
            <w:tcW w:w="784" w:type="dxa"/>
            <w:vAlign w:val="center"/>
          </w:tcPr>
          <w:p w14:paraId="5121FF3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247DD5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10211C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952EEC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7ABABA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97D5E2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8BF4F4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BC49FB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D13DA7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7B1B428">
            <w:pPr>
              <w:spacing w:line="240" w:lineRule="atLeast"/>
              <w:jc w:val="left"/>
              <w:rPr>
                <w:rFonts w:ascii="仿宋_GB2312" w:hAnsi="仿宋_GB2312" w:eastAsia="仿宋_GB2312" w:cs="仿宋_GB2312"/>
                <w:sz w:val="20"/>
                <w:szCs w:val="20"/>
              </w:rPr>
            </w:pPr>
          </w:p>
        </w:tc>
      </w:tr>
      <w:tr w14:paraId="680E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5DE2B1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161</w:t>
            </w:r>
          </w:p>
        </w:tc>
        <w:tc>
          <w:tcPr>
            <w:tcW w:w="555" w:type="dxa"/>
            <w:vAlign w:val="center"/>
          </w:tcPr>
          <w:p w14:paraId="0FABF5B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795F16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4AF846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B73851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对损毁、擅自移动永久性测量标志或者正在使用中的临时性测量标志行为的处罚</w:t>
            </w:r>
          </w:p>
        </w:tc>
        <w:tc>
          <w:tcPr>
            <w:tcW w:w="660" w:type="dxa"/>
            <w:vAlign w:val="center"/>
          </w:tcPr>
          <w:p w14:paraId="7586EF0C">
            <w:pPr>
              <w:snapToGrid w:val="0"/>
              <w:spacing w:line="240" w:lineRule="atLeast"/>
              <w:jc w:val="center"/>
              <w:rPr>
                <w:rFonts w:ascii="仿宋_GB2312" w:hAnsi="仿宋_GB2312" w:eastAsia="仿宋_GB2312" w:cs="仿宋_GB2312"/>
                <w:sz w:val="20"/>
                <w:szCs w:val="20"/>
              </w:rPr>
            </w:pPr>
          </w:p>
        </w:tc>
        <w:tc>
          <w:tcPr>
            <w:tcW w:w="615" w:type="dxa"/>
            <w:vAlign w:val="center"/>
          </w:tcPr>
          <w:p w14:paraId="4226091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FBBDC3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323CEE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四十一条：任何单位和个人不得损毁或者擅自移动永久性测量标志和正在使用中的临时性测量标志，不得侵占永久性测量标志用地，不得在永久性测量标志安全控制范围内从事危害测量标志安全和使用效能的活动。</w:t>
            </w:r>
          </w:p>
          <w:p w14:paraId="0BFAC4A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十四条：违反本法规定，有下列行为之一的，给予警告，责令改正，可以并处二十万元以下的罚款；对直接负责的主管人员和其他直接责任人员，依法给予处分；造成损失的，依法承担赔偿责任；构成犯罪的，依法追究刑事责任：</w:t>
            </w:r>
          </w:p>
          <w:p w14:paraId="6D5D976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（一）损毁、擅自移动永久性测量标志或者正在使用中的临时性测量标志。</w:t>
            </w:r>
          </w:p>
          <w:p w14:paraId="49D3DF4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2.【行政法规】《中华人民共和国测量标志保护条例》（1996年国务院令第203号发布，根据2011年1月8日国务院令第588号《国务院关于废止和修改部分行政法规的决定》修正） 第二十二条：测量标志受国家保护，禁止下列有损测量标志安全和使测量标志失去使用效能的行为：</w:t>
            </w:r>
          </w:p>
          <w:p w14:paraId="23B87A9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（一）损毁或者擅自移动地下或者地上的永久性测量标志以及使用中的临时性测量标志的。</w:t>
            </w:r>
          </w:p>
          <w:p w14:paraId="3AA9D10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三条：有本条例第二十二条禁止的行为之一，或者有下列行为之一的，由县级以上人民政府管理测绘工作的部门责令限期改正，给予警告，并可以根据情节处以5万元以下的罚款；对负有直接责任的主管人员和其他直接责任人员，依法给予行政处分；造成损失的，应当依法承担赔偿责任。</w:t>
            </w:r>
          </w:p>
        </w:tc>
        <w:tc>
          <w:tcPr>
            <w:tcW w:w="3585" w:type="dxa"/>
            <w:vAlign w:val="center"/>
          </w:tcPr>
          <w:p w14:paraId="0F23341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损毁、擅自移动永久性测量标志或者正在使用中的临时性测量标志的情况，应及时制止（对正在实施的违法行为，下达《责令停止违法行为通知书》）,并进行审查核实，符合立案条件的予以立案。</w:t>
            </w:r>
          </w:p>
          <w:p w14:paraId="140DA52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损毁、擅自移动永久性测量标志或者正在使用中的临时性测量标志的情况，并制作笔录。调查时允许当事人辩解陈述。执法人员应保守有关秘密。</w:t>
            </w:r>
          </w:p>
          <w:p w14:paraId="6C9489B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347E6B8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1672B88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损毁、擅自移动永久性测量标志或者正在使用中的临时性测量标志的事实进行认定，依法制作《行政处罚决定书》，载明违反法律法规或规章的事实和证据、行政处罚的具体依据和内容，告知当事人陈述申辩或者听证情况等内容，告知申请行政复议或提起行政诉讼的权利。</w:t>
            </w:r>
          </w:p>
          <w:p w14:paraId="1303147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14216D5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11D412C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7ACEED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F4C1AA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A2DD72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59EDFF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7A6346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E3F877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DF7381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B1914B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69BE60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41466B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E57DE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8EB737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2A1600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826BB7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F524F9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7ED32A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511316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228838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3073FC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9D6CDC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CFC5563">
            <w:pPr>
              <w:snapToGrid w:val="0"/>
              <w:spacing w:line="240" w:lineRule="atLeast"/>
              <w:jc w:val="center"/>
              <w:rPr>
                <w:rFonts w:ascii="仿宋_GB2312" w:hAnsi="仿宋_GB2312" w:eastAsia="仿宋_GB2312" w:cs="仿宋_GB2312"/>
                <w:sz w:val="20"/>
                <w:szCs w:val="20"/>
              </w:rPr>
            </w:pPr>
          </w:p>
        </w:tc>
      </w:tr>
    </w:tbl>
    <w:p w14:paraId="2EA00FB5"/>
    <w:p w14:paraId="24F0B587"/>
    <w:p w14:paraId="67B8BB40"/>
    <w:p w14:paraId="4489AB8E"/>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CC35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62C22F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3F4DD6C">
            <w:pPr>
              <w:spacing w:line="240" w:lineRule="atLeast"/>
              <w:rPr>
                <w:rFonts w:asciiTheme="majorEastAsia" w:hAnsiTheme="majorEastAsia" w:eastAsiaTheme="majorEastAsia" w:cstheme="majorEastAsia"/>
                <w:spacing w:val="-20"/>
                <w:sz w:val="20"/>
                <w:szCs w:val="20"/>
              </w:rPr>
            </w:pPr>
          </w:p>
          <w:p w14:paraId="6C96CF9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E72791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19DCB9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929F14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06F3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1FAA98E">
            <w:pPr>
              <w:spacing w:line="240" w:lineRule="atLeast"/>
              <w:jc w:val="left"/>
              <w:rPr>
                <w:rFonts w:ascii="仿宋_GB2312" w:hAnsi="仿宋_GB2312" w:eastAsia="仿宋_GB2312" w:cs="仿宋_GB2312"/>
                <w:sz w:val="20"/>
                <w:szCs w:val="20"/>
              </w:rPr>
            </w:pPr>
          </w:p>
        </w:tc>
        <w:tc>
          <w:tcPr>
            <w:tcW w:w="555" w:type="dxa"/>
            <w:vMerge w:val="continue"/>
          </w:tcPr>
          <w:p w14:paraId="445C4601">
            <w:pPr>
              <w:spacing w:line="240" w:lineRule="atLeast"/>
              <w:jc w:val="left"/>
              <w:rPr>
                <w:rFonts w:ascii="仿宋_GB2312" w:hAnsi="仿宋_GB2312" w:eastAsia="仿宋_GB2312" w:cs="仿宋_GB2312"/>
                <w:sz w:val="20"/>
                <w:szCs w:val="20"/>
              </w:rPr>
            </w:pPr>
          </w:p>
        </w:tc>
        <w:tc>
          <w:tcPr>
            <w:tcW w:w="784" w:type="dxa"/>
            <w:vAlign w:val="center"/>
          </w:tcPr>
          <w:p w14:paraId="5CCC5FC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32C1B1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6F0423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3A3D1C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E0A3EC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8B29CA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78A605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03B079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30D096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AD5183F">
            <w:pPr>
              <w:spacing w:line="240" w:lineRule="atLeast"/>
              <w:jc w:val="left"/>
              <w:rPr>
                <w:rFonts w:ascii="仿宋_GB2312" w:hAnsi="仿宋_GB2312" w:eastAsia="仿宋_GB2312" w:cs="仿宋_GB2312"/>
                <w:sz w:val="20"/>
                <w:szCs w:val="20"/>
              </w:rPr>
            </w:pPr>
          </w:p>
        </w:tc>
      </w:tr>
      <w:tr w14:paraId="537B2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5BF461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162</w:t>
            </w:r>
          </w:p>
        </w:tc>
        <w:tc>
          <w:tcPr>
            <w:tcW w:w="555" w:type="dxa"/>
            <w:vAlign w:val="center"/>
          </w:tcPr>
          <w:p w14:paraId="348FF13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5CEF20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204558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AE69A0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对侵占永久性测量标志用地行为的处罚</w:t>
            </w:r>
          </w:p>
        </w:tc>
        <w:tc>
          <w:tcPr>
            <w:tcW w:w="660" w:type="dxa"/>
            <w:vAlign w:val="center"/>
          </w:tcPr>
          <w:p w14:paraId="259EB4E5">
            <w:pPr>
              <w:snapToGrid w:val="0"/>
              <w:spacing w:line="240" w:lineRule="atLeast"/>
              <w:jc w:val="center"/>
              <w:rPr>
                <w:rFonts w:ascii="仿宋_GB2312" w:hAnsi="仿宋_GB2312" w:eastAsia="仿宋_GB2312" w:cs="仿宋_GB2312"/>
                <w:sz w:val="20"/>
                <w:szCs w:val="20"/>
              </w:rPr>
            </w:pPr>
          </w:p>
        </w:tc>
        <w:tc>
          <w:tcPr>
            <w:tcW w:w="615" w:type="dxa"/>
            <w:vAlign w:val="center"/>
          </w:tcPr>
          <w:p w14:paraId="066C78E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8B41CD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482B6D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四十一条：任何单位和个人不得损毁或者擅自移动永久性测量标志和正在使用中的临时性测量标志，不得侵占永久性测量标志用地，不得在永久性测量标志安全控制范围内从事危害测量标志安全和使用效能的活动。</w:t>
            </w:r>
          </w:p>
          <w:p w14:paraId="7D95684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十四条：违反本法规定，有下列行为之一的，给予警告，责令改正，可以并处二十万元以下的罚款；对直接负责的主管人员和其他直接责任人员，依法给予处分；造成损失的，依法承担赔偿责任；构成犯罪的，依法追究刑事责任：</w:t>
            </w:r>
          </w:p>
          <w:p w14:paraId="00AB26C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（二）侵占永久性测量标志用地。</w:t>
            </w:r>
          </w:p>
          <w:p w14:paraId="5FA2C2B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测量标志保护条例》（1996年国务院令第203号发布，根据2011年1月8日国务院令第588号《国务院关于废止和修改部分行政法规的决定》修正）第二十二条：测量标志受国家保护，禁止下列有损测量标志安全和使测量标志失去使用效能的行为：</w:t>
            </w:r>
          </w:p>
          <w:p w14:paraId="5D1248F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（二）在测量标志占地范围内烧荒、耕作、取土、挖沙或者侵占永久性测量标志用地的。</w:t>
            </w:r>
          </w:p>
          <w:p w14:paraId="22FCC5E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三条：有本条例第二十二条禁止的行为之一，或者有下列行为之一的，由县级以上人民政府管理测绘工作的部门责令限期改正，给予警告，并可以根据情节处以5万元以下的罚款；对负有直接责任的主管人员和其他直接责任人员，依法给予行政处分；造成损失的，应当依法承担赔偿责任。</w:t>
            </w:r>
          </w:p>
        </w:tc>
        <w:tc>
          <w:tcPr>
            <w:tcW w:w="3585" w:type="dxa"/>
            <w:vAlign w:val="center"/>
          </w:tcPr>
          <w:p w14:paraId="77E95B8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1.立案责任：对于日常监督检查发现或举报投诉，涉嫌侵占永久性测量标志用地的情况，应及时制止（对正在实施的违法行为，下达《责令停止违法行为通知书》）,并进行审查核实，符合立案条件的予以立案。</w:t>
            </w:r>
          </w:p>
          <w:p w14:paraId="243DF34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2.调查责任：执法人员不得少于两人，出示证件、表明身份；通过搜集证据、现场了解核实侵占永久性测量标志用地的情况，并制作笔录。调查时允许当事人辩解陈述。执法人员应保守有关秘密。</w:t>
            </w:r>
          </w:p>
          <w:p w14:paraId="299E3F0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4E5BE28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6BDADA5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侵占永久性测量标志用地的事实进行认定，依法制作《行政处罚决定书》，载明违反法律法规或规章的事实和证据、行政处罚的具体依据和内容，告知当事人陈述申辩或者听证情况等内容，告知申请行政复议或提起行政诉讼的权利。</w:t>
            </w:r>
          </w:p>
          <w:p w14:paraId="28540FD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0482DEB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7205CF3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C5F1CBD">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5074D57">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F44BEE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A59B72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EAB63A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3F3E22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49092C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37C7A8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695D62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9C83BF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C0EA31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093835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7432C0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BDCC23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080A37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AB2C46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EAA142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694416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A129B5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A58B63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624311C">
            <w:pPr>
              <w:snapToGrid w:val="0"/>
              <w:spacing w:line="240" w:lineRule="atLeast"/>
              <w:jc w:val="center"/>
              <w:rPr>
                <w:rFonts w:ascii="仿宋_GB2312" w:hAnsi="仿宋_GB2312" w:eastAsia="仿宋_GB2312" w:cs="仿宋_GB2312"/>
                <w:sz w:val="20"/>
                <w:szCs w:val="20"/>
              </w:rPr>
            </w:pPr>
          </w:p>
        </w:tc>
      </w:tr>
    </w:tbl>
    <w:p w14:paraId="241799F4"/>
    <w:p w14:paraId="0F066FC0"/>
    <w:p w14:paraId="198CF3D1"/>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3057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355B2CF">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3ACBBC1">
            <w:pPr>
              <w:spacing w:line="240" w:lineRule="atLeast"/>
              <w:rPr>
                <w:rFonts w:asciiTheme="majorEastAsia" w:hAnsiTheme="majorEastAsia" w:eastAsiaTheme="majorEastAsia" w:cstheme="majorEastAsia"/>
                <w:spacing w:val="-20"/>
                <w:sz w:val="20"/>
                <w:szCs w:val="20"/>
              </w:rPr>
            </w:pPr>
          </w:p>
          <w:p w14:paraId="2C0C1C3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4147AF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56CBF9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0FAFB48">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6BF7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4ACD553">
            <w:pPr>
              <w:spacing w:line="240" w:lineRule="atLeast"/>
              <w:jc w:val="left"/>
              <w:rPr>
                <w:rFonts w:ascii="仿宋_GB2312" w:hAnsi="仿宋_GB2312" w:eastAsia="仿宋_GB2312" w:cs="仿宋_GB2312"/>
                <w:sz w:val="20"/>
                <w:szCs w:val="20"/>
              </w:rPr>
            </w:pPr>
          </w:p>
        </w:tc>
        <w:tc>
          <w:tcPr>
            <w:tcW w:w="555" w:type="dxa"/>
            <w:vMerge w:val="continue"/>
          </w:tcPr>
          <w:p w14:paraId="523CBD7C">
            <w:pPr>
              <w:spacing w:line="240" w:lineRule="atLeast"/>
              <w:jc w:val="left"/>
              <w:rPr>
                <w:rFonts w:ascii="仿宋_GB2312" w:hAnsi="仿宋_GB2312" w:eastAsia="仿宋_GB2312" w:cs="仿宋_GB2312"/>
                <w:sz w:val="20"/>
                <w:szCs w:val="20"/>
              </w:rPr>
            </w:pPr>
          </w:p>
        </w:tc>
        <w:tc>
          <w:tcPr>
            <w:tcW w:w="784" w:type="dxa"/>
            <w:vAlign w:val="center"/>
          </w:tcPr>
          <w:p w14:paraId="5FA0560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259A2B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2D7D2B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35F42A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DE7CFA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84E35A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A1A7F1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7EDA80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42A5C3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991C569">
            <w:pPr>
              <w:spacing w:line="240" w:lineRule="atLeast"/>
              <w:jc w:val="left"/>
              <w:rPr>
                <w:rFonts w:ascii="仿宋_GB2312" w:hAnsi="仿宋_GB2312" w:eastAsia="仿宋_GB2312" w:cs="仿宋_GB2312"/>
                <w:sz w:val="20"/>
                <w:szCs w:val="20"/>
              </w:rPr>
            </w:pPr>
          </w:p>
        </w:tc>
      </w:tr>
      <w:tr w14:paraId="3110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43710E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163</w:t>
            </w:r>
          </w:p>
        </w:tc>
        <w:tc>
          <w:tcPr>
            <w:tcW w:w="555" w:type="dxa"/>
            <w:vAlign w:val="center"/>
          </w:tcPr>
          <w:p w14:paraId="738CCC4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520869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A88CD8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8E9F3D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对在永久性测量标志安全控制范围内从事危害测量标志安全和使用效能的活动行为的处罚</w:t>
            </w:r>
          </w:p>
        </w:tc>
        <w:tc>
          <w:tcPr>
            <w:tcW w:w="660" w:type="dxa"/>
            <w:vAlign w:val="center"/>
          </w:tcPr>
          <w:p w14:paraId="08654574">
            <w:pPr>
              <w:snapToGrid w:val="0"/>
              <w:spacing w:line="240" w:lineRule="atLeast"/>
              <w:jc w:val="center"/>
              <w:rPr>
                <w:rFonts w:ascii="仿宋_GB2312" w:hAnsi="仿宋_GB2312" w:eastAsia="仿宋_GB2312" w:cs="仿宋_GB2312"/>
                <w:sz w:val="20"/>
                <w:szCs w:val="20"/>
              </w:rPr>
            </w:pPr>
          </w:p>
        </w:tc>
        <w:tc>
          <w:tcPr>
            <w:tcW w:w="615" w:type="dxa"/>
            <w:vAlign w:val="center"/>
          </w:tcPr>
          <w:p w14:paraId="0268EE2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BF4D93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13A134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四十一条：任何单位和个人不得损毁或者擅自移动永久性测量标志和正在使用中的临时性测量标志，不得侵占永久性测量标志用地，不得在永久性测量标志安全控制范围内从事危害测量标志安全和使用效能的活动。</w:t>
            </w:r>
          </w:p>
          <w:p w14:paraId="19DFB0B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十四条：违反本法规定，有下列行为之一的，给予警告，责令改正，可以并处二十万元以下的罚款；对直接负责的主管人员和其他直接责任人员，依法给予处分；造成损失的，依法承担赔偿责任；构成犯罪的，依法追究刑事责任：</w:t>
            </w:r>
          </w:p>
          <w:p w14:paraId="0AAEEA8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（三）在永久性测量标志安全控制范围内从事危害测量标志安全和使用效能的活动；</w:t>
            </w:r>
          </w:p>
          <w:p w14:paraId="52C87C4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2.【行政法规】《中华人民共和国测量标志保护条例》（1996年国务院令第203号发布，2011年国务院令第588号修订）  第二十二条：测量标志受国家保护，禁止下列有损测量标志安全和使测量标志失去使用效能的行为：（一）损毁或者擅自移动地下或者地上的永久性测量标志以及使用中的临时性测量标志的；（二）在测量标志占地范围内烧荒、耕作、取土、挖沙或者侵占永久性测量标志用地的；（三）在距永久性测量标志50米范围内采石、爆破、射击、架设高压电线的；（四）在测量标志的占地范围内，建设影响测量标志使用效能的建筑物的；（五）在测量标志上架设通讯设施、设置观望台、搭帐篷、拴牲畜或者设置其他有可能损毁测量标志的附着物的；（六）擅自拆除设有测量标志的建筑物或者拆除建筑物上的测量标志的。（七）其他有损测量标志安全和使用效能的。</w:t>
            </w:r>
          </w:p>
          <w:p w14:paraId="39CCCB8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三条：有本条例第二十二条禁止的行为之一，或者有下列行为之一的，由县级以上人民政府管理测绘工作的部门责令限期改正，给予警告，并可以根据情节处以5万元以下的罚款；对负有直接责任的主管人员和其他直接责任人员，依法给予行政处分；造成损失的，应当依法承担赔偿责任：</w:t>
            </w:r>
          </w:p>
          <w:p w14:paraId="0D43C08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（一）干扰或者阻挠测量标志建设单位依法使用土地或者在建筑物上建设永久性测量标志的；</w:t>
            </w:r>
          </w:p>
          <w:p w14:paraId="6DE1D26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（二）工程建设单位未经批准擅自拆迁永久性测量标志或者使永久性测量标志失去使用效能的，或者拒绝按照国家有关规定支付迁建费用的；</w:t>
            </w:r>
          </w:p>
          <w:p w14:paraId="475F12E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（三）违反测绘操作规程进行测绘，使永久性测量标志受到损坏的；</w:t>
            </w:r>
          </w:p>
          <w:p w14:paraId="10F8D7C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（四）无证使用永久性测量标志并且拒绝县级以上人民政府管理测绘工作的部门监督和负责保管测量标志的单位和人员查询的。</w:t>
            </w:r>
          </w:p>
        </w:tc>
        <w:tc>
          <w:tcPr>
            <w:tcW w:w="3585" w:type="dxa"/>
            <w:vAlign w:val="center"/>
          </w:tcPr>
          <w:p w14:paraId="60565A1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在永久性测量标志安全控制范围内从事危害测量标志安全和使用效能的活动的情况，应及时制止（对正在实施的违法行为，下达《责令停止违法行为通知书》）,并进行审查核实，符合立案条件的予以立案。</w:t>
            </w:r>
          </w:p>
          <w:p w14:paraId="259359B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在永久性测量标志安全控制范围内从事危害测量标志安全和使用效能的活动的情况，并制作笔录。调查时允许当事人辩解陈述。执法人员应保守有关秘密。</w:t>
            </w:r>
          </w:p>
          <w:p w14:paraId="4243892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5734BEB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56C6412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在永久性测量标志安全控制范围内从事危害测量标志安全和使用效能的活动的事实进行认定，依法制作行《政处罚决定书》，载明违反法律法规或规章的事实和证据、行政处罚的具体依据和内容，告知当事人陈述申辩或者听证情况等内容，告知申请行政复议或提起行政诉讼的权利。</w:t>
            </w:r>
          </w:p>
          <w:p w14:paraId="2EAEDF4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0463207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10E6D80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5671F9B">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DEB099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13D9F4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837A6A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68FEB6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F69930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5B0055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2E4FD8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4A3ABF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49C845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DF918E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1BDCD3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CACC2C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C01538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9BEEEE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A7555D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9A5E3D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EBDCBA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96FDBF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62D41D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1811217">
            <w:pPr>
              <w:snapToGrid w:val="0"/>
              <w:spacing w:line="240" w:lineRule="atLeast"/>
              <w:jc w:val="center"/>
              <w:rPr>
                <w:rFonts w:ascii="仿宋_GB2312" w:hAnsi="仿宋_GB2312" w:eastAsia="仿宋_GB2312" w:cs="仿宋_GB2312"/>
                <w:sz w:val="20"/>
                <w:szCs w:val="20"/>
              </w:rPr>
            </w:pPr>
          </w:p>
        </w:tc>
      </w:tr>
    </w:tbl>
    <w:p w14:paraId="17FE4F25"/>
    <w:p w14:paraId="6180DC94"/>
    <w:p w14:paraId="65E0A337"/>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F60B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504B59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DC8F1DC">
            <w:pPr>
              <w:spacing w:line="240" w:lineRule="atLeast"/>
              <w:rPr>
                <w:rFonts w:asciiTheme="majorEastAsia" w:hAnsiTheme="majorEastAsia" w:eastAsiaTheme="majorEastAsia" w:cstheme="majorEastAsia"/>
                <w:spacing w:val="-20"/>
                <w:sz w:val="20"/>
                <w:szCs w:val="20"/>
              </w:rPr>
            </w:pPr>
          </w:p>
          <w:p w14:paraId="43BC3FB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2853BF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29EB6D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4FFEAE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D9E1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299A599">
            <w:pPr>
              <w:spacing w:line="240" w:lineRule="atLeast"/>
              <w:jc w:val="left"/>
              <w:rPr>
                <w:rFonts w:ascii="仿宋_GB2312" w:hAnsi="仿宋_GB2312" w:eastAsia="仿宋_GB2312" w:cs="仿宋_GB2312"/>
                <w:sz w:val="20"/>
                <w:szCs w:val="20"/>
              </w:rPr>
            </w:pPr>
          </w:p>
        </w:tc>
        <w:tc>
          <w:tcPr>
            <w:tcW w:w="555" w:type="dxa"/>
            <w:vMerge w:val="continue"/>
          </w:tcPr>
          <w:p w14:paraId="16F14906">
            <w:pPr>
              <w:spacing w:line="240" w:lineRule="atLeast"/>
              <w:jc w:val="left"/>
              <w:rPr>
                <w:rFonts w:ascii="仿宋_GB2312" w:hAnsi="仿宋_GB2312" w:eastAsia="仿宋_GB2312" w:cs="仿宋_GB2312"/>
                <w:sz w:val="20"/>
                <w:szCs w:val="20"/>
              </w:rPr>
            </w:pPr>
          </w:p>
        </w:tc>
        <w:tc>
          <w:tcPr>
            <w:tcW w:w="784" w:type="dxa"/>
            <w:vAlign w:val="center"/>
          </w:tcPr>
          <w:p w14:paraId="62C5BA5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8F5100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8C1D34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8E65B5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85D371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6FEACD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F7BA77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C342D0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BDAB9D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1913423">
            <w:pPr>
              <w:spacing w:line="240" w:lineRule="atLeast"/>
              <w:jc w:val="left"/>
              <w:rPr>
                <w:rFonts w:ascii="仿宋_GB2312" w:hAnsi="仿宋_GB2312" w:eastAsia="仿宋_GB2312" w:cs="仿宋_GB2312"/>
                <w:sz w:val="20"/>
                <w:szCs w:val="20"/>
              </w:rPr>
            </w:pPr>
          </w:p>
        </w:tc>
      </w:tr>
      <w:tr w14:paraId="5A98C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E1AE0C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164</w:t>
            </w:r>
          </w:p>
        </w:tc>
        <w:tc>
          <w:tcPr>
            <w:tcW w:w="555" w:type="dxa"/>
            <w:vAlign w:val="center"/>
          </w:tcPr>
          <w:p w14:paraId="04AD34F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F2505E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E2AE30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A589ED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对擅自拆除永久性测量标志或者使永久性测量标志失去使用效能，或者拒绝支付迁建费用行为的处罚</w:t>
            </w:r>
          </w:p>
        </w:tc>
        <w:tc>
          <w:tcPr>
            <w:tcW w:w="660" w:type="dxa"/>
            <w:vAlign w:val="center"/>
          </w:tcPr>
          <w:p w14:paraId="03096B24">
            <w:pPr>
              <w:snapToGrid w:val="0"/>
              <w:spacing w:line="240" w:lineRule="atLeast"/>
              <w:jc w:val="center"/>
              <w:rPr>
                <w:rFonts w:ascii="仿宋_GB2312" w:hAnsi="仿宋_GB2312" w:eastAsia="仿宋_GB2312" w:cs="仿宋_GB2312"/>
                <w:sz w:val="20"/>
                <w:szCs w:val="20"/>
              </w:rPr>
            </w:pPr>
          </w:p>
        </w:tc>
        <w:tc>
          <w:tcPr>
            <w:tcW w:w="615" w:type="dxa"/>
            <w:vAlign w:val="center"/>
          </w:tcPr>
          <w:p w14:paraId="435780A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7F99F4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4D00D9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四十一条：任何单位和个人不得损毁或者擅自移动永久性测量标志和正在使用中的临时性测量标志，不得侵占永久性测量标志用地，不得在永久性测量标志安全控制范围内从事危害测量标志安全和使用效能的活动。</w:t>
            </w:r>
          </w:p>
          <w:p w14:paraId="61D9B6F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十四条：违反本法规定，有下列行为之一的，给予警告，责令改正，可以并处二十万元以下的罚款；对直接负责的主管人员和其他直接责任人员，依法给予处分；造成损失的，依法承担赔偿责任；构成犯罪的，依法追究刑事责任：</w:t>
            </w:r>
          </w:p>
          <w:p w14:paraId="2CC2F0A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（四）擅自拆迁永久性测量标志或者使永久性测量标志失去使用效能，或者拒绝支付迁建费用；</w:t>
            </w:r>
          </w:p>
          <w:p w14:paraId="77AAE73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2.【行政法规】《中华人民共和国测量标志保护条例》（1996年国务院令第203号发布，2011年国务院令第588号修订）  第二十三条：有本条例第二十二条禁止的行为之一，或者有下列行为之一的，由县级以上人民政府管理测绘工作的部门责令限期改正，给予警告，并可以根据情节处以5万元以下的罚款；对负有直接责任的主管人员和其他直接责任人员，依法给予行政处分；造成损失的，应当依法承担赔偿责任：</w:t>
            </w:r>
          </w:p>
          <w:p w14:paraId="75CFCCD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（二）工程建设单位未经批准擅自拆迁永久性测量标志或者使永久性测量标志失去使用效能的，或者拒绝按照国家有关规定支付迁建费用的。</w:t>
            </w:r>
          </w:p>
        </w:tc>
        <w:tc>
          <w:tcPr>
            <w:tcW w:w="3585" w:type="dxa"/>
            <w:vAlign w:val="center"/>
          </w:tcPr>
          <w:p w14:paraId="74797BA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擅自拆除永久性测量标志或者使永久性测量标志失去使用效能，或者拒绝支付迁建费用的情况，应及时制止（对正在实施的违法行为，下达《责令停止违法行为通知书》）,并进行审查核实，符合立案条件的予以立案。</w:t>
            </w:r>
          </w:p>
          <w:p w14:paraId="6CB3900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擅自拆除永久性测量标志或者使永久性测量标志失去使用效能，或者拒绝支付迁建费用的情况，并制作笔录。调查时允许当事人辩解陈述。执法人员应保守有关秘密。</w:t>
            </w:r>
          </w:p>
          <w:p w14:paraId="4C50B16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4280F5D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6E9E76B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擅自拆除永久性测量标志或者使永久性测量标志失去使用效能，或者拒绝支付迁建费用的事实进行认定，依法制作《行政处罚决定书》，载明违反法律法规或规章的事实和证据、行政处罚的具体依据和内容，告知当事人陈述申辩或者听证情况等内容，告知申请行政复议或提起行政诉讼的权利。</w:t>
            </w:r>
          </w:p>
          <w:p w14:paraId="62E5FA6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4D6AF7F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457CBD1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ADE7DB1">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432269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A801A9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46D870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80C91E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CE47B6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814273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38CCFD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96FDAA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5E879D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985845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C910DE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63CF17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3FB6C5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27234B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C9CACF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8CE375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AB758D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B13CEF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84DCD8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324D553">
            <w:pPr>
              <w:snapToGrid w:val="0"/>
              <w:spacing w:line="240" w:lineRule="atLeast"/>
              <w:jc w:val="center"/>
              <w:rPr>
                <w:rFonts w:ascii="仿宋_GB2312" w:hAnsi="仿宋_GB2312" w:eastAsia="仿宋_GB2312" w:cs="仿宋_GB2312"/>
                <w:sz w:val="20"/>
                <w:szCs w:val="20"/>
              </w:rPr>
            </w:pPr>
          </w:p>
        </w:tc>
      </w:tr>
    </w:tbl>
    <w:p w14:paraId="202C37A8"/>
    <w:p w14:paraId="3FF77052"/>
    <w:p w14:paraId="6A597182"/>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D3A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0CD621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7570177">
            <w:pPr>
              <w:spacing w:line="240" w:lineRule="atLeast"/>
              <w:rPr>
                <w:rFonts w:asciiTheme="majorEastAsia" w:hAnsiTheme="majorEastAsia" w:eastAsiaTheme="majorEastAsia" w:cstheme="majorEastAsia"/>
                <w:spacing w:val="-20"/>
                <w:sz w:val="20"/>
                <w:szCs w:val="20"/>
              </w:rPr>
            </w:pPr>
          </w:p>
          <w:p w14:paraId="4BE7586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88A47A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358E29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6AB399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2E1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7C8E712">
            <w:pPr>
              <w:spacing w:line="240" w:lineRule="atLeast"/>
              <w:jc w:val="left"/>
              <w:rPr>
                <w:rFonts w:ascii="仿宋_GB2312" w:hAnsi="仿宋_GB2312" w:eastAsia="仿宋_GB2312" w:cs="仿宋_GB2312"/>
                <w:sz w:val="20"/>
                <w:szCs w:val="20"/>
              </w:rPr>
            </w:pPr>
          </w:p>
        </w:tc>
        <w:tc>
          <w:tcPr>
            <w:tcW w:w="555" w:type="dxa"/>
            <w:vMerge w:val="continue"/>
          </w:tcPr>
          <w:p w14:paraId="3B802A14">
            <w:pPr>
              <w:spacing w:line="240" w:lineRule="atLeast"/>
              <w:jc w:val="left"/>
              <w:rPr>
                <w:rFonts w:ascii="仿宋_GB2312" w:hAnsi="仿宋_GB2312" w:eastAsia="仿宋_GB2312" w:cs="仿宋_GB2312"/>
                <w:sz w:val="20"/>
                <w:szCs w:val="20"/>
              </w:rPr>
            </w:pPr>
          </w:p>
        </w:tc>
        <w:tc>
          <w:tcPr>
            <w:tcW w:w="784" w:type="dxa"/>
            <w:vAlign w:val="center"/>
          </w:tcPr>
          <w:p w14:paraId="3F9A75B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072598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5402FC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06A38D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AC35EA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6C87DE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FC529F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79375A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BB88A7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31A6808">
            <w:pPr>
              <w:spacing w:line="240" w:lineRule="atLeast"/>
              <w:jc w:val="left"/>
              <w:rPr>
                <w:rFonts w:ascii="仿宋_GB2312" w:hAnsi="仿宋_GB2312" w:eastAsia="仿宋_GB2312" w:cs="仿宋_GB2312"/>
                <w:sz w:val="20"/>
                <w:szCs w:val="20"/>
              </w:rPr>
            </w:pPr>
          </w:p>
        </w:tc>
      </w:tr>
      <w:tr w14:paraId="49E38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1F3A2D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165</w:t>
            </w:r>
          </w:p>
        </w:tc>
        <w:tc>
          <w:tcPr>
            <w:tcW w:w="555" w:type="dxa"/>
            <w:vAlign w:val="center"/>
          </w:tcPr>
          <w:p w14:paraId="4B7148B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A2819A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0E869C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1DA3E6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对违反操作规程使用永久性测量标志，造成永久性测量标志毁损行为的处罚</w:t>
            </w:r>
          </w:p>
        </w:tc>
        <w:tc>
          <w:tcPr>
            <w:tcW w:w="660" w:type="dxa"/>
            <w:vAlign w:val="center"/>
          </w:tcPr>
          <w:p w14:paraId="5A8BEA8D">
            <w:pPr>
              <w:snapToGrid w:val="0"/>
              <w:spacing w:line="240" w:lineRule="atLeast"/>
              <w:jc w:val="center"/>
              <w:rPr>
                <w:rFonts w:ascii="仿宋_GB2312" w:hAnsi="仿宋_GB2312" w:eastAsia="仿宋_GB2312" w:cs="仿宋_GB2312"/>
                <w:sz w:val="20"/>
                <w:szCs w:val="20"/>
              </w:rPr>
            </w:pPr>
          </w:p>
        </w:tc>
        <w:tc>
          <w:tcPr>
            <w:tcW w:w="615" w:type="dxa"/>
            <w:vAlign w:val="center"/>
          </w:tcPr>
          <w:p w14:paraId="0C52A9D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0E8D3A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CC651C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四十一条：任何单位和个人不得损毁或者擅自移动永久性测量标志和正在使用中的临时性测量标志，不得侵占永久性测量标志用地，不得在永久性测量标志安全控制范围内从事危害测量标志安全和使用效能的活动。</w:t>
            </w:r>
          </w:p>
          <w:p w14:paraId="373EB21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十四条：违反本法规定，有下列行为之一的，给予警告，责令改正，可以并处二十万元以下的罚款；对直接负责的主管人员和其他直接责任人员，依法给予处分；造成损失的，依法承担赔偿责任；构成犯罪的，依法追究刑事责任：</w:t>
            </w:r>
          </w:p>
          <w:p w14:paraId="483D9BF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（五）违反操作规程使用永久性测量标志，造成永久性测量标志毁损。</w:t>
            </w:r>
          </w:p>
        </w:tc>
        <w:tc>
          <w:tcPr>
            <w:tcW w:w="3585" w:type="dxa"/>
            <w:vAlign w:val="center"/>
          </w:tcPr>
          <w:p w14:paraId="69D434F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违反操作规程使用永久性测量标志，造成永久性测量标志损毁或损坏的情况，应及时制止（对正在实施的违法行为，下达《责令停止违法行为通知书》）,并进行审查核实，符合立案条件的予以立案。</w:t>
            </w:r>
          </w:p>
          <w:p w14:paraId="1E37214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违反操作规程使用永久性测量标志，造成永久性测量标志损毁或损坏的情况，并制作笔录。调查时允许当事人辩解陈述。执法人员应保守有关秘密。</w:t>
            </w:r>
          </w:p>
          <w:p w14:paraId="7686AB0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795BE4C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1D440B5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违反操作规程使用永久性测量标志，造成永久性测量标志损毁或损坏的事实进行认定，依法制作《行政处罚决定书》，载明违反法律法规或规章的事实和证据、行政处罚的具体依据和内容，告知当事人陈述申辩或者听证情况等内容，告知申请行政复议或提起行政诉讼的权利。</w:t>
            </w:r>
          </w:p>
          <w:p w14:paraId="5273F93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6176D00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2A49561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A0CCFA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0836443">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673E65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BBB712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066238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631AA6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3D7616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FED7271">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4744AA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ED0158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FB92D6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234D29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3A42C2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3F836A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7799B0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8A5C1C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42605E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D12D37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333BAF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BF51F4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1824E4F">
            <w:pPr>
              <w:snapToGrid w:val="0"/>
              <w:spacing w:line="240" w:lineRule="atLeast"/>
              <w:jc w:val="center"/>
              <w:rPr>
                <w:rFonts w:ascii="仿宋_GB2312" w:hAnsi="仿宋_GB2312" w:eastAsia="仿宋_GB2312" w:cs="仿宋_GB2312"/>
                <w:sz w:val="20"/>
                <w:szCs w:val="20"/>
              </w:rPr>
            </w:pPr>
          </w:p>
        </w:tc>
      </w:tr>
    </w:tbl>
    <w:p w14:paraId="684E25F9"/>
    <w:p w14:paraId="454668E0"/>
    <w:p w14:paraId="21D3FEF8"/>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5E26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843CC9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98DA280">
            <w:pPr>
              <w:spacing w:line="240" w:lineRule="atLeast"/>
              <w:rPr>
                <w:rFonts w:asciiTheme="majorEastAsia" w:hAnsiTheme="majorEastAsia" w:eastAsiaTheme="majorEastAsia" w:cstheme="majorEastAsia"/>
                <w:spacing w:val="-20"/>
                <w:sz w:val="20"/>
                <w:szCs w:val="20"/>
              </w:rPr>
            </w:pPr>
          </w:p>
          <w:p w14:paraId="58E2E09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C8A5DC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56DDFF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1919F0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EE49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90EACC8">
            <w:pPr>
              <w:spacing w:line="240" w:lineRule="atLeast"/>
              <w:jc w:val="left"/>
              <w:rPr>
                <w:rFonts w:ascii="仿宋_GB2312" w:hAnsi="仿宋_GB2312" w:eastAsia="仿宋_GB2312" w:cs="仿宋_GB2312"/>
                <w:sz w:val="20"/>
                <w:szCs w:val="20"/>
              </w:rPr>
            </w:pPr>
          </w:p>
        </w:tc>
        <w:tc>
          <w:tcPr>
            <w:tcW w:w="555" w:type="dxa"/>
            <w:vMerge w:val="continue"/>
          </w:tcPr>
          <w:p w14:paraId="0B6010E7">
            <w:pPr>
              <w:spacing w:line="240" w:lineRule="atLeast"/>
              <w:jc w:val="left"/>
              <w:rPr>
                <w:rFonts w:ascii="仿宋_GB2312" w:hAnsi="仿宋_GB2312" w:eastAsia="仿宋_GB2312" w:cs="仿宋_GB2312"/>
                <w:sz w:val="20"/>
                <w:szCs w:val="20"/>
              </w:rPr>
            </w:pPr>
          </w:p>
        </w:tc>
        <w:tc>
          <w:tcPr>
            <w:tcW w:w="784" w:type="dxa"/>
            <w:vAlign w:val="center"/>
          </w:tcPr>
          <w:p w14:paraId="03EA30E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11F8DD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2B1FDB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FA1C06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FEDFC2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1132CC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2C8425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E8C165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33D371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CECCF81">
            <w:pPr>
              <w:spacing w:line="240" w:lineRule="atLeast"/>
              <w:jc w:val="left"/>
              <w:rPr>
                <w:rFonts w:ascii="仿宋_GB2312" w:hAnsi="仿宋_GB2312" w:eastAsia="仿宋_GB2312" w:cs="仿宋_GB2312"/>
                <w:sz w:val="20"/>
                <w:szCs w:val="20"/>
              </w:rPr>
            </w:pPr>
          </w:p>
        </w:tc>
      </w:tr>
      <w:tr w14:paraId="0212C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218770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166</w:t>
            </w:r>
          </w:p>
        </w:tc>
        <w:tc>
          <w:tcPr>
            <w:tcW w:w="555" w:type="dxa"/>
            <w:vAlign w:val="center"/>
          </w:tcPr>
          <w:p w14:paraId="540CE2E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6FE94A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F4A364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1C101A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对其他有损测量标志安全和使用效能行为的处罚</w:t>
            </w:r>
          </w:p>
        </w:tc>
        <w:tc>
          <w:tcPr>
            <w:tcW w:w="660" w:type="dxa"/>
            <w:vAlign w:val="center"/>
          </w:tcPr>
          <w:p w14:paraId="0E206C6F">
            <w:pPr>
              <w:snapToGrid w:val="0"/>
              <w:spacing w:line="240" w:lineRule="atLeast"/>
              <w:jc w:val="center"/>
              <w:rPr>
                <w:rFonts w:ascii="仿宋_GB2312" w:hAnsi="仿宋_GB2312" w:eastAsia="仿宋_GB2312" w:cs="仿宋_GB2312"/>
                <w:sz w:val="20"/>
                <w:szCs w:val="20"/>
              </w:rPr>
            </w:pPr>
          </w:p>
        </w:tc>
        <w:tc>
          <w:tcPr>
            <w:tcW w:w="615" w:type="dxa"/>
            <w:vAlign w:val="center"/>
          </w:tcPr>
          <w:p w14:paraId="709C82D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4E7585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A3627A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【行政法规】《中华人民共和国测量标志保护条例》（1996年国务院令第203号发布，2011年国务院令第588号修订）第二十二条：测量标志受国家保护，禁止下列有损测量标志安全和使测量标志失去使用效能的行为：</w:t>
            </w:r>
          </w:p>
          <w:p w14:paraId="4B6287D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（七）其他有损测量标志安全和使用效能的。</w:t>
            </w:r>
          </w:p>
          <w:p w14:paraId="5F4E76A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三条：有本条例第二十二条禁止的行为之一，或者有下列行为之一的，由县级以上人民政府管理测绘工作的部门责令限期改正，给予警告，并可以根据情节处以5万元以下的罚款；对负有直接责任的主管人员和其他直接责任人员，依法给予行政处分；造成损失的，应当依法承担赔偿责任：</w:t>
            </w:r>
          </w:p>
          <w:p w14:paraId="5DE48A5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（一）干扰或者阻挠测量标志建设单位依法使用土地或者在建筑物上建设永久性测量标志的；</w:t>
            </w:r>
          </w:p>
          <w:p w14:paraId="5412F1D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（二）工程建设单位未经批准擅自拆迁永久性测量标志或者使永久性测量标志失去使用效能的，或者拒绝按照国家有关规定支付迁建费用的；</w:t>
            </w:r>
          </w:p>
          <w:p w14:paraId="0E7B631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（三）违反测绘操作规程进行测绘，使永久性测量标志受到损坏的；</w:t>
            </w:r>
          </w:p>
          <w:p w14:paraId="098E5F3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（四）无证使用永久性测量标志并且拒绝县级以上人民政府管理测绘工作的部门监督和负责保管测量标志的单位和人员查询的。</w:t>
            </w:r>
          </w:p>
        </w:tc>
        <w:tc>
          <w:tcPr>
            <w:tcW w:w="3585" w:type="dxa"/>
            <w:vAlign w:val="center"/>
          </w:tcPr>
          <w:p w14:paraId="563B380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其他有损测量标志安全和使用效能的情况，应及时制止（对正在实施的违法行为，下达《责令停止违法行为通知书》）,并进行审查核实，符合立案条件的予以立案。</w:t>
            </w:r>
          </w:p>
          <w:p w14:paraId="7486C8F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2.调查责任：执法人员不得少于两人，出示证件、表明身份；通过搜集证据、现场了解核实其他有损测量标志安全和使用效能的情况，并制作笔录。调查时允许当事人辩解陈述。执法人员应保守有关秘密。</w:t>
            </w:r>
          </w:p>
          <w:p w14:paraId="47BA7C3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7669818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04E9B70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其他有损测量标志安全和使用效能的事实进行认定，依法制作《行政处罚决定书》，载明违反法律法规或规章的事实和证据、行政处罚的具体依据和内容，告知当事人陈述申辩或者听证情况等内容，告知申请行政复议或提起行政诉讼的权利。</w:t>
            </w:r>
          </w:p>
          <w:p w14:paraId="2570985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511D3F3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0BE930B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B9F0679">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6F3C05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FFE063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C742C9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06BD72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68BF20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AA5EB7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8D36851">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7DEE32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C70792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86AC78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2F0075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78BACD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0AA54F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5D2CC5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BC311E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6101B9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04A6F0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16EC1A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726545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8F4E74D">
            <w:pPr>
              <w:snapToGrid w:val="0"/>
              <w:spacing w:line="240" w:lineRule="atLeast"/>
              <w:jc w:val="center"/>
              <w:rPr>
                <w:rFonts w:ascii="仿宋_GB2312" w:hAnsi="仿宋_GB2312" w:eastAsia="仿宋_GB2312" w:cs="仿宋_GB2312"/>
                <w:sz w:val="20"/>
                <w:szCs w:val="20"/>
              </w:rPr>
            </w:pPr>
          </w:p>
        </w:tc>
      </w:tr>
    </w:tbl>
    <w:p w14:paraId="11A3730B"/>
    <w:p w14:paraId="7955BDAF"/>
    <w:p w14:paraId="09231590"/>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EFE3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C1904F3">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3E94992">
            <w:pPr>
              <w:spacing w:line="240" w:lineRule="atLeast"/>
              <w:rPr>
                <w:rFonts w:asciiTheme="majorEastAsia" w:hAnsiTheme="majorEastAsia" w:eastAsiaTheme="majorEastAsia" w:cstheme="majorEastAsia"/>
                <w:spacing w:val="-20"/>
                <w:sz w:val="20"/>
                <w:szCs w:val="20"/>
              </w:rPr>
            </w:pPr>
          </w:p>
          <w:p w14:paraId="49A41F3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832AFC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288352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B25BFB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064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C9DE78A">
            <w:pPr>
              <w:spacing w:line="240" w:lineRule="atLeast"/>
              <w:jc w:val="left"/>
              <w:rPr>
                <w:rFonts w:ascii="仿宋_GB2312" w:hAnsi="仿宋_GB2312" w:eastAsia="仿宋_GB2312" w:cs="仿宋_GB2312"/>
                <w:sz w:val="20"/>
                <w:szCs w:val="20"/>
              </w:rPr>
            </w:pPr>
          </w:p>
        </w:tc>
        <w:tc>
          <w:tcPr>
            <w:tcW w:w="555" w:type="dxa"/>
            <w:vMerge w:val="continue"/>
          </w:tcPr>
          <w:p w14:paraId="07EB4855">
            <w:pPr>
              <w:spacing w:line="240" w:lineRule="atLeast"/>
              <w:jc w:val="left"/>
              <w:rPr>
                <w:rFonts w:ascii="仿宋_GB2312" w:hAnsi="仿宋_GB2312" w:eastAsia="仿宋_GB2312" w:cs="仿宋_GB2312"/>
                <w:sz w:val="20"/>
                <w:szCs w:val="20"/>
              </w:rPr>
            </w:pPr>
          </w:p>
        </w:tc>
        <w:tc>
          <w:tcPr>
            <w:tcW w:w="784" w:type="dxa"/>
            <w:vAlign w:val="center"/>
          </w:tcPr>
          <w:p w14:paraId="2AC5A54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08612B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1DCDAE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B2FDEB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FA7FD7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AE79DE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386988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C9F295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D1BE68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A1C329E">
            <w:pPr>
              <w:spacing w:line="240" w:lineRule="atLeast"/>
              <w:jc w:val="left"/>
              <w:rPr>
                <w:rFonts w:ascii="仿宋_GB2312" w:hAnsi="仿宋_GB2312" w:eastAsia="仿宋_GB2312" w:cs="仿宋_GB2312"/>
                <w:sz w:val="20"/>
                <w:szCs w:val="20"/>
              </w:rPr>
            </w:pPr>
          </w:p>
        </w:tc>
      </w:tr>
      <w:tr w14:paraId="56C91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A3D653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167</w:t>
            </w:r>
          </w:p>
        </w:tc>
        <w:tc>
          <w:tcPr>
            <w:tcW w:w="555" w:type="dxa"/>
            <w:vAlign w:val="center"/>
          </w:tcPr>
          <w:p w14:paraId="56AEFD4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FECCD7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CBEAAD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A24C50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对干扰或者阻挠测量标志建设单位依法使用土地或者在建筑物上建设永久性测量标志行为的处罚</w:t>
            </w:r>
          </w:p>
        </w:tc>
        <w:tc>
          <w:tcPr>
            <w:tcW w:w="660" w:type="dxa"/>
            <w:vAlign w:val="center"/>
          </w:tcPr>
          <w:p w14:paraId="74C88CD2">
            <w:pPr>
              <w:snapToGrid w:val="0"/>
              <w:spacing w:line="240" w:lineRule="atLeast"/>
              <w:jc w:val="center"/>
              <w:rPr>
                <w:rFonts w:ascii="仿宋_GB2312" w:hAnsi="仿宋_GB2312" w:eastAsia="仿宋_GB2312" w:cs="仿宋_GB2312"/>
                <w:sz w:val="20"/>
                <w:szCs w:val="20"/>
              </w:rPr>
            </w:pPr>
          </w:p>
        </w:tc>
        <w:tc>
          <w:tcPr>
            <w:tcW w:w="615" w:type="dxa"/>
            <w:vAlign w:val="center"/>
          </w:tcPr>
          <w:p w14:paraId="598F02D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D9B6AB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FEF466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中华人民共和国测量标志保护条例》（1996年国务院令第203号发布，2011年国务院令第588号修订）第二十三条：有本条例第二十二条禁止的行为之一，或者有下列行为之一的，由县级以上人民政府管理测绘工作的部门责令限期改正，给予警告，并可以根据情节处以5万元以下的罚款；对负有直接责任的主管人员和其他直接责任人员，依法给予行政处分；造成损失的，应当依法承担赔偿责任：</w:t>
            </w:r>
          </w:p>
          <w:p w14:paraId="3AA1EF3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（一）干扰或者阻挠测量标志建设单位依法使用土地或者在建筑物上建设永久性测量标志的。</w:t>
            </w:r>
          </w:p>
        </w:tc>
        <w:tc>
          <w:tcPr>
            <w:tcW w:w="3585" w:type="dxa"/>
            <w:vAlign w:val="center"/>
          </w:tcPr>
          <w:p w14:paraId="4E753EB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干扰或者阻挠测量标志建设单位依法使用土地或者在建筑物上建设永久性测量标志的情况，应及时制止（对正在实施的违法行为，下达《责令停止违法行为通知书》）,并进行审查核实，符合立案条件的予以立案。</w:t>
            </w:r>
          </w:p>
          <w:p w14:paraId="3E502FC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干扰或者阻挠测量标志建设单位依法使用土地或者在建筑物上建设永久性测量标志的情况，并制作笔录。调查时允许当事人辩解陈述。执法人员应保守有关秘密。</w:t>
            </w:r>
          </w:p>
          <w:p w14:paraId="4BDF821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79CB3D7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4787CE2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干扰或者阻挠测量标志建设单位依法使用土地或者在建筑物上建设永久性测量标志的事实进行认定，依法制作《行政处罚决定书》，载明违反法律法规或规章的事实和证据、行政处罚的具体依据和内容，告知当事人陈述申辩或者听证情况等内容，告知申请行政复议或提起行政诉讼的权利。</w:t>
            </w:r>
          </w:p>
          <w:p w14:paraId="138F6E3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762C85B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7C489D9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A1FE71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0A3BEF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17B666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1E5A82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64B6FD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A23946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52830E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3B0114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D8BBCB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A0A3DD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D07EF2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7D8963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EC2B46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AB47D3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B48F4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BA90B5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F2BC09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0F754D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80F50E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F27506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58C00BB">
            <w:pPr>
              <w:snapToGrid w:val="0"/>
              <w:spacing w:line="240" w:lineRule="atLeast"/>
              <w:jc w:val="center"/>
              <w:rPr>
                <w:rFonts w:ascii="仿宋_GB2312" w:hAnsi="仿宋_GB2312" w:eastAsia="仿宋_GB2312" w:cs="仿宋_GB2312"/>
                <w:sz w:val="20"/>
                <w:szCs w:val="20"/>
              </w:rPr>
            </w:pPr>
          </w:p>
        </w:tc>
      </w:tr>
    </w:tbl>
    <w:p w14:paraId="70804ADF"/>
    <w:p w14:paraId="0D15F10D"/>
    <w:p w14:paraId="04348B78"/>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04C1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670241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9066B53">
            <w:pPr>
              <w:spacing w:line="240" w:lineRule="atLeast"/>
              <w:rPr>
                <w:rFonts w:asciiTheme="majorEastAsia" w:hAnsiTheme="majorEastAsia" w:eastAsiaTheme="majorEastAsia" w:cstheme="majorEastAsia"/>
                <w:spacing w:val="-20"/>
                <w:sz w:val="20"/>
                <w:szCs w:val="20"/>
              </w:rPr>
            </w:pPr>
          </w:p>
          <w:p w14:paraId="469772E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D3AC81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2F7D6F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EAE40A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5542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C5D7B9D">
            <w:pPr>
              <w:spacing w:line="240" w:lineRule="atLeast"/>
              <w:jc w:val="left"/>
              <w:rPr>
                <w:rFonts w:ascii="仿宋_GB2312" w:hAnsi="仿宋_GB2312" w:eastAsia="仿宋_GB2312" w:cs="仿宋_GB2312"/>
                <w:sz w:val="20"/>
                <w:szCs w:val="20"/>
              </w:rPr>
            </w:pPr>
          </w:p>
        </w:tc>
        <w:tc>
          <w:tcPr>
            <w:tcW w:w="555" w:type="dxa"/>
            <w:vMerge w:val="continue"/>
          </w:tcPr>
          <w:p w14:paraId="7ADE5F5C">
            <w:pPr>
              <w:spacing w:line="240" w:lineRule="atLeast"/>
              <w:jc w:val="left"/>
              <w:rPr>
                <w:rFonts w:ascii="仿宋_GB2312" w:hAnsi="仿宋_GB2312" w:eastAsia="仿宋_GB2312" w:cs="仿宋_GB2312"/>
                <w:sz w:val="20"/>
                <w:szCs w:val="20"/>
              </w:rPr>
            </w:pPr>
          </w:p>
        </w:tc>
        <w:tc>
          <w:tcPr>
            <w:tcW w:w="784" w:type="dxa"/>
            <w:vAlign w:val="center"/>
          </w:tcPr>
          <w:p w14:paraId="5200599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6A61D8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E72737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C6CA3D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B18495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E2C9F4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0D5660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0360C2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8C1426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009015B">
            <w:pPr>
              <w:spacing w:line="240" w:lineRule="atLeast"/>
              <w:jc w:val="left"/>
              <w:rPr>
                <w:rFonts w:ascii="仿宋_GB2312" w:hAnsi="仿宋_GB2312" w:eastAsia="仿宋_GB2312" w:cs="仿宋_GB2312"/>
                <w:sz w:val="20"/>
                <w:szCs w:val="20"/>
              </w:rPr>
            </w:pPr>
          </w:p>
        </w:tc>
      </w:tr>
      <w:tr w14:paraId="2DEDF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4200FB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168</w:t>
            </w:r>
          </w:p>
        </w:tc>
        <w:tc>
          <w:tcPr>
            <w:tcW w:w="555" w:type="dxa"/>
            <w:vAlign w:val="center"/>
          </w:tcPr>
          <w:p w14:paraId="03D5A05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55D3B4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A882F4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D5AE18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对无证使用永久性测量标志并且拒绝县级以上人民政府管理测绘工作的部门监督和负责保管测量标志的单位和人员查询行为的处罚</w:t>
            </w:r>
          </w:p>
        </w:tc>
        <w:tc>
          <w:tcPr>
            <w:tcW w:w="660" w:type="dxa"/>
            <w:vAlign w:val="center"/>
          </w:tcPr>
          <w:p w14:paraId="331E5EED">
            <w:pPr>
              <w:snapToGrid w:val="0"/>
              <w:spacing w:line="240" w:lineRule="atLeast"/>
              <w:jc w:val="center"/>
              <w:rPr>
                <w:rFonts w:ascii="仿宋_GB2312" w:hAnsi="仿宋_GB2312" w:eastAsia="仿宋_GB2312" w:cs="仿宋_GB2312"/>
                <w:sz w:val="20"/>
                <w:szCs w:val="20"/>
              </w:rPr>
            </w:pPr>
          </w:p>
        </w:tc>
        <w:tc>
          <w:tcPr>
            <w:tcW w:w="615" w:type="dxa"/>
            <w:vAlign w:val="center"/>
          </w:tcPr>
          <w:p w14:paraId="5E47935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D04E20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52C9E5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中华人民共和国测量标志保护条例》（1996年国务院令第203号发布，2011年国务院令第588号修订）第二十三条：有本条例第二十二条禁止的行为之一，或者有下列行为之一的，由县级以上人民政府管理测绘工作的部门责令限期改正，给予警告，并可以根据情节处以5万元以下的罚款；对负有直接责任的主管人员和其他直接责任人员，依法给予行政处分；造成损失的，应当依法承担赔偿责任：</w:t>
            </w:r>
          </w:p>
          <w:p w14:paraId="2117EF2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（四）无证使用永久性测量标志并且拒绝县级以上人民政府管理测绘工作的部门监督和负责保管测量标志的单位和人员查询的。</w:t>
            </w:r>
          </w:p>
        </w:tc>
        <w:tc>
          <w:tcPr>
            <w:tcW w:w="3585" w:type="dxa"/>
            <w:vAlign w:val="center"/>
          </w:tcPr>
          <w:p w14:paraId="2C1B1E6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无证使用永久性测量标志并且拒绝县级以上人民政府管理测绘工作的部门监督和负责保管测量标志的单位和人员查询的情况，应及时制止（对正在实施的违法行为，下达《责令停止违法行为通知书》）,并进行审查核实，符合立案条件的予以立案。</w:t>
            </w:r>
          </w:p>
          <w:p w14:paraId="311DC9A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无证使用永久性测量标志并且拒绝县级以上人民政府管理测绘工作的部门监督和负责保管测量标志的单位和个人查询的情况，并制作笔录。调查时允许当事人辩解陈述。执法人员应保守有关秘密。</w:t>
            </w:r>
          </w:p>
          <w:p w14:paraId="2EB6D9D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363A820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6999172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无证使用永久性测量标志并且拒绝县级以上人民政府管理测绘工作的部门监督和负责保管测量标志的单位和个人查询的事实进行认定，依法制作《行政处罚决定书》，载明违反法律法规或规章的事实和证据、行政处罚的具体依据和内容，告知当事人陈述申辩或者听证情况等内容，告知申请行政复议或提起行政诉讼的权利。</w:t>
            </w:r>
          </w:p>
          <w:p w14:paraId="2924FA4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5BFEAF3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29C34DA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3B47DA7">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B2E9E67">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BFE314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11D382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AFF7AB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1E915C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75756E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5C6BBF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270B1E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24F849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3194BD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C8F889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64E8EE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DFF3CC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06DFB7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C86D0D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98C5BF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1CF0C4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B672F3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2C0935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C227165">
            <w:pPr>
              <w:snapToGrid w:val="0"/>
              <w:spacing w:line="240" w:lineRule="atLeast"/>
              <w:jc w:val="center"/>
              <w:rPr>
                <w:rFonts w:ascii="仿宋_GB2312" w:hAnsi="仿宋_GB2312" w:eastAsia="仿宋_GB2312" w:cs="仿宋_GB2312"/>
                <w:sz w:val="20"/>
                <w:szCs w:val="20"/>
              </w:rPr>
            </w:pPr>
          </w:p>
        </w:tc>
      </w:tr>
    </w:tbl>
    <w:p w14:paraId="02B24C40"/>
    <w:p w14:paraId="05B46FEB"/>
    <w:p w14:paraId="7705A7AF"/>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E1F3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DD0914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EF9E4DD">
            <w:pPr>
              <w:spacing w:line="240" w:lineRule="atLeast"/>
              <w:rPr>
                <w:rFonts w:asciiTheme="majorEastAsia" w:hAnsiTheme="majorEastAsia" w:eastAsiaTheme="majorEastAsia" w:cstheme="majorEastAsia"/>
                <w:spacing w:val="-20"/>
                <w:sz w:val="20"/>
                <w:szCs w:val="20"/>
              </w:rPr>
            </w:pPr>
          </w:p>
          <w:p w14:paraId="641258C8">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FB2DE6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BD32C3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E3FA18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2CA9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5722E71">
            <w:pPr>
              <w:spacing w:line="240" w:lineRule="atLeast"/>
              <w:jc w:val="left"/>
              <w:rPr>
                <w:rFonts w:ascii="仿宋_GB2312" w:hAnsi="仿宋_GB2312" w:eastAsia="仿宋_GB2312" w:cs="仿宋_GB2312"/>
                <w:sz w:val="20"/>
                <w:szCs w:val="20"/>
              </w:rPr>
            </w:pPr>
          </w:p>
        </w:tc>
        <w:tc>
          <w:tcPr>
            <w:tcW w:w="555" w:type="dxa"/>
            <w:vMerge w:val="continue"/>
          </w:tcPr>
          <w:p w14:paraId="540C09AF">
            <w:pPr>
              <w:spacing w:line="240" w:lineRule="atLeast"/>
              <w:jc w:val="left"/>
              <w:rPr>
                <w:rFonts w:ascii="仿宋_GB2312" w:hAnsi="仿宋_GB2312" w:eastAsia="仿宋_GB2312" w:cs="仿宋_GB2312"/>
                <w:sz w:val="20"/>
                <w:szCs w:val="20"/>
              </w:rPr>
            </w:pPr>
          </w:p>
        </w:tc>
        <w:tc>
          <w:tcPr>
            <w:tcW w:w="784" w:type="dxa"/>
            <w:vAlign w:val="center"/>
          </w:tcPr>
          <w:p w14:paraId="49B136D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90D72A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1A172D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8ED010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658BB86">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D55A1D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2B1B7D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9D27DC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85ADE6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E42E0A3">
            <w:pPr>
              <w:spacing w:line="240" w:lineRule="atLeast"/>
              <w:jc w:val="left"/>
              <w:rPr>
                <w:rFonts w:ascii="仿宋_GB2312" w:hAnsi="仿宋_GB2312" w:eastAsia="仿宋_GB2312" w:cs="仿宋_GB2312"/>
                <w:sz w:val="20"/>
                <w:szCs w:val="20"/>
              </w:rPr>
            </w:pPr>
          </w:p>
        </w:tc>
      </w:tr>
      <w:tr w14:paraId="1E1BB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411CEB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169</w:t>
            </w:r>
          </w:p>
        </w:tc>
        <w:tc>
          <w:tcPr>
            <w:tcW w:w="555" w:type="dxa"/>
            <w:vAlign w:val="center"/>
          </w:tcPr>
          <w:p w14:paraId="6158415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D6DAC2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045D9F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85A4C5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对地理信息生产、保管、利用单位未对属于国家秘密的地理信息的获取、持有、提供、利用情况进行登记、长期保存的，泄露国家秘密行为的处罚</w:t>
            </w:r>
          </w:p>
        </w:tc>
        <w:tc>
          <w:tcPr>
            <w:tcW w:w="660" w:type="dxa"/>
            <w:vAlign w:val="center"/>
          </w:tcPr>
          <w:p w14:paraId="5145EB85">
            <w:pPr>
              <w:snapToGrid w:val="0"/>
              <w:spacing w:line="240" w:lineRule="atLeast"/>
              <w:jc w:val="center"/>
              <w:rPr>
                <w:rFonts w:ascii="仿宋_GB2312" w:hAnsi="仿宋_GB2312" w:eastAsia="仿宋_GB2312" w:cs="仿宋_GB2312"/>
                <w:sz w:val="20"/>
                <w:szCs w:val="20"/>
              </w:rPr>
            </w:pPr>
          </w:p>
        </w:tc>
        <w:tc>
          <w:tcPr>
            <w:tcW w:w="615" w:type="dxa"/>
            <w:vAlign w:val="center"/>
          </w:tcPr>
          <w:p w14:paraId="543E96F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6FEB17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9FF65C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法律】《中华人民共和国测绘法》第六十五条第一款：违反本法规定，地理信息生产、保管、利用单位未对属于国家秘密的地理信息的获取、持有、提供、利用情况进行登记、长期保存的，给予警告，责令改正，可以并处二十万元以下的罚款；泄露国家秘密的，责令停业整顿，并处降低测绘资质等级或者吊销测绘资质证书；构成犯罪的，依法追究刑事责任。</w:t>
            </w:r>
          </w:p>
        </w:tc>
        <w:tc>
          <w:tcPr>
            <w:tcW w:w="3585" w:type="dxa"/>
            <w:vAlign w:val="center"/>
          </w:tcPr>
          <w:p w14:paraId="6CE0AA1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地理信息生产、保管、利用单位未对属于国家秘密的地理信息的获取、持有、提供、利用情况进行登记、长期保存的，泄露国家秘密的情况，应及时制止（对正在实施的违法行为，下达《责令停止违法行为通知书》）,并进行审查核实，符合立案条件的予以立案。</w:t>
            </w:r>
          </w:p>
          <w:p w14:paraId="7F3F642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地理信息生产、保管、利用单位未对属于国家秘密的地理信息的获取、持有、提供、利用情况进行登记、长期保存的，泄露国家秘密的情况，并制作笔录。调查时允许当事人辩解陈述。执法人员应保守有关秘密。</w:t>
            </w:r>
          </w:p>
          <w:p w14:paraId="650B332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425CCCD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7F03C0D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地理信息生产、保管、利用单位未对属于国家秘密的地理信息的获取、持有、提供、利用情况进行登记、长期保存的事实进行认定，依法制作《行政处罚决定书》，载明违反法律法规或规章的事实和证据、行政处罚的具体依据和内容，告知当事人陈述申辩或者听证情况等内容，告知申请行政复议或提起行政诉讼的权利。</w:t>
            </w:r>
          </w:p>
          <w:p w14:paraId="1F7CC99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700D2FC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5FBAE69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E0AD33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C0BBD96">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A87351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5F155C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280409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F22734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D21F99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BA1E501">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97CC29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4C4ECA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C122D3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9EA9D0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A3306A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1B6E4F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2767B3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028B93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BFEA4B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5B1F36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22BF12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8C7670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D793AF3">
            <w:pPr>
              <w:snapToGrid w:val="0"/>
              <w:spacing w:line="240" w:lineRule="atLeast"/>
              <w:jc w:val="center"/>
              <w:rPr>
                <w:rFonts w:ascii="仿宋_GB2312" w:hAnsi="仿宋_GB2312" w:eastAsia="仿宋_GB2312" w:cs="仿宋_GB2312"/>
                <w:sz w:val="20"/>
                <w:szCs w:val="20"/>
              </w:rPr>
            </w:pPr>
          </w:p>
        </w:tc>
      </w:tr>
    </w:tbl>
    <w:p w14:paraId="4F3A0941"/>
    <w:p w14:paraId="01D3AFCB"/>
    <w:p w14:paraId="48D709C2"/>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590C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1F51CD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FE1774F">
            <w:pPr>
              <w:spacing w:line="240" w:lineRule="atLeast"/>
              <w:rPr>
                <w:rFonts w:asciiTheme="majorEastAsia" w:hAnsiTheme="majorEastAsia" w:eastAsiaTheme="majorEastAsia" w:cstheme="majorEastAsia"/>
                <w:spacing w:val="-20"/>
                <w:sz w:val="20"/>
                <w:szCs w:val="20"/>
              </w:rPr>
            </w:pPr>
          </w:p>
          <w:p w14:paraId="1B1F7A5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2C1011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752291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936D34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7B27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0973DFC">
            <w:pPr>
              <w:spacing w:line="240" w:lineRule="atLeast"/>
              <w:jc w:val="left"/>
              <w:rPr>
                <w:rFonts w:ascii="仿宋_GB2312" w:hAnsi="仿宋_GB2312" w:eastAsia="仿宋_GB2312" w:cs="仿宋_GB2312"/>
                <w:sz w:val="20"/>
                <w:szCs w:val="20"/>
              </w:rPr>
            </w:pPr>
          </w:p>
        </w:tc>
        <w:tc>
          <w:tcPr>
            <w:tcW w:w="555" w:type="dxa"/>
            <w:vMerge w:val="continue"/>
          </w:tcPr>
          <w:p w14:paraId="26198BD2">
            <w:pPr>
              <w:spacing w:line="240" w:lineRule="atLeast"/>
              <w:jc w:val="left"/>
              <w:rPr>
                <w:rFonts w:ascii="仿宋_GB2312" w:hAnsi="仿宋_GB2312" w:eastAsia="仿宋_GB2312" w:cs="仿宋_GB2312"/>
                <w:sz w:val="20"/>
                <w:szCs w:val="20"/>
              </w:rPr>
            </w:pPr>
          </w:p>
        </w:tc>
        <w:tc>
          <w:tcPr>
            <w:tcW w:w="784" w:type="dxa"/>
            <w:vAlign w:val="center"/>
          </w:tcPr>
          <w:p w14:paraId="7314332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DBF74C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B17485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C2119E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2D19AF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2CC2C9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6804BC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EE6AD7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74D9B4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CF15C3E">
            <w:pPr>
              <w:spacing w:line="240" w:lineRule="atLeast"/>
              <w:jc w:val="left"/>
              <w:rPr>
                <w:rFonts w:ascii="仿宋_GB2312" w:hAnsi="仿宋_GB2312" w:eastAsia="仿宋_GB2312" w:cs="仿宋_GB2312"/>
                <w:sz w:val="20"/>
                <w:szCs w:val="20"/>
              </w:rPr>
            </w:pPr>
          </w:p>
        </w:tc>
      </w:tr>
      <w:tr w14:paraId="346A0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29720A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170</w:t>
            </w:r>
          </w:p>
        </w:tc>
        <w:tc>
          <w:tcPr>
            <w:tcW w:w="555" w:type="dxa"/>
            <w:vAlign w:val="center"/>
          </w:tcPr>
          <w:p w14:paraId="230E954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57F80F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7FD1E8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60A387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对违法获取、持有、提供、利用属于国家秘密的地理信息行为的处罚</w:t>
            </w:r>
          </w:p>
        </w:tc>
        <w:tc>
          <w:tcPr>
            <w:tcW w:w="660" w:type="dxa"/>
            <w:vAlign w:val="center"/>
          </w:tcPr>
          <w:p w14:paraId="3FEA34D8">
            <w:pPr>
              <w:snapToGrid w:val="0"/>
              <w:spacing w:line="240" w:lineRule="atLeast"/>
              <w:jc w:val="center"/>
              <w:rPr>
                <w:rFonts w:ascii="仿宋_GB2312" w:hAnsi="仿宋_GB2312" w:eastAsia="仿宋_GB2312" w:cs="仿宋_GB2312"/>
                <w:sz w:val="20"/>
                <w:szCs w:val="20"/>
              </w:rPr>
            </w:pPr>
          </w:p>
        </w:tc>
        <w:tc>
          <w:tcPr>
            <w:tcW w:w="615" w:type="dxa"/>
            <w:vAlign w:val="center"/>
          </w:tcPr>
          <w:p w14:paraId="6A9C0EA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F9D5B9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7CA483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法律】《中华人民共和国测绘法》第六十五条第二款：违反本法规定，获取、持有、提供、利用属于国家秘密的地理信息的，给予警告，责令停止违法行为，没收违法所得，可以并处违法所得二倍以下的罚款；对直接负责的主管人员和其他直接责任人员，依法给予处分；造成损失的，依法承担赔偿责任；构成犯罪的，依法追究刑事责任。</w:t>
            </w:r>
          </w:p>
        </w:tc>
        <w:tc>
          <w:tcPr>
            <w:tcW w:w="3585" w:type="dxa"/>
            <w:vAlign w:val="center"/>
          </w:tcPr>
          <w:p w14:paraId="0AABE56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违法获取、持有、提供、利用属于国家秘密的地理信息的情况，应及时制止（对正在实施的违法行为，下达《责令停止违法行为通知书》）,并进行审查核实，符合立案条件的予以立案。</w:t>
            </w:r>
          </w:p>
          <w:p w14:paraId="31CFE74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违法获取、持有、提供、利用属于国家秘密的地理信息的情况，并制作笔录。调查时允许当事人辩解陈述。执法人员应保守有关秘密。</w:t>
            </w:r>
          </w:p>
          <w:p w14:paraId="5C38A92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6A70F91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4F44E68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违法获取、持有、提供、利用属于国家秘密的地理信息的事实进行认定，依法制作《行政处罚决定书》，载明违反法律法规或规章的事实和证据、行政处罚的具体依据和内容，告知当事人陈述申辩或者听证情况等内容，告知申请行政复议或提起行政诉讼的权利。</w:t>
            </w:r>
          </w:p>
          <w:p w14:paraId="228DC5F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778A381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1523101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5310067">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45ADBC4">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28C621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2D0FDC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7312B0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6191ED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DB85AA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DF93BE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849047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59BAB9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56E865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387E68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522A77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DD8F81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90EC81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919EEA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78B97E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50D3E9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891C61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CD7CEE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C2510AB">
            <w:pPr>
              <w:snapToGrid w:val="0"/>
              <w:spacing w:line="240" w:lineRule="atLeast"/>
              <w:jc w:val="center"/>
              <w:rPr>
                <w:rFonts w:ascii="仿宋_GB2312" w:hAnsi="仿宋_GB2312" w:eastAsia="仿宋_GB2312" w:cs="仿宋_GB2312"/>
                <w:sz w:val="20"/>
                <w:szCs w:val="20"/>
              </w:rPr>
            </w:pPr>
          </w:p>
        </w:tc>
      </w:tr>
    </w:tbl>
    <w:p w14:paraId="7AF85C6E"/>
    <w:p w14:paraId="3B13CC58"/>
    <w:p w14:paraId="0BFF2B87"/>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A24B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605B573">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45532DC">
            <w:pPr>
              <w:spacing w:line="240" w:lineRule="atLeast"/>
              <w:rPr>
                <w:rFonts w:asciiTheme="majorEastAsia" w:hAnsiTheme="majorEastAsia" w:eastAsiaTheme="majorEastAsia" w:cstheme="majorEastAsia"/>
                <w:spacing w:val="-20"/>
                <w:sz w:val="20"/>
                <w:szCs w:val="20"/>
              </w:rPr>
            </w:pPr>
          </w:p>
          <w:p w14:paraId="5371271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AA6681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3F419E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9DDD0E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3ACB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B6E15B6">
            <w:pPr>
              <w:spacing w:line="240" w:lineRule="atLeast"/>
              <w:jc w:val="left"/>
              <w:rPr>
                <w:rFonts w:ascii="仿宋_GB2312" w:hAnsi="仿宋_GB2312" w:eastAsia="仿宋_GB2312" w:cs="仿宋_GB2312"/>
                <w:sz w:val="20"/>
                <w:szCs w:val="20"/>
              </w:rPr>
            </w:pPr>
          </w:p>
        </w:tc>
        <w:tc>
          <w:tcPr>
            <w:tcW w:w="555" w:type="dxa"/>
            <w:vMerge w:val="continue"/>
          </w:tcPr>
          <w:p w14:paraId="0C222A8C">
            <w:pPr>
              <w:spacing w:line="240" w:lineRule="atLeast"/>
              <w:jc w:val="left"/>
              <w:rPr>
                <w:rFonts w:ascii="仿宋_GB2312" w:hAnsi="仿宋_GB2312" w:eastAsia="仿宋_GB2312" w:cs="仿宋_GB2312"/>
                <w:sz w:val="20"/>
                <w:szCs w:val="20"/>
              </w:rPr>
            </w:pPr>
          </w:p>
        </w:tc>
        <w:tc>
          <w:tcPr>
            <w:tcW w:w="784" w:type="dxa"/>
            <w:vAlign w:val="center"/>
          </w:tcPr>
          <w:p w14:paraId="0BF7867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EA1502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57481B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4C6CF4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945BF0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7498FD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6422A6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B510E6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333BCCA">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3E0A17C">
            <w:pPr>
              <w:spacing w:line="240" w:lineRule="atLeast"/>
              <w:jc w:val="left"/>
              <w:rPr>
                <w:rFonts w:ascii="仿宋_GB2312" w:hAnsi="仿宋_GB2312" w:eastAsia="仿宋_GB2312" w:cs="仿宋_GB2312"/>
                <w:sz w:val="20"/>
                <w:szCs w:val="20"/>
              </w:rPr>
            </w:pPr>
          </w:p>
        </w:tc>
      </w:tr>
      <w:tr w14:paraId="7B7E8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B0EB0D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171</w:t>
            </w:r>
          </w:p>
        </w:tc>
        <w:tc>
          <w:tcPr>
            <w:tcW w:w="555" w:type="dxa"/>
            <w:vAlign w:val="center"/>
          </w:tcPr>
          <w:p w14:paraId="52BDD55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425109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CE5470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A0F6E9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对测绘成果保管单位未按照测绘成果资料的保管制度管理测绘成果资料，造成测绘成果资料损毁、散失行为的处罚</w:t>
            </w:r>
          </w:p>
        </w:tc>
        <w:tc>
          <w:tcPr>
            <w:tcW w:w="660" w:type="dxa"/>
            <w:vAlign w:val="center"/>
          </w:tcPr>
          <w:p w14:paraId="29ED2520">
            <w:pPr>
              <w:snapToGrid w:val="0"/>
              <w:spacing w:line="240" w:lineRule="atLeast"/>
              <w:jc w:val="center"/>
              <w:rPr>
                <w:rFonts w:ascii="仿宋_GB2312" w:hAnsi="仿宋_GB2312" w:eastAsia="仿宋_GB2312" w:cs="仿宋_GB2312"/>
                <w:sz w:val="20"/>
                <w:szCs w:val="20"/>
              </w:rPr>
            </w:pPr>
          </w:p>
        </w:tc>
        <w:tc>
          <w:tcPr>
            <w:tcW w:w="615" w:type="dxa"/>
            <w:vAlign w:val="center"/>
          </w:tcPr>
          <w:p w14:paraId="35D94E8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017D47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D9B8EA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中华人民共和国测绘成果管理条例》（2006年国务院令第469号）第二十八条：违反本条例规定，测绘成果保管单位有下列行为之一的，由测绘行政主管部门给予警告，责令改正；有违法所得的，没收违法所得；造成损失的，依法承担赔偿责任；对直接负责的主管人员和其他直接责任人员，依法给予处分：</w:t>
            </w:r>
          </w:p>
          <w:p w14:paraId="3AF3A03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（一）未按照测绘成果资料的保管制度管理测绘成果资料，造成测绘成果资料损毁、散失的。</w:t>
            </w:r>
          </w:p>
        </w:tc>
        <w:tc>
          <w:tcPr>
            <w:tcW w:w="3585" w:type="dxa"/>
            <w:vAlign w:val="center"/>
          </w:tcPr>
          <w:p w14:paraId="5FE34AA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测绘成果保管单位未按照测绘成果资料的保管制度管理测绘成果资料，造成测绘成果资料损毁散失的情况，应及时制止（对正在实施的违法行为，下达《责令停止违法行为通知书》）,并进行审查核实，符合立案条件的予以立案。</w:t>
            </w:r>
          </w:p>
          <w:p w14:paraId="2979ABB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对测绘成果保管单位未按照测绘成果资料的保管制度管理测绘成果资料，造成测绘成果资料损毁散失的情况，并制作笔录。调查时允许当事人辩解陈述。执法人员应保守有关秘密。</w:t>
            </w:r>
          </w:p>
          <w:p w14:paraId="4AE6FFB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74FBF13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1D277EF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测绘成果保管单位未按照测绘成果资料的保管制度管理测绘成果资料，造成测绘成果资料损毁散失的事实进行认定，依法制作《行政处罚决定书》，载明违反法律法规或规章的事实和证据、行政处罚的具体依据和内容，告知当事人陈述申辩或者听证情况等内容，告知申请行政复议或提起行政诉讼的权利。</w:t>
            </w:r>
          </w:p>
          <w:p w14:paraId="1E58F54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2AAED2A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17A9F2D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52EE936">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E944F0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EDAF86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EFA3B1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270416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7B74C3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370713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2FDEB6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89061C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5D0AAB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960B71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751F52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6BDD1D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F2ACE8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16E481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4800E9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D161A1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364A67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00AF6C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4C890A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773D801">
            <w:pPr>
              <w:snapToGrid w:val="0"/>
              <w:spacing w:line="240" w:lineRule="atLeast"/>
              <w:jc w:val="center"/>
              <w:rPr>
                <w:rFonts w:ascii="仿宋_GB2312" w:hAnsi="仿宋_GB2312" w:eastAsia="仿宋_GB2312" w:cs="仿宋_GB2312"/>
                <w:sz w:val="20"/>
                <w:szCs w:val="20"/>
              </w:rPr>
            </w:pPr>
          </w:p>
        </w:tc>
      </w:tr>
    </w:tbl>
    <w:p w14:paraId="235CD7AA"/>
    <w:p w14:paraId="5E93758D"/>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CEB2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FB1976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AFF2563">
            <w:pPr>
              <w:spacing w:line="240" w:lineRule="atLeast"/>
              <w:rPr>
                <w:rFonts w:asciiTheme="majorEastAsia" w:hAnsiTheme="majorEastAsia" w:eastAsiaTheme="majorEastAsia" w:cstheme="majorEastAsia"/>
                <w:spacing w:val="-20"/>
                <w:sz w:val="20"/>
                <w:szCs w:val="20"/>
              </w:rPr>
            </w:pPr>
          </w:p>
          <w:p w14:paraId="449CC0A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6DCA2B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4FE4E2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4DCC51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F003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065B9FF">
            <w:pPr>
              <w:spacing w:line="240" w:lineRule="atLeast"/>
              <w:jc w:val="left"/>
              <w:rPr>
                <w:rFonts w:ascii="仿宋_GB2312" w:hAnsi="仿宋_GB2312" w:eastAsia="仿宋_GB2312" w:cs="仿宋_GB2312"/>
                <w:sz w:val="20"/>
                <w:szCs w:val="20"/>
              </w:rPr>
            </w:pPr>
          </w:p>
        </w:tc>
        <w:tc>
          <w:tcPr>
            <w:tcW w:w="555" w:type="dxa"/>
            <w:vMerge w:val="continue"/>
          </w:tcPr>
          <w:p w14:paraId="686658AE">
            <w:pPr>
              <w:spacing w:line="240" w:lineRule="atLeast"/>
              <w:jc w:val="left"/>
              <w:rPr>
                <w:rFonts w:ascii="仿宋_GB2312" w:hAnsi="仿宋_GB2312" w:eastAsia="仿宋_GB2312" w:cs="仿宋_GB2312"/>
                <w:sz w:val="20"/>
                <w:szCs w:val="20"/>
              </w:rPr>
            </w:pPr>
          </w:p>
        </w:tc>
        <w:tc>
          <w:tcPr>
            <w:tcW w:w="784" w:type="dxa"/>
            <w:vAlign w:val="center"/>
          </w:tcPr>
          <w:p w14:paraId="467D630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192312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527AA1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5BA6AC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F9A6EC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BD8C82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8EA872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8C2DB9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BD304D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83B6804">
            <w:pPr>
              <w:spacing w:line="240" w:lineRule="atLeast"/>
              <w:jc w:val="left"/>
              <w:rPr>
                <w:rFonts w:ascii="仿宋_GB2312" w:hAnsi="仿宋_GB2312" w:eastAsia="仿宋_GB2312" w:cs="仿宋_GB2312"/>
                <w:sz w:val="20"/>
                <w:szCs w:val="20"/>
              </w:rPr>
            </w:pPr>
          </w:p>
        </w:tc>
      </w:tr>
      <w:tr w14:paraId="0A2E5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F42F2E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172</w:t>
            </w:r>
          </w:p>
        </w:tc>
        <w:tc>
          <w:tcPr>
            <w:tcW w:w="555" w:type="dxa"/>
            <w:vAlign w:val="center"/>
          </w:tcPr>
          <w:p w14:paraId="6507E55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B94EF0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335C81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94284A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对测绘成果保管单位擅自转让汇交的测绘成果资料行为的处罚</w:t>
            </w:r>
          </w:p>
        </w:tc>
        <w:tc>
          <w:tcPr>
            <w:tcW w:w="660" w:type="dxa"/>
            <w:vAlign w:val="center"/>
          </w:tcPr>
          <w:p w14:paraId="1BEEAA7A">
            <w:pPr>
              <w:snapToGrid w:val="0"/>
              <w:spacing w:line="240" w:lineRule="atLeast"/>
              <w:jc w:val="center"/>
              <w:rPr>
                <w:rFonts w:ascii="仿宋_GB2312" w:hAnsi="仿宋_GB2312" w:eastAsia="仿宋_GB2312" w:cs="仿宋_GB2312"/>
                <w:sz w:val="20"/>
                <w:szCs w:val="20"/>
              </w:rPr>
            </w:pPr>
          </w:p>
        </w:tc>
        <w:tc>
          <w:tcPr>
            <w:tcW w:w="615" w:type="dxa"/>
            <w:vAlign w:val="center"/>
          </w:tcPr>
          <w:p w14:paraId="5B6634E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65A154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27788B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中华人民共和国测绘成果管理条例》（2006年国务院令第469号）第二十八条：违反本条例规定，测绘成果保管单位有下列行为之一的，由测绘行政主管部门给予警告，责令改正；有违法所得的，没收违法所得；造成损失的，依法承担赔偿责任；对直接负责的主管人员和其他直接责任人员，依法给予处分：</w:t>
            </w:r>
          </w:p>
          <w:p w14:paraId="200843F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（二）擅自转让汇交的测绘成果资料的。</w:t>
            </w:r>
          </w:p>
          <w:p w14:paraId="68F7979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地方性法规】《广西壮族自治区测绘管理条例》（1995年自治区第八届人民代表大会常务委员会第14次会议通过，2019年7月25日广西壮族自治区第十三届人民代表大会常务委员会第十次会议第二次修订）第五十三条：违反本条例第二十六条第一款规定，擅自复制、转让或者转借涉密测绘成果的，由县级以上人民政府测绘地理信息主管部门给予警告，责令停止违法行为，没收违法所得，可以并处违法所得一倍以上二倍以下的罚款；对直接负责的主管人员和其他直接责任人员，依法给予处分；造成损失的，依法承担赔偿责任。</w:t>
            </w:r>
          </w:p>
        </w:tc>
        <w:tc>
          <w:tcPr>
            <w:tcW w:w="3585" w:type="dxa"/>
            <w:vAlign w:val="center"/>
          </w:tcPr>
          <w:p w14:paraId="76907C6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测绘成果保管单位擅自转让汇交的测绘成果资料的情况，应及时制止（对正在实施的违法行为，下达《责令停止违法行为通知书》）,并进行审查核实，符合立案条件的予以立案。</w:t>
            </w:r>
          </w:p>
          <w:p w14:paraId="0A98728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测绘成果保管单位擅自转让汇交的测绘成果资料的情况，并制作笔录。调查时允许当事人辩解陈述。执法人员应保守有关秘密。</w:t>
            </w:r>
          </w:p>
          <w:p w14:paraId="712627E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1EF6D96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7B3D81C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测绘成果保管单位擅自转让汇交的测绘成果资料的事实进行认定，依法制作《行政处罚决定书》，载明违反法律法规或规章的事实和证据、行政处罚的具体依据和内容，告知当事人陈述申辩或者听证情况等内容，告知申请行政复议或提起行政诉讼的权利。</w:t>
            </w:r>
          </w:p>
          <w:p w14:paraId="12D0C1B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25AB9BD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0B9078A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543EA01">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D99FF08">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B6BEC0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0F62C0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9830DB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5667F3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D4E02C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669191F">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58F739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BCE909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98D694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B11E11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C799D9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327B4E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4DA055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D434F3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683027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EEA0B7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1311F5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D156A6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6618D17">
            <w:pPr>
              <w:snapToGrid w:val="0"/>
              <w:spacing w:line="240" w:lineRule="atLeast"/>
              <w:jc w:val="center"/>
              <w:rPr>
                <w:rFonts w:ascii="仿宋_GB2312" w:hAnsi="仿宋_GB2312" w:eastAsia="仿宋_GB2312" w:cs="仿宋_GB2312"/>
                <w:sz w:val="20"/>
                <w:szCs w:val="20"/>
              </w:rPr>
            </w:pPr>
          </w:p>
        </w:tc>
      </w:tr>
    </w:tbl>
    <w:p w14:paraId="3DC80F51"/>
    <w:p w14:paraId="69154E23"/>
    <w:p w14:paraId="76F5F3F2"/>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1300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091B31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6F574DD">
            <w:pPr>
              <w:spacing w:line="240" w:lineRule="atLeast"/>
              <w:rPr>
                <w:rFonts w:asciiTheme="majorEastAsia" w:hAnsiTheme="majorEastAsia" w:eastAsiaTheme="majorEastAsia" w:cstheme="majorEastAsia"/>
                <w:spacing w:val="-20"/>
                <w:sz w:val="20"/>
                <w:szCs w:val="20"/>
              </w:rPr>
            </w:pPr>
          </w:p>
          <w:p w14:paraId="61A13EB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E11376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A95100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056194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DA6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9422B45">
            <w:pPr>
              <w:spacing w:line="240" w:lineRule="atLeast"/>
              <w:jc w:val="left"/>
              <w:rPr>
                <w:rFonts w:ascii="仿宋_GB2312" w:hAnsi="仿宋_GB2312" w:eastAsia="仿宋_GB2312" w:cs="仿宋_GB2312"/>
                <w:sz w:val="20"/>
                <w:szCs w:val="20"/>
              </w:rPr>
            </w:pPr>
          </w:p>
        </w:tc>
        <w:tc>
          <w:tcPr>
            <w:tcW w:w="555" w:type="dxa"/>
            <w:vMerge w:val="continue"/>
          </w:tcPr>
          <w:p w14:paraId="68F5B8CD">
            <w:pPr>
              <w:spacing w:line="240" w:lineRule="atLeast"/>
              <w:jc w:val="left"/>
              <w:rPr>
                <w:rFonts w:ascii="仿宋_GB2312" w:hAnsi="仿宋_GB2312" w:eastAsia="仿宋_GB2312" w:cs="仿宋_GB2312"/>
                <w:sz w:val="20"/>
                <w:szCs w:val="20"/>
              </w:rPr>
            </w:pPr>
          </w:p>
        </w:tc>
        <w:tc>
          <w:tcPr>
            <w:tcW w:w="784" w:type="dxa"/>
            <w:vAlign w:val="center"/>
          </w:tcPr>
          <w:p w14:paraId="6DF7D70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CD0A6B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084623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169F72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BC1278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FFB11D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5EBCBE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5AC80C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CFADD5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93D5682">
            <w:pPr>
              <w:spacing w:line="240" w:lineRule="atLeast"/>
              <w:jc w:val="left"/>
              <w:rPr>
                <w:rFonts w:ascii="仿宋_GB2312" w:hAnsi="仿宋_GB2312" w:eastAsia="仿宋_GB2312" w:cs="仿宋_GB2312"/>
                <w:sz w:val="20"/>
                <w:szCs w:val="20"/>
              </w:rPr>
            </w:pPr>
          </w:p>
        </w:tc>
      </w:tr>
      <w:tr w14:paraId="37281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A12E3E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173</w:t>
            </w:r>
          </w:p>
        </w:tc>
        <w:tc>
          <w:tcPr>
            <w:tcW w:w="555" w:type="dxa"/>
            <w:vAlign w:val="center"/>
          </w:tcPr>
          <w:p w14:paraId="465791B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B14491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C5CC28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AE9E12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对擅自复制、转让或者转借涉密测绘成果行为的处罚</w:t>
            </w:r>
          </w:p>
        </w:tc>
        <w:tc>
          <w:tcPr>
            <w:tcW w:w="660" w:type="dxa"/>
            <w:vAlign w:val="center"/>
          </w:tcPr>
          <w:p w14:paraId="0D467518">
            <w:pPr>
              <w:snapToGrid w:val="0"/>
              <w:spacing w:line="240" w:lineRule="atLeast"/>
              <w:jc w:val="center"/>
              <w:rPr>
                <w:rFonts w:ascii="仿宋_GB2312" w:hAnsi="仿宋_GB2312" w:eastAsia="仿宋_GB2312" w:cs="仿宋_GB2312"/>
                <w:sz w:val="20"/>
                <w:szCs w:val="20"/>
              </w:rPr>
            </w:pPr>
          </w:p>
        </w:tc>
        <w:tc>
          <w:tcPr>
            <w:tcW w:w="615" w:type="dxa"/>
            <w:vAlign w:val="center"/>
          </w:tcPr>
          <w:p w14:paraId="541509F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41A8D4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CA2B33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地方性法规】《广西壮族自治区测绘管理条例》（1995年自治区第八届人民代表大会常务委员会第14次会议通过，2019年7月25日广西壮族自治区第十三届人民代表大会常务委员会第十次会议第二次修订）第五十三条：违反本条例第二十六条第一款规定，擅自复制、转让或者转借涉密测绘成果的，由县级以上人民政府测绘地理信息主管部门给予警告，责令停止违法行为，没收违法所得，可以并处违法所得一倍以上二倍以下的罚款；对直接负责的主管人员和其他直接责任人员，依法给予处分；造成损失的，依法承担赔偿责任。</w:t>
            </w:r>
          </w:p>
        </w:tc>
        <w:tc>
          <w:tcPr>
            <w:tcW w:w="3585" w:type="dxa"/>
            <w:vAlign w:val="center"/>
          </w:tcPr>
          <w:p w14:paraId="6B7325C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擅自复制、转让或者转借涉密测绘成果的情况，应及时制止（对正在实施的违法行为，下达《责令停止违法行为通知书》）,并进行审查核实，符合立案条件的予以立案。</w:t>
            </w:r>
          </w:p>
          <w:p w14:paraId="06110F2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2.调查责任：执法人员不得少于两人，出示证件、表明身份；通过搜集证据、现场了解核实擅自复制、转让或者转借涉密测绘成果的情况，并制作笔录。调查时允许当事人辩解陈述。执法人员应保守有关秘密。</w:t>
            </w:r>
          </w:p>
          <w:p w14:paraId="4D7F569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1F68E00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6C23662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擅自复制、转让或者转借涉密测绘成果的事实进行认定，依法制作《行政处罚决定书》，载明违反法律法规或规章的事实和证据、行政处罚的具体依据和内容，告知当事人陈述申辩或者听证情况等内容，告知申请行政复议或提起行政诉讼的权利。</w:t>
            </w:r>
          </w:p>
          <w:p w14:paraId="4E90E6C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6．送达责任：《绘行政处罚决定书》按法律规定的方式送达当事人。</w:t>
            </w:r>
          </w:p>
          <w:p w14:paraId="711672A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6BFFF0D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EC6688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ED7B801">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A18DCD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430D1D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ACCD0E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0B61BB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100AD1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58D809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E89C9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85E4CE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0BDD4B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CE862F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303E5B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D734F6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61E17E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154FFC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D9A55B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CC26BE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DCDEC5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7A3FE3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206F3F4">
            <w:pPr>
              <w:snapToGrid w:val="0"/>
              <w:spacing w:line="240" w:lineRule="atLeast"/>
              <w:jc w:val="center"/>
              <w:rPr>
                <w:rFonts w:ascii="仿宋_GB2312" w:hAnsi="仿宋_GB2312" w:eastAsia="仿宋_GB2312" w:cs="仿宋_GB2312"/>
                <w:sz w:val="20"/>
                <w:szCs w:val="20"/>
              </w:rPr>
            </w:pPr>
          </w:p>
        </w:tc>
      </w:tr>
    </w:tbl>
    <w:p w14:paraId="71563F8E"/>
    <w:p w14:paraId="0E511BFC"/>
    <w:p w14:paraId="3BD92923"/>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B3D7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1792BF7">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6C61425">
            <w:pPr>
              <w:spacing w:line="240" w:lineRule="atLeast"/>
              <w:rPr>
                <w:rFonts w:asciiTheme="majorEastAsia" w:hAnsiTheme="majorEastAsia" w:eastAsiaTheme="majorEastAsia" w:cstheme="majorEastAsia"/>
                <w:spacing w:val="-20"/>
                <w:sz w:val="20"/>
                <w:szCs w:val="20"/>
              </w:rPr>
            </w:pPr>
          </w:p>
          <w:p w14:paraId="1ABE58C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3B034F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1B245F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9E0C34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C2D4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1079B11">
            <w:pPr>
              <w:spacing w:line="240" w:lineRule="atLeast"/>
              <w:jc w:val="left"/>
              <w:rPr>
                <w:rFonts w:ascii="仿宋_GB2312" w:hAnsi="仿宋_GB2312" w:eastAsia="仿宋_GB2312" w:cs="仿宋_GB2312"/>
                <w:sz w:val="20"/>
                <w:szCs w:val="20"/>
              </w:rPr>
            </w:pPr>
          </w:p>
        </w:tc>
        <w:tc>
          <w:tcPr>
            <w:tcW w:w="555" w:type="dxa"/>
            <w:vMerge w:val="continue"/>
          </w:tcPr>
          <w:p w14:paraId="591ED360">
            <w:pPr>
              <w:spacing w:line="240" w:lineRule="atLeast"/>
              <w:jc w:val="left"/>
              <w:rPr>
                <w:rFonts w:ascii="仿宋_GB2312" w:hAnsi="仿宋_GB2312" w:eastAsia="仿宋_GB2312" w:cs="仿宋_GB2312"/>
                <w:sz w:val="20"/>
                <w:szCs w:val="20"/>
              </w:rPr>
            </w:pPr>
          </w:p>
        </w:tc>
        <w:tc>
          <w:tcPr>
            <w:tcW w:w="784" w:type="dxa"/>
            <w:vAlign w:val="center"/>
          </w:tcPr>
          <w:p w14:paraId="764F11C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B63412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8E43AC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299F17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7D0B9B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108AC6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3E43EB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64C509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14F6FC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3CBDD2E">
            <w:pPr>
              <w:spacing w:line="240" w:lineRule="atLeast"/>
              <w:jc w:val="left"/>
              <w:rPr>
                <w:rFonts w:ascii="仿宋_GB2312" w:hAnsi="仿宋_GB2312" w:eastAsia="仿宋_GB2312" w:cs="仿宋_GB2312"/>
                <w:sz w:val="20"/>
                <w:szCs w:val="20"/>
              </w:rPr>
            </w:pPr>
          </w:p>
        </w:tc>
      </w:tr>
      <w:tr w14:paraId="345FB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6CA32B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174</w:t>
            </w:r>
          </w:p>
        </w:tc>
        <w:tc>
          <w:tcPr>
            <w:tcW w:w="555" w:type="dxa"/>
            <w:vAlign w:val="center"/>
          </w:tcPr>
          <w:p w14:paraId="62B7BE2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E107E8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0DD158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D600C2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对测绘成果保管单位未依法向测绘成果的使用人提供测绘成果资料行为的处罚</w:t>
            </w:r>
          </w:p>
        </w:tc>
        <w:tc>
          <w:tcPr>
            <w:tcW w:w="660" w:type="dxa"/>
            <w:vAlign w:val="center"/>
          </w:tcPr>
          <w:p w14:paraId="32BB9814">
            <w:pPr>
              <w:snapToGrid w:val="0"/>
              <w:spacing w:line="240" w:lineRule="atLeast"/>
              <w:jc w:val="center"/>
              <w:rPr>
                <w:rFonts w:ascii="仿宋_GB2312" w:hAnsi="仿宋_GB2312" w:eastAsia="仿宋_GB2312" w:cs="仿宋_GB2312"/>
                <w:sz w:val="20"/>
                <w:szCs w:val="20"/>
              </w:rPr>
            </w:pPr>
          </w:p>
        </w:tc>
        <w:tc>
          <w:tcPr>
            <w:tcW w:w="615" w:type="dxa"/>
            <w:vAlign w:val="center"/>
          </w:tcPr>
          <w:p w14:paraId="643AD85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309525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17D820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【行政法规】《中华人民共和国测绘成果管理条例》（2006年国务院令第469号）　第二十八条：违反本条例规定，测绘成果保管单位有下列行为之一的，由测绘行政主管部门给予警告，责令改正；有违法所得的，没收违法所得；造成损失的，依法承担赔偿责任；对直接负责的主管人员和其他直接责任人员，依法给予处分：</w:t>
            </w:r>
          </w:p>
          <w:p w14:paraId="6A4A67A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（三） 未依法向测绘成果的使用人提供测绘成果资料的。</w:t>
            </w:r>
          </w:p>
        </w:tc>
        <w:tc>
          <w:tcPr>
            <w:tcW w:w="3585" w:type="dxa"/>
            <w:vAlign w:val="center"/>
          </w:tcPr>
          <w:p w14:paraId="42C7D72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测绘成果保管单位未依法向测绘成果的使用人提供测绘成果资料的情况，应及时制止（对正在实施的违法行为，下达《责令停止违法行为通知书》）,并进行审查核实，符合立案条件的予以立案。</w:t>
            </w:r>
          </w:p>
          <w:p w14:paraId="34F7D08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测绘成果保管单位未依法向测绘成果的使用人提供测绘成果资料的情况，并制作笔录。调查时允许当事人辩解陈述。执法人员应保守有关秘密。</w:t>
            </w:r>
          </w:p>
          <w:p w14:paraId="4C706AE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3FE0D4A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44B04CB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测绘成果保管单位未依法向测绘成果的使用人提供测绘成果资料的事实进行认定，依法制作《行政处罚决定书》，载明违反法律法规或规章的事实和证据、行政处罚的具体依据和内容，告知当事人陈述申辩或者听证情况等内容，告知申请行政复议或提起行政诉讼的权利。</w:t>
            </w:r>
          </w:p>
          <w:p w14:paraId="4F43AA1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090997B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48B1C68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255915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41AD698">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5A9D0A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CC0B51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AD7043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18533B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84CD96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B9C98E1">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5938D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547587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1122D7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F1B8F9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677062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C5B175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B3CF0E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FA509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32B210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69B9D2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F4EE22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9C32E5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2484162">
            <w:pPr>
              <w:snapToGrid w:val="0"/>
              <w:spacing w:line="240" w:lineRule="atLeast"/>
              <w:jc w:val="center"/>
              <w:rPr>
                <w:rFonts w:ascii="仿宋_GB2312" w:hAnsi="仿宋_GB2312" w:eastAsia="仿宋_GB2312" w:cs="仿宋_GB2312"/>
                <w:sz w:val="20"/>
                <w:szCs w:val="20"/>
              </w:rPr>
            </w:pPr>
          </w:p>
        </w:tc>
      </w:tr>
    </w:tbl>
    <w:p w14:paraId="67F27417"/>
    <w:p w14:paraId="07F352AB"/>
    <w:p w14:paraId="579520D2"/>
    <w:p w14:paraId="6E20F010"/>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EE4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23718F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93A584C">
            <w:pPr>
              <w:spacing w:line="240" w:lineRule="atLeast"/>
              <w:rPr>
                <w:rFonts w:asciiTheme="majorEastAsia" w:hAnsiTheme="majorEastAsia" w:eastAsiaTheme="majorEastAsia" w:cstheme="majorEastAsia"/>
                <w:spacing w:val="-20"/>
                <w:sz w:val="20"/>
                <w:szCs w:val="20"/>
              </w:rPr>
            </w:pPr>
          </w:p>
          <w:p w14:paraId="2A392288">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878705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5C9A58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A86BC6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B40F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2C1624D">
            <w:pPr>
              <w:spacing w:line="240" w:lineRule="atLeast"/>
              <w:jc w:val="left"/>
              <w:rPr>
                <w:rFonts w:ascii="仿宋_GB2312" w:hAnsi="仿宋_GB2312" w:eastAsia="仿宋_GB2312" w:cs="仿宋_GB2312"/>
                <w:sz w:val="20"/>
                <w:szCs w:val="20"/>
              </w:rPr>
            </w:pPr>
          </w:p>
        </w:tc>
        <w:tc>
          <w:tcPr>
            <w:tcW w:w="555" w:type="dxa"/>
            <w:vMerge w:val="continue"/>
          </w:tcPr>
          <w:p w14:paraId="1A13D694">
            <w:pPr>
              <w:spacing w:line="240" w:lineRule="atLeast"/>
              <w:jc w:val="left"/>
              <w:rPr>
                <w:rFonts w:ascii="仿宋_GB2312" w:hAnsi="仿宋_GB2312" w:eastAsia="仿宋_GB2312" w:cs="仿宋_GB2312"/>
                <w:sz w:val="20"/>
                <w:szCs w:val="20"/>
              </w:rPr>
            </w:pPr>
          </w:p>
        </w:tc>
        <w:tc>
          <w:tcPr>
            <w:tcW w:w="784" w:type="dxa"/>
            <w:vAlign w:val="center"/>
          </w:tcPr>
          <w:p w14:paraId="1665B13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25969D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61F459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9F3C15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C0441F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7CAA90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DAB82B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938A5D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5D2109D">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C842471">
            <w:pPr>
              <w:spacing w:line="240" w:lineRule="atLeast"/>
              <w:jc w:val="left"/>
              <w:rPr>
                <w:rFonts w:ascii="仿宋_GB2312" w:hAnsi="仿宋_GB2312" w:eastAsia="仿宋_GB2312" w:cs="仿宋_GB2312"/>
                <w:sz w:val="20"/>
                <w:szCs w:val="20"/>
              </w:rPr>
            </w:pPr>
          </w:p>
        </w:tc>
      </w:tr>
      <w:tr w14:paraId="69475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2EC637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175</w:t>
            </w:r>
          </w:p>
        </w:tc>
        <w:tc>
          <w:tcPr>
            <w:tcW w:w="555" w:type="dxa"/>
            <w:vAlign w:val="center"/>
          </w:tcPr>
          <w:p w14:paraId="284E55A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035B82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949186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5AA623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对损毁、破坏测绘地理信息基础设施或者从事危害测绘地理信息基础设施安全和使用效能活动行为的处罚</w:t>
            </w:r>
          </w:p>
        </w:tc>
        <w:tc>
          <w:tcPr>
            <w:tcW w:w="660" w:type="dxa"/>
            <w:vAlign w:val="center"/>
          </w:tcPr>
          <w:p w14:paraId="0FD82655">
            <w:pPr>
              <w:snapToGrid w:val="0"/>
              <w:spacing w:line="240" w:lineRule="atLeast"/>
              <w:jc w:val="center"/>
              <w:rPr>
                <w:rFonts w:ascii="仿宋_GB2312" w:hAnsi="仿宋_GB2312" w:eastAsia="仿宋_GB2312" w:cs="仿宋_GB2312"/>
                <w:sz w:val="20"/>
                <w:szCs w:val="20"/>
              </w:rPr>
            </w:pPr>
          </w:p>
        </w:tc>
        <w:tc>
          <w:tcPr>
            <w:tcW w:w="615" w:type="dxa"/>
            <w:vAlign w:val="center"/>
          </w:tcPr>
          <w:p w14:paraId="63BFFA7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9BD367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6BE28C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测绘管理条例》（1995年自治区第八届人民代表大会常务委员会第14次会议通过，2019年第二次修订）第四十一条第一款：任何单位和个人不得损毁、破坏测绘地理信息基础设施，不得从事危害测绘地理信息基础设施安全和使用效能的活动。</w:t>
            </w:r>
          </w:p>
          <w:p w14:paraId="1695026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十四条：违反本条例第四十一条第一款规定，损毁、破坏测绘地理信息基础设施或者从事危害测绘地理信息基础设施安全和使用效能活动的，由县级以上人民政府测绘地理信息主管部门给予警告，责令改正，可以并处五千元以上十万元以下的罚款；情节严重的，可以并处十万元以上二十万元以下的罚款；对直接负责的主管人员和其他直接责任人员，依法给予处分；造成损失的，依法承担赔偿责任。</w:t>
            </w:r>
          </w:p>
        </w:tc>
        <w:tc>
          <w:tcPr>
            <w:tcW w:w="3585" w:type="dxa"/>
            <w:vAlign w:val="center"/>
          </w:tcPr>
          <w:p w14:paraId="126F1F5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损毁、破坏测绘地理信息基础设施或者从事危害测绘地理信息基础设施安全和使用效能活动的情况，应及时制止（对正在实施的违法行为，下达《责令停止违法行为通知书》）,并进行审查核实，符合立案条件的予以立案。</w:t>
            </w:r>
          </w:p>
          <w:p w14:paraId="38DEC45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损毁、破坏测绘地理信息基础设施或者从事危害测绘地理信息基础设施安全和使用效能活动的情况，并制作笔录。调查时允许当事人辩解陈述。执法人员应保守有关秘密。</w:t>
            </w:r>
          </w:p>
          <w:p w14:paraId="4953A36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0085697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010F5F1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损毁、破坏测绘地理信息基础设施或者从事危害测绘地理信息基础设施安全和使用效能活动的事实进行认定，依法制作《行政处罚决定书》，载明违反法律法规或规章的事实和证据、行政处罚的具体依据和内容，告知当事人陈述申辩或者听证情况等内容，告知申请行政复议或提起行政诉讼的权利。</w:t>
            </w:r>
          </w:p>
          <w:p w14:paraId="1E34FAD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6．送达责任：《绘行政处罚决定书》按法律规定的方式送达当事人。</w:t>
            </w:r>
          </w:p>
          <w:p w14:paraId="11DEF34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67AD3C6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F32680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BA9CB4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E8AE7D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7B988B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F3BE4F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E01443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6DFC0E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763955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0CDC29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27CF97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4096BB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5337BC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3BA733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E55546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9E05A9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113E2D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290AFB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B698CB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8B1437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52AB27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CF559C1">
            <w:pPr>
              <w:snapToGrid w:val="0"/>
              <w:spacing w:line="240" w:lineRule="atLeast"/>
              <w:jc w:val="center"/>
              <w:rPr>
                <w:rFonts w:ascii="仿宋_GB2312" w:hAnsi="仿宋_GB2312" w:eastAsia="仿宋_GB2312" w:cs="仿宋_GB2312"/>
                <w:sz w:val="20"/>
                <w:szCs w:val="20"/>
              </w:rPr>
            </w:pPr>
          </w:p>
        </w:tc>
      </w:tr>
    </w:tbl>
    <w:p w14:paraId="26A582B0"/>
    <w:p w14:paraId="7E047F8C"/>
    <w:p w14:paraId="6FAB9E3A"/>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7E19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9D3C5D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9CC928A">
            <w:pPr>
              <w:spacing w:line="240" w:lineRule="atLeast"/>
              <w:rPr>
                <w:rFonts w:asciiTheme="majorEastAsia" w:hAnsiTheme="majorEastAsia" w:eastAsiaTheme="majorEastAsia" w:cstheme="majorEastAsia"/>
                <w:spacing w:val="-20"/>
                <w:sz w:val="20"/>
                <w:szCs w:val="20"/>
              </w:rPr>
            </w:pPr>
          </w:p>
          <w:p w14:paraId="461A823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A606FD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505BC8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136D05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DCA1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9A35BE7">
            <w:pPr>
              <w:spacing w:line="240" w:lineRule="atLeast"/>
              <w:jc w:val="left"/>
              <w:rPr>
                <w:rFonts w:ascii="仿宋_GB2312" w:hAnsi="仿宋_GB2312" w:eastAsia="仿宋_GB2312" w:cs="仿宋_GB2312"/>
                <w:sz w:val="20"/>
                <w:szCs w:val="20"/>
              </w:rPr>
            </w:pPr>
          </w:p>
        </w:tc>
        <w:tc>
          <w:tcPr>
            <w:tcW w:w="555" w:type="dxa"/>
            <w:vMerge w:val="continue"/>
          </w:tcPr>
          <w:p w14:paraId="7C9EC8ED">
            <w:pPr>
              <w:spacing w:line="240" w:lineRule="atLeast"/>
              <w:jc w:val="left"/>
              <w:rPr>
                <w:rFonts w:ascii="仿宋_GB2312" w:hAnsi="仿宋_GB2312" w:eastAsia="仿宋_GB2312" w:cs="仿宋_GB2312"/>
                <w:sz w:val="20"/>
                <w:szCs w:val="20"/>
              </w:rPr>
            </w:pPr>
          </w:p>
        </w:tc>
        <w:tc>
          <w:tcPr>
            <w:tcW w:w="784" w:type="dxa"/>
            <w:vAlign w:val="center"/>
          </w:tcPr>
          <w:p w14:paraId="702B947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48A47F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E33269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7BCF2F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ABF5A8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1D3C5F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53E45D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1FD42D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74E3436">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324018A">
            <w:pPr>
              <w:spacing w:line="240" w:lineRule="atLeast"/>
              <w:jc w:val="left"/>
              <w:rPr>
                <w:rFonts w:ascii="仿宋_GB2312" w:hAnsi="仿宋_GB2312" w:eastAsia="仿宋_GB2312" w:cs="仿宋_GB2312"/>
                <w:sz w:val="20"/>
                <w:szCs w:val="20"/>
              </w:rPr>
            </w:pPr>
          </w:p>
        </w:tc>
      </w:tr>
      <w:tr w14:paraId="3F81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F4E148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176</w:t>
            </w:r>
          </w:p>
        </w:tc>
        <w:tc>
          <w:tcPr>
            <w:tcW w:w="555" w:type="dxa"/>
            <w:vAlign w:val="center"/>
          </w:tcPr>
          <w:p w14:paraId="47F5E28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9F51EC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E5FD56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2C6D90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对测绘单位将测绘项目违法分包行为的处罚</w:t>
            </w:r>
          </w:p>
        </w:tc>
        <w:tc>
          <w:tcPr>
            <w:tcW w:w="660" w:type="dxa"/>
            <w:vAlign w:val="center"/>
          </w:tcPr>
          <w:p w14:paraId="57A4C58E">
            <w:pPr>
              <w:snapToGrid w:val="0"/>
              <w:spacing w:line="240" w:lineRule="atLeast"/>
              <w:jc w:val="center"/>
              <w:rPr>
                <w:rFonts w:ascii="仿宋_GB2312" w:hAnsi="仿宋_GB2312" w:eastAsia="仿宋_GB2312" w:cs="仿宋_GB2312"/>
                <w:sz w:val="20"/>
                <w:szCs w:val="20"/>
              </w:rPr>
            </w:pPr>
          </w:p>
        </w:tc>
        <w:tc>
          <w:tcPr>
            <w:tcW w:w="615" w:type="dxa"/>
            <w:vAlign w:val="center"/>
          </w:tcPr>
          <w:p w14:paraId="7EA2EBD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720770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6CA402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测绘管理条例》（1995年自治区第八届人民代表大会常务委员会第14次会议通过，2019年第二次修订）第四十六条第三款：测绘单位不得将承包的测绘项目转包。测绘单位拟将测绘项目部分非主体、非关键性工作分包的，应当在投标文件中载明；接受分包的单位应当具备相应的测绘资质条件，不得将测绘项目再次分包。</w:t>
            </w:r>
          </w:p>
          <w:p w14:paraId="696AEB8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第五十五条：违反本条例第四十六条第三款规定，测绘单位将测绘项目违法分包的，由县级以上人民政府测绘地理信息主管部门责令改正，没收违法所得，处分包项目金额千分之五以上千分之十以下的罚款。</w:t>
            </w:r>
          </w:p>
        </w:tc>
        <w:tc>
          <w:tcPr>
            <w:tcW w:w="3585" w:type="dxa"/>
            <w:vAlign w:val="center"/>
          </w:tcPr>
          <w:p w14:paraId="35CCB79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测绘单位将测绘项目违法分包的情况，应及时制止（对正在实施的违法行为，下达《责令停止违法行为通知书》）,并进行审查核实，符合立案条件的予以立案。</w:t>
            </w:r>
          </w:p>
          <w:p w14:paraId="5B1722B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2.调查责任：执法人员不得少于两人，出示证件、表明身份；通过搜集证据、现场了解核实测绘单位将测绘项目违法分包的情况，并制作笔录。调查时允许当事人辩解陈述。执法人员应保守有关秘密。</w:t>
            </w:r>
          </w:p>
          <w:p w14:paraId="2A62F8D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11D98A4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5CD2EC3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测绘单位将测绘项目违法分包的事实进行认定，依法制作《行政处罚决定书》，载明违反法律法规或规章的事实和证据、行政处罚的具体依据和内容，告知当事人陈述申辩或者听证情况等内容，告知申请行政复议或提起行政诉讼的权利。</w:t>
            </w:r>
          </w:p>
          <w:p w14:paraId="5E7B674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47CE68E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42879DB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3D61C39">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02BB1B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AD9ADC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63274A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536C47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04FE78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6D1645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67C934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EEC74C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F74E22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E2665D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EEF9F8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98A346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1EE673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14B351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8A8542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7ECADD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2B374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6E28C3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F7635F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FA6E3AE">
            <w:pPr>
              <w:snapToGrid w:val="0"/>
              <w:spacing w:line="240" w:lineRule="atLeast"/>
              <w:jc w:val="center"/>
              <w:rPr>
                <w:rFonts w:ascii="仿宋_GB2312" w:hAnsi="仿宋_GB2312" w:eastAsia="仿宋_GB2312" w:cs="仿宋_GB2312"/>
                <w:sz w:val="20"/>
                <w:szCs w:val="20"/>
              </w:rPr>
            </w:pPr>
          </w:p>
        </w:tc>
      </w:tr>
    </w:tbl>
    <w:p w14:paraId="4CD1EE86"/>
    <w:p w14:paraId="7F1F2ED5"/>
    <w:p w14:paraId="5A5BCE13"/>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9E47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7A723D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1B88CA6">
            <w:pPr>
              <w:spacing w:line="240" w:lineRule="atLeast"/>
              <w:rPr>
                <w:rFonts w:asciiTheme="majorEastAsia" w:hAnsiTheme="majorEastAsia" w:eastAsiaTheme="majorEastAsia" w:cstheme="majorEastAsia"/>
                <w:spacing w:val="-20"/>
                <w:sz w:val="20"/>
                <w:szCs w:val="20"/>
              </w:rPr>
            </w:pPr>
          </w:p>
          <w:p w14:paraId="5478ED9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7A1BFE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CD4BB9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7549698">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CE72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993DB00">
            <w:pPr>
              <w:spacing w:line="240" w:lineRule="atLeast"/>
              <w:jc w:val="left"/>
              <w:rPr>
                <w:rFonts w:ascii="仿宋_GB2312" w:hAnsi="仿宋_GB2312" w:eastAsia="仿宋_GB2312" w:cs="仿宋_GB2312"/>
                <w:sz w:val="20"/>
                <w:szCs w:val="20"/>
              </w:rPr>
            </w:pPr>
          </w:p>
        </w:tc>
        <w:tc>
          <w:tcPr>
            <w:tcW w:w="555" w:type="dxa"/>
            <w:vMerge w:val="continue"/>
          </w:tcPr>
          <w:p w14:paraId="7050535A">
            <w:pPr>
              <w:spacing w:line="240" w:lineRule="atLeast"/>
              <w:jc w:val="left"/>
              <w:rPr>
                <w:rFonts w:ascii="仿宋_GB2312" w:hAnsi="仿宋_GB2312" w:eastAsia="仿宋_GB2312" w:cs="仿宋_GB2312"/>
                <w:sz w:val="20"/>
                <w:szCs w:val="20"/>
              </w:rPr>
            </w:pPr>
          </w:p>
        </w:tc>
        <w:tc>
          <w:tcPr>
            <w:tcW w:w="784" w:type="dxa"/>
            <w:vAlign w:val="center"/>
          </w:tcPr>
          <w:p w14:paraId="51DD05A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BA218A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7400C8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F7ED6D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1435E2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E9A9B7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063765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0F6B57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6241C0A">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CF30EDE">
            <w:pPr>
              <w:spacing w:line="240" w:lineRule="atLeast"/>
              <w:jc w:val="left"/>
              <w:rPr>
                <w:rFonts w:ascii="仿宋_GB2312" w:hAnsi="仿宋_GB2312" w:eastAsia="仿宋_GB2312" w:cs="仿宋_GB2312"/>
                <w:sz w:val="20"/>
                <w:szCs w:val="20"/>
              </w:rPr>
            </w:pPr>
          </w:p>
        </w:tc>
      </w:tr>
      <w:tr w14:paraId="06BDE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AF3FDF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177</w:t>
            </w:r>
          </w:p>
        </w:tc>
        <w:tc>
          <w:tcPr>
            <w:tcW w:w="555" w:type="dxa"/>
            <w:vAlign w:val="center"/>
          </w:tcPr>
          <w:p w14:paraId="4ECCFB9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500923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C0B12B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818115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对测绘单位实施测绘项目不按照规定备案行为的处罚</w:t>
            </w:r>
          </w:p>
        </w:tc>
        <w:tc>
          <w:tcPr>
            <w:tcW w:w="660" w:type="dxa"/>
            <w:vAlign w:val="center"/>
          </w:tcPr>
          <w:p w14:paraId="390D5AF8">
            <w:pPr>
              <w:snapToGrid w:val="0"/>
              <w:spacing w:line="240" w:lineRule="atLeast"/>
              <w:jc w:val="center"/>
              <w:rPr>
                <w:rFonts w:ascii="仿宋_GB2312" w:hAnsi="仿宋_GB2312" w:eastAsia="仿宋_GB2312" w:cs="仿宋_GB2312"/>
                <w:sz w:val="20"/>
                <w:szCs w:val="20"/>
              </w:rPr>
            </w:pPr>
          </w:p>
        </w:tc>
        <w:tc>
          <w:tcPr>
            <w:tcW w:w="615" w:type="dxa"/>
            <w:vAlign w:val="center"/>
          </w:tcPr>
          <w:p w14:paraId="7B78A5C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4F1FE8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F79BD6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测绘管理条例》（1995年自治区第八届人民代表大会常务委员会第14次会议通过，2019年第二次修订）第四十八条第一款：使用财政资金或者所在地为国界线本自治区一侧两千米范围内的测绘项目，测绘单位应当在实施该项目前，向项目所在地县级以上人民政府测绘地理信息主管部门备案。</w:t>
            </w:r>
          </w:p>
          <w:p w14:paraId="7A8DA05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十六条：违反本条例第四十八条第一款规定，测绘单位实施测绘项目不按照规定备案的，由县级以上人民政府测绘地理信息主管部门给予警告，责令限期改正；逾期不改正的，处五千元以上五万元以下的罚款。</w:t>
            </w:r>
          </w:p>
        </w:tc>
        <w:tc>
          <w:tcPr>
            <w:tcW w:w="3585" w:type="dxa"/>
            <w:vAlign w:val="center"/>
          </w:tcPr>
          <w:p w14:paraId="410F023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测绘单位实施测绘项目不按照规定备案的情况，应及时制止（对正在实施的违法行为，下达《责令停止违法行为通知书》）,并进行审查核实，符合立案条件的予以立案。</w:t>
            </w:r>
          </w:p>
          <w:p w14:paraId="6FACDB9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2.调查责任：执法人员不得少于两人，出示证件、表明身份；通过搜集证据、现场了解核实测绘单位实施测绘项目不按照规定备案的情况，并制作笔录。调查时允许当事人辩解陈述。执法人员应保守有关秘密。</w:t>
            </w:r>
          </w:p>
          <w:p w14:paraId="56BB200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3D2B113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1790725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测绘单位实施测绘项目不按照规定备案的事实进行认定，依法制作《行政处罚决定书》，载明违反法律法规或规章的事实和证据、行政处罚的具体依据和内容，告知当事人陈述申辩或者听证情况等内容，告知申请行政复议或提起行政诉讼的权利。</w:t>
            </w:r>
          </w:p>
          <w:p w14:paraId="4AAD676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06F9476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518B4A8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5DE1D2B">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175D431">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4CE98F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CAF483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F3B14F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D1BC71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88354A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2A70B3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9A50C5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0F4EA6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BB45F5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0537F3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4EF544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222CF5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15B347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13C5A5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E61245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F44ABD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C4BFE6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8D0619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1361EF5">
            <w:pPr>
              <w:snapToGrid w:val="0"/>
              <w:spacing w:line="240" w:lineRule="atLeast"/>
              <w:jc w:val="center"/>
              <w:rPr>
                <w:rFonts w:ascii="仿宋_GB2312" w:hAnsi="仿宋_GB2312" w:eastAsia="仿宋_GB2312" w:cs="仿宋_GB2312"/>
                <w:sz w:val="20"/>
                <w:szCs w:val="20"/>
              </w:rPr>
            </w:pPr>
          </w:p>
        </w:tc>
      </w:tr>
    </w:tbl>
    <w:p w14:paraId="763D3F26"/>
    <w:p w14:paraId="4D4727A2"/>
    <w:p w14:paraId="660E5616"/>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D2CE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D93F2CA">
            <w:pPr>
              <w:snapToGrid w:val="0"/>
              <w:spacing w:line="240" w:lineRule="atLeast"/>
              <w:jc w:val="center"/>
              <w:rPr>
                <w:rFonts w:ascii="宋体" w:hAnsi="宋体" w:eastAsia="宋体" w:cs="宋体"/>
                <w:spacing w:val="-23"/>
                <w:sz w:val="20"/>
                <w:szCs w:val="20"/>
              </w:rPr>
            </w:pPr>
            <w:r>
              <w:rPr>
                <w:rFonts w:hint="eastAsia" w:ascii="宋体" w:hAnsi="宋体" w:eastAsia="宋体" w:cs="宋体"/>
                <w:spacing w:val="-23"/>
                <w:sz w:val="20"/>
                <w:szCs w:val="20"/>
              </w:rPr>
              <w:t>序 号</w:t>
            </w:r>
          </w:p>
        </w:tc>
        <w:tc>
          <w:tcPr>
            <w:tcW w:w="55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86555DB">
            <w:pPr>
              <w:spacing w:line="240" w:lineRule="atLeast"/>
              <w:rPr>
                <w:rFonts w:ascii="宋体" w:hAnsi="宋体" w:eastAsia="宋体" w:cs="宋体"/>
                <w:spacing w:val="-20"/>
                <w:sz w:val="20"/>
                <w:szCs w:val="20"/>
              </w:rPr>
            </w:pPr>
          </w:p>
          <w:p w14:paraId="4C9FAAD4">
            <w:pPr>
              <w:snapToGrid w:val="0"/>
              <w:spacing w:line="240" w:lineRule="atLeast"/>
              <w:rPr>
                <w:rFonts w:ascii="宋体" w:hAnsi="宋体" w:eastAsia="宋体" w:cs="宋体"/>
                <w:spacing w:val="-20"/>
                <w:sz w:val="20"/>
                <w:szCs w:val="20"/>
              </w:rPr>
            </w:pPr>
            <w:r>
              <w:rPr>
                <w:rFonts w:hint="eastAsia" w:ascii="宋体" w:hAnsi="宋体" w:eastAsia="宋体" w:cs="宋体"/>
                <w:spacing w:val="-20"/>
                <w:sz w:val="20"/>
                <w:szCs w:val="20"/>
              </w:rPr>
              <w:t>权力分类</w:t>
            </w:r>
          </w:p>
        </w:tc>
        <w:tc>
          <w:tcPr>
            <w:tcW w:w="7774"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01796C57">
            <w:pPr>
              <w:spacing w:line="240" w:lineRule="atLeast"/>
              <w:jc w:val="center"/>
              <w:rPr>
                <w:rFonts w:ascii="宋体" w:hAnsi="宋体" w:eastAsia="宋体" w:cs="宋体"/>
                <w:sz w:val="20"/>
                <w:szCs w:val="20"/>
              </w:rPr>
            </w:pPr>
            <w:r>
              <w:rPr>
                <w:rFonts w:hint="eastAsia" w:ascii="宋体" w:hAnsi="宋体" w:eastAsia="宋体" w:cs="宋体"/>
                <w:sz w:val="20"/>
                <w:szCs w:val="20"/>
              </w:rPr>
              <w:t>权力清单</w:t>
            </w:r>
          </w:p>
        </w:tc>
        <w:tc>
          <w:tcPr>
            <w:tcW w:w="131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253819A">
            <w:pPr>
              <w:spacing w:line="240" w:lineRule="atLeast"/>
              <w:jc w:val="center"/>
              <w:rPr>
                <w:rFonts w:ascii="宋体" w:hAnsi="宋体" w:eastAsia="宋体" w:cs="宋体"/>
                <w:sz w:val="20"/>
                <w:szCs w:val="20"/>
              </w:rPr>
            </w:pPr>
            <w:r>
              <w:rPr>
                <w:rFonts w:hint="eastAsia" w:ascii="宋体" w:hAnsi="宋体" w:eastAsia="宋体" w:cs="宋体"/>
                <w:sz w:val="20"/>
                <w:szCs w:val="20"/>
              </w:rPr>
              <w:t>责任清单</w:t>
            </w:r>
          </w:p>
        </w:tc>
        <w:tc>
          <w:tcPr>
            <w:tcW w:w="3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B07402B">
            <w:pPr>
              <w:snapToGrid w:val="0"/>
              <w:spacing w:line="240" w:lineRule="atLeast"/>
              <w:rPr>
                <w:rFonts w:ascii="宋体" w:hAnsi="宋体" w:eastAsia="宋体" w:cs="宋体"/>
                <w:sz w:val="28"/>
                <w:szCs w:val="28"/>
              </w:rPr>
            </w:pPr>
            <w:r>
              <w:rPr>
                <w:rFonts w:hint="eastAsia" w:ascii="宋体" w:hAnsi="宋体" w:eastAsia="宋体" w:cs="宋体"/>
                <w:sz w:val="20"/>
                <w:szCs w:val="20"/>
              </w:rPr>
              <w:t>备注</w:t>
            </w:r>
          </w:p>
        </w:tc>
      </w:tr>
      <w:tr w14:paraId="5B34A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B2A4251">
            <w:pPr>
              <w:rPr>
                <w:rFonts w:ascii="Times New Roman" w:hAnsi="Times New Roman" w:cs="Times New Roman"/>
                <w:sz w:val="20"/>
                <w:szCs w:val="20"/>
              </w:rPr>
            </w:pPr>
          </w:p>
        </w:tc>
        <w:tc>
          <w:tcPr>
            <w:tcW w:w="55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F68179">
            <w:pPr>
              <w:rPr>
                <w:rFonts w:ascii="Times New Roman" w:hAnsi="Times New Roman" w:cs="Times New Roman"/>
                <w:sz w:val="20"/>
                <w:szCs w:val="20"/>
              </w:rPr>
            </w:pPr>
          </w:p>
        </w:tc>
        <w:tc>
          <w:tcPr>
            <w:tcW w:w="784" w:type="dxa"/>
            <w:tcBorders>
              <w:top w:val="single" w:color="auto" w:sz="4" w:space="0"/>
              <w:left w:val="single" w:color="auto" w:sz="4" w:space="0"/>
              <w:bottom w:val="single" w:color="auto" w:sz="4" w:space="0"/>
              <w:right w:val="single" w:color="auto" w:sz="4" w:space="0"/>
            </w:tcBorders>
            <w:shd w:val="clear" w:color="auto" w:fill="auto"/>
            <w:vAlign w:val="center"/>
          </w:tcPr>
          <w:p w14:paraId="6D4C1309">
            <w:pPr>
              <w:autoSpaceDE w:val="0"/>
              <w:snapToGrid w:val="0"/>
              <w:spacing w:line="200" w:lineRule="exact"/>
              <w:jc w:val="center"/>
              <w:rPr>
                <w:rFonts w:ascii="宋体" w:hAnsi="宋体" w:eastAsia="宋体" w:cs="宋体"/>
                <w:spacing w:val="-23"/>
                <w:sz w:val="20"/>
                <w:szCs w:val="20"/>
              </w:rPr>
            </w:pPr>
            <w:r>
              <w:rPr>
                <w:rFonts w:hint="eastAsia" w:ascii="宋体" w:hAnsi="宋体" w:eastAsia="宋体" w:cs="宋体"/>
                <w:spacing w:val="-23"/>
                <w:sz w:val="20"/>
                <w:szCs w:val="20"/>
              </w:rPr>
              <w:t>项 目</w:t>
            </w:r>
          </w:p>
          <w:p w14:paraId="73D70B59">
            <w:pPr>
              <w:autoSpaceDE w:val="0"/>
              <w:snapToGrid w:val="0"/>
              <w:spacing w:line="200" w:lineRule="exact"/>
              <w:jc w:val="center"/>
              <w:rPr>
                <w:rFonts w:ascii="宋体" w:hAnsi="宋体" w:eastAsia="宋体" w:cs="宋体"/>
                <w:spacing w:val="-23"/>
                <w:sz w:val="20"/>
                <w:szCs w:val="20"/>
              </w:rPr>
            </w:pPr>
            <w:r>
              <w:rPr>
                <w:rFonts w:hint="eastAsia" w:ascii="宋体" w:hAnsi="宋体" w:eastAsia="宋体" w:cs="宋体"/>
                <w:spacing w:val="-23"/>
                <w:sz w:val="20"/>
                <w:szCs w:val="20"/>
              </w:rPr>
              <w:t>名 称</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FC66E1C">
            <w:pPr>
              <w:autoSpaceDE w:val="0"/>
              <w:adjustRightInd w:val="0"/>
              <w:snapToGrid w:val="0"/>
              <w:spacing w:line="240" w:lineRule="exact"/>
              <w:jc w:val="center"/>
              <w:rPr>
                <w:rFonts w:ascii="宋体" w:hAnsi="宋体" w:eastAsia="宋体" w:cs="宋体"/>
                <w:spacing w:val="-11"/>
                <w:sz w:val="20"/>
                <w:szCs w:val="20"/>
              </w:rPr>
            </w:pPr>
            <w:r>
              <w:rPr>
                <w:rFonts w:hint="eastAsia" w:ascii="宋体" w:hAnsi="宋体" w:eastAsia="宋体" w:cs="宋体"/>
                <w:spacing w:val="-11"/>
                <w:sz w:val="18"/>
                <w:szCs w:val="18"/>
              </w:rPr>
              <w:t>子项名 称</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14:paraId="60EF2E7D">
            <w:pPr>
              <w:autoSpaceDE w:val="0"/>
              <w:adjustRightInd w:val="0"/>
              <w:snapToGrid w:val="0"/>
              <w:spacing w:line="240" w:lineRule="exact"/>
              <w:jc w:val="center"/>
              <w:rPr>
                <w:rFonts w:ascii="宋体" w:hAnsi="宋体" w:eastAsia="宋体" w:cs="宋体"/>
                <w:spacing w:val="-11"/>
                <w:sz w:val="20"/>
                <w:szCs w:val="20"/>
              </w:rPr>
            </w:pPr>
            <w:r>
              <w:rPr>
                <w:rFonts w:hint="eastAsia" w:ascii="宋体" w:hAnsi="宋体" w:eastAsia="宋体" w:cs="宋体"/>
                <w:spacing w:val="-11"/>
                <w:sz w:val="20"/>
                <w:szCs w:val="20"/>
              </w:rPr>
              <w:t>实施主体</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76931772">
            <w:pPr>
              <w:widowControl/>
              <w:autoSpaceDE w:val="0"/>
              <w:snapToGrid w:val="0"/>
              <w:spacing w:line="240" w:lineRule="exact"/>
              <w:rPr>
                <w:rFonts w:ascii="宋体" w:hAnsi="宋体" w:eastAsia="宋体" w:cs="宋体"/>
                <w:spacing w:val="-11"/>
                <w:sz w:val="20"/>
                <w:szCs w:val="20"/>
              </w:rPr>
            </w:pPr>
            <w:r>
              <w:rPr>
                <w:rFonts w:hint="eastAsia" w:ascii="宋体" w:hAnsi="宋体" w:eastAsia="宋体" w:cs="宋体"/>
                <w:spacing w:val="-11"/>
                <w:sz w:val="20"/>
                <w:szCs w:val="20"/>
              </w:rPr>
              <w:t>承办的内设机构和单位</w:t>
            </w:r>
          </w:p>
        </w:tc>
        <w:tc>
          <w:tcPr>
            <w:tcW w:w="4605" w:type="dxa"/>
            <w:tcBorders>
              <w:top w:val="single" w:color="auto" w:sz="4" w:space="0"/>
              <w:left w:val="single" w:color="auto" w:sz="4" w:space="0"/>
              <w:bottom w:val="single" w:color="auto" w:sz="4" w:space="0"/>
              <w:right w:val="single" w:color="auto" w:sz="4" w:space="0"/>
            </w:tcBorders>
            <w:shd w:val="clear" w:color="auto" w:fill="auto"/>
            <w:vAlign w:val="center"/>
          </w:tcPr>
          <w:p w14:paraId="5836B2DD">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rPr>
              <w:t>实施依据</w:t>
            </w:r>
          </w:p>
        </w:tc>
        <w:tc>
          <w:tcPr>
            <w:tcW w:w="3585" w:type="dxa"/>
            <w:tcBorders>
              <w:top w:val="single" w:color="auto" w:sz="4" w:space="0"/>
              <w:left w:val="single" w:color="auto" w:sz="4" w:space="0"/>
              <w:bottom w:val="single" w:color="auto" w:sz="4" w:space="0"/>
              <w:right w:val="single" w:color="auto" w:sz="4" w:space="0"/>
            </w:tcBorders>
            <w:shd w:val="clear" w:color="auto" w:fill="auto"/>
            <w:vAlign w:val="center"/>
          </w:tcPr>
          <w:p w14:paraId="0EBD57FF">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rPr>
              <w:t>责任事项</w:t>
            </w:r>
          </w:p>
          <w:p w14:paraId="55BF0AA2">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rPr>
              <w:t>（明确责任主体）</w:t>
            </w:r>
          </w:p>
        </w:tc>
        <w:tc>
          <w:tcPr>
            <w:tcW w:w="9515" w:type="dxa"/>
            <w:tcBorders>
              <w:top w:val="single" w:color="auto" w:sz="4" w:space="0"/>
              <w:left w:val="single" w:color="auto" w:sz="4" w:space="0"/>
              <w:bottom w:val="single" w:color="auto" w:sz="4" w:space="0"/>
              <w:right w:val="single" w:color="auto" w:sz="4" w:space="0"/>
            </w:tcBorders>
            <w:shd w:val="clear" w:color="auto" w:fill="auto"/>
            <w:vAlign w:val="center"/>
          </w:tcPr>
          <w:p w14:paraId="32DBE58C">
            <w:pPr>
              <w:snapToGrid w:val="0"/>
              <w:spacing w:line="240" w:lineRule="atLeast"/>
              <w:ind w:firstLine="200" w:firstLineChars="100"/>
              <w:jc w:val="center"/>
              <w:rPr>
                <w:rFonts w:ascii="宋体" w:hAnsi="宋体" w:eastAsia="宋体" w:cs="宋体"/>
                <w:sz w:val="20"/>
                <w:szCs w:val="20"/>
              </w:rPr>
            </w:pPr>
            <w:r>
              <w:rPr>
                <w:rFonts w:hint="eastAsia" w:ascii="宋体" w:hAnsi="宋体" w:eastAsia="宋体" w:cs="宋体"/>
                <w:sz w:val="20"/>
                <w:szCs w:val="20"/>
              </w:rPr>
              <w:t>责任事项依据</w:t>
            </w:r>
          </w:p>
        </w:tc>
        <w:tc>
          <w:tcPr>
            <w:tcW w:w="3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F36EC1">
            <w:pPr>
              <w:rPr>
                <w:rFonts w:ascii="Times New Roman" w:hAnsi="Times New Roman" w:cs="Times New Roman"/>
                <w:sz w:val="20"/>
                <w:szCs w:val="20"/>
              </w:rPr>
            </w:pPr>
          </w:p>
        </w:tc>
      </w:tr>
      <w:tr w14:paraId="015C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18EB774A">
            <w:pPr>
              <w:snapToGrid w:val="0"/>
              <w:spacing w:line="240" w:lineRule="atLeast"/>
              <w:jc w:val="center"/>
              <w:rPr>
                <w:rFonts w:ascii="仿宋_GB2312" w:eastAsia="仿宋_GB2312" w:cs="仿宋_GB2312"/>
                <w:sz w:val="20"/>
                <w:szCs w:val="20"/>
              </w:rPr>
            </w:pPr>
            <w:r>
              <w:rPr>
                <w:rFonts w:hint="eastAsia" w:ascii="仿宋_GB2312" w:eastAsia="仿宋_GB2312" w:cs="仿宋_GB2312"/>
                <w:sz w:val="20"/>
                <w:szCs w:val="20"/>
              </w:rPr>
              <w:t>178</w:t>
            </w:r>
          </w:p>
        </w:tc>
        <w:tc>
          <w:tcPr>
            <w:tcW w:w="555" w:type="dxa"/>
            <w:tcBorders>
              <w:top w:val="single" w:color="auto" w:sz="4" w:space="0"/>
              <w:left w:val="single" w:color="auto" w:sz="4" w:space="0"/>
              <w:bottom w:val="single" w:color="auto" w:sz="4" w:space="0"/>
              <w:right w:val="single" w:color="auto" w:sz="4" w:space="0"/>
            </w:tcBorders>
            <w:shd w:val="clear" w:color="auto" w:fill="auto"/>
            <w:vAlign w:val="center"/>
          </w:tcPr>
          <w:p w14:paraId="15BB0D68">
            <w:pPr>
              <w:snapToGrid w:val="0"/>
              <w:spacing w:line="240" w:lineRule="atLeast"/>
              <w:jc w:val="center"/>
              <w:rPr>
                <w:rFonts w:ascii="仿宋_GB2312" w:eastAsia="仿宋_GB2312" w:cs="仿宋_GB2312"/>
                <w:sz w:val="20"/>
                <w:szCs w:val="20"/>
              </w:rPr>
            </w:pPr>
            <w:r>
              <w:rPr>
                <w:rFonts w:hint="eastAsia" w:ascii="仿宋_GB2312" w:hAnsi="Calibri" w:eastAsia="仿宋_GB2312" w:cs="仿宋_GB2312"/>
                <w:sz w:val="20"/>
                <w:szCs w:val="20"/>
              </w:rPr>
              <w:t>行</w:t>
            </w:r>
          </w:p>
          <w:p w14:paraId="352528B3">
            <w:pPr>
              <w:snapToGrid w:val="0"/>
              <w:spacing w:line="240" w:lineRule="atLeast"/>
              <w:jc w:val="center"/>
              <w:rPr>
                <w:rFonts w:ascii="仿宋_GB2312" w:eastAsia="仿宋_GB2312" w:cs="仿宋_GB2312"/>
                <w:sz w:val="20"/>
                <w:szCs w:val="20"/>
              </w:rPr>
            </w:pPr>
            <w:r>
              <w:rPr>
                <w:rFonts w:hint="eastAsia" w:ascii="仿宋_GB2312" w:hAnsi="Calibri" w:eastAsia="仿宋_GB2312" w:cs="仿宋_GB2312"/>
                <w:sz w:val="20"/>
                <w:szCs w:val="20"/>
              </w:rPr>
              <w:t>政</w:t>
            </w:r>
          </w:p>
          <w:p w14:paraId="6BBCEDE3">
            <w:pPr>
              <w:snapToGrid w:val="0"/>
              <w:spacing w:line="240" w:lineRule="atLeast"/>
              <w:jc w:val="center"/>
              <w:rPr>
                <w:rFonts w:ascii="仿宋_GB2312" w:eastAsia="仿宋_GB2312" w:cs="仿宋_GB2312"/>
                <w:sz w:val="20"/>
                <w:szCs w:val="20"/>
              </w:rPr>
            </w:pPr>
            <w:r>
              <w:rPr>
                <w:rFonts w:hint="eastAsia" w:ascii="仿宋_GB2312" w:hAnsi="Calibri" w:eastAsia="仿宋_GB2312" w:cs="仿宋_GB2312"/>
                <w:sz w:val="20"/>
                <w:szCs w:val="20"/>
              </w:rPr>
              <w:t>处罚</w:t>
            </w:r>
          </w:p>
        </w:tc>
        <w:tc>
          <w:tcPr>
            <w:tcW w:w="784" w:type="dxa"/>
            <w:tcBorders>
              <w:top w:val="single" w:color="auto" w:sz="4" w:space="0"/>
              <w:left w:val="single" w:color="auto" w:sz="4" w:space="0"/>
              <w:bottom w:val="single" w:color="auto" w:sz="4" w:space="0"/>
              <w:right w:val="single" w:color="auto" w:sz="4" w:space="0"/>
            </w:tcBorders>
            <w:shd w:val="clear" w:color="auto" w:fill="auto"/>
            <w:vAlign w:val="center"/>
          </w:tcPr>
          <w:p w14:paraId="3ECF036C">
            <w:pPr>
              <w:snapToGrid w:val="0"/>
              <w:spacing w:line="240" w:lineRule="atLeast"/>
              <w:jc w:val="center"/>
              <w:rPr>
                <w:rFonts w:ascii="仿宋_GB2312" w:eastAsia="仿宋_GB2312" w:cs="仿宋_GB2312"/>
                <w:sz w:val="20"/>
                <w:szCs w:val="20"/>
              </w:rPr>
            </w:pPr>
            <w:r>
              <w:rPr>
                <w:rFonts w:hint="eastAsia" w:ascii="仿宋_GB2312" w:eastAsia="仿宋_GB2312" w:cs="仿宋_GB2312"/>
                <w:sz w:val="20"/>
                <w:szCs w:val="20"/>
              </w:rPr>
              <w:t>对非法占用永久基本农田发展林果业或者挖塘养鱼行为的处罚</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3222076">
            <w:pPr>
              <w:snapToGrid w:val="0"/>
              <w:spacing w:line="240" w:lineRule="atLeast"/>
              <w:jc w:val="center"/>
              <w:rPr>
                <w:rFonts w:ascii="仿宋_GB2312" w:eastAsia="仿宋_GB2312" w:cs="仿宋_GB2312"/>
                <w:sz w:val="20"/>
                <w:szCs w:val="20"/>
              </w:rPr>
            </w:pP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14:paraId="1F9F88C8">
            <w:pPr>
              <w:snapToGrid w:val="0"/>
              <w:spacing w:line="240" w:lineRule="atLeast"/>
              <w:jc w:val="center"/>
              <w:rPr>
                <w:rFonts w:ascii="仿宋_GB2312" w:eastAsia="仿宋_GB2312" w:cs="仿宋_GB2312"/>
                <w:sz w:val="20"/>
                <w:szCs w:val="20"/>
              </w:rPr>
            </w:pPr>
            <w:r>
              <w:rPr>
                <w:rFonts w:hint="eastAsia" w:ascii="仿宋_GB2312" w:hAnsi="Calibri" w:eastAsia="仿宋_GB2312" w:cs="仿宋_GB2312"/>
                <w:sz w:val="20"/>
                <w:szCs w:val="20"/>
              </w:rPr>
              <w:t>玉林市自然资源局</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47E2CCA4">
            <w:pPr>
              <w:snapToGrid w:val="0"/>
              <w:spacing w:line="240" w:lineRule="atLeast"/>
              <w:jc w:val="center"/>
              <w:rPr>
                <w:rFonts w:ascii="仿宋_GB2312" w:eastAsia="仿宋_GB2312" w:cs="仿宋_GB2312"/>
                <w:sz w:val="20"/>
                <w:szCs w:val="20"/>
              </w:rPr>
            </w:pPr>
            <w:r>
              <w:rPr>
                <w:rFonts w:hint="eastAsia" w:ascii="仿宋_GB2312" w:hAnsi="Calibri" w:eastAsia="仿宋_GB2312" w:cs="仿宋_GB2312"/>
                <w:sz w:val="20"/>
                <w:szCs w:val="20"/>
              </w:rPr>
              <w:t>政策法规和执法督察科</w:t>
            </w:r>
          </w:p>
        </w:tc>
        <w:tc>
          <w:tcPr>
            <w:tcW w:w="4605" w:type="dxa"/>
            <w:tcBorders>
              <w:top w:val="single" w:color="auto" w:sz="4" w:space="0"/>
              <w:left w:val="single" w:color="auto" w:sz="4" w:space="0"/>
              <w:bottom w:val="single" w:color="auto" w:sz="4" w:space="0"/>
              <w:right w:val="single" w:color="auto" w:sz="4" w:space="0"/>
            </w:tcBorders>
            <w:shd w:val="clear" w:color="auto" w:fill="auto"/>
            <w:vAlign w:val="center"/>
          </w:tcPr>
          <w:p w14:paraId="4F3A64C8">
            <w:pPr>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1.【法律】《中华人民共和国土地管理法》第三十七条：非农业建设必须节约使用土地，可以利用荒地的，不得占用耕地；可以利用劣地的，不得占用好地。</w:t>
            </w:r>
          </w:p>
          <w:p w14:paraId="35401936">
            <w:pPr>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禁止占用耕地建窑、建坟或者擅自在耕地上建房、挖砂、采石、采矿、取土等。</w:t>
            </w:r>
          </w:p>
          <w:p w14:paraId="32D90704">
            <w:pPr>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禁止占用永久基本农田发展林果业和挖塘养鱼。</w:t>
            </w:r>
          </w:p>
          <w:p w14:paraId="06E10AE9">
            <w:pPr>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第七十五条违反本法规定，占用耕地建窑、建坟或者擅自在耕地上建房、挖砂、采石、采矿、取土等，破坏种植条件的，或者因开发土地造成土地荒漠化、盐渍化的，由县级以上人民政府自然资源主管部门、农业农村主管部门等按照职责责令限期改正或者治理，可以并处罚款；构成犯罪的，依法追究刑事责任。</w:t>
            </w:r>
          </w:p>
          <w:p w14:paraId="3C9CA0E2">
            <w:pPr>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2.【行政法规】《中华人民共和国土地管理法实施条例》（1998年国务院令第256号，2021年国务院令第743号第三次修订）第五十一条：违反《土地管理法》第三十七条的规定，非法占用永久基本农田发展林果业或者挖塘养鱼的，由县级以上人民政府自然资源主管部门责令限期改正；逾期不改正的，按占用面积处耕地开垦费2倍以上5倍以下的罚款；破坏种植条件的，依照《土地管理法》第七十五条的规定处罚。</w:t>
            </w:r>
          </w:p>
        </w:tc>
        <w:tc>
          <w:tcPr>
            <w:tcW w:w="3585" w:type="dxa"/>
            <w:tcBorders>
              <w:top w:val="single" w:color="auto" w:sz="4" w:space="0"/>
              <w:left w:val="single" w:color="auto" w:sz="4" w:space="0"/>
              <w:bottom w:val="single" w:color="auto" w:sz="4" w:space="0"/>
              <w:right w:val="single" w:color="auto" w:sz="4" w:space="0"/>
            </w:tcBorders>
            <w:shd w:val="clear" w:color="auto" w:fill="auto"/>
            <w:vAlign w:val="center"/>
          </w:tcPr>
          <w:p w14:paraId="2099F844">
            <w:pPr>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1.立案阶段责任：接到举报或相关部门转送、巡查发现违法行为，及时予以审查，决定是否立案。下达《责令停止违法行为通知书》。</w:t>
            </w:r>
          </w:p>
          <w:p w14:paraId="70203433">
            <w:pPr>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57867516">
            <w:pPr>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8EBB927">
            <w:pPr>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4.告知阶段责任：作出行政处罚决定前，应制作《行政处罚告知书》送达当事人，告知违法事实及其享有的陈述、申辩等权利。符合听证规定的，制作并送达《行政处罚听证告知书》。</w:t>
            </w:r>
          </w:p>
          <w:p w14:paraId="193B3ECB">
            <w:pPr>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5.决定阶段责任：制作行政处罚决定书，载明行政处罚告知、当事人陈述申辩或者听证情况等内容。符合刑事案件移送条件的，及时移送。</w:t>
            </w:r>
          </w:p>
          <w:p w14:paraId="70A610C5">
            <w:pPr>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6.送达阶段责任：行政处罚决定书按法律规定的方式送达当事人。</w:t>
            </w:r>
          </w:p>
          <w:p w14:paraId="15BEEE6F">
            <w:pPr>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7.执行阶段责任：当事人履行处罚决定的，及时结案；未履行处罚决定，依照生效的行政处罚决定，按程序下达催缴（告）通知书和申请人民法院强制执行。</w:t>
            </w:r>
          </w:p>
          <w:p w14:paraId="66425443">
            <w:pPr>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8.其他法律法规规章文件规定应履行的责任。</w:t>
            </w:r>
          </w:p>
        </w:tc>
        <w:tc>
          <w:tcPr>
            <w:tcW w:w="9515" w:type="dxa"/>
            <w:tcBorders>
              <w:top w:val="single" w:color="auto" w:sz="4" w:space="0"/>
              <w:left w:val="single" w:color="auto" w:sz="4" w:space="0"/>
              <w:bottom w:val="single" w:color="auto" w:sz="4" w:space="0"/>
              <w:right w:val="single" w:color="auto" w:sz="4" w:space="0"/>
            </w:tcBorders>
            <w:shd w:val="clear" w:color="auto" w:fill="auto"/>
            <w:vAlign w:val="center"/>
          </w:tcPr>
          <w:p w14:paraId="527EBFE4">
            <w:pPr>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1.【部门规章】《自然资源行政处罚办法》（2014年国土资源部令第60号公布，2020年自然资源部令第6号修正）第十一条：自然资源主管部门发现自然人、法人或者其他组织行为涉嫌违法的，应当及时核查。对正在实施的违法行为，应当依法及时下达《责令停止违法行为通知书》予以制止。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D61F27F">
            <w:pPr>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2—1.【法律】《中华人民共和国行政处罚法》第三十七条：行政机关在调查或者进行检查时，执法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63D829F">
            <w:pPr>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第十四条：调查人员与案件有直接利害关系的，应当回避。第二十条：当事人请求自行提供陈述材料的，应当准许。必要时，调查人员也可以要求当事人自行书写。当事人应当在其提供的陈述材料上签名、按手印或者盖章。第二十一条：询问应当个别进行，并制作询问笔录。询问笔录应当记载询问的时间、地点和询问情况等。</w:t>
            </w:r>
          </w:p>
          <w:p w14:paraId="15F12B04">
            <w:pPr>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40C2DCE">
            <w:pPr>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第二十八条：……当事人要求听证的，应当在收到《行政处罚听证告知书》后三个工作日内提出。</w:t>
            </w:r>
          </w:p>
          <w:p w14:paraId="7FE03ED3">
            <w:pPr>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5—1.【法律】《中华人民共和国行政处罚法》第三十八条：调查终结，行政机关负责人应当对调查结果进行审查，根据不同情况，分别作出决定。第三十九条：行政机关……应当制作《行政处罚决定书》。</w:t>
            </w:r>
          </w:p>
          <w:p w14:paraId="02717747">
            <w:pPr>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F120F55">
            <w:pPr>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F230827">
            <w:pPr>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97DD5F5">
            <w:pPr>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7—1.【法律】《中华人民共和国行政处罚法》第四十四条：行政处罚决定依法作出后，当事人应当在行政处罚决定的期限内，予以履行。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8D49A08">
            <w:pPr>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第三十六条：自然资源主管部门申请人民法院强制执行前，应当催告当事人履行义务。</w:t>
            </w:r>
          </w:p>
        </w:tc>
        <w:tc>
          <w:tcPr>
            <w:tcW w:w="330" w:type="dxa"/>
            <w:tcBorders>
              <w:top w:val="single" w:color="auto" w:sz="4" w:space="0"/>
              <w:left w:val="single" w:color="auto" w:sz="4" w:space="0"/>
              <w:bottom w:val="single" w:color="auto" w:sz="4" w:space="0"/>
              <w:right w:val="single" w:color="auto" w:sz="4" w:space="0"/>
            </w:tcBorders>
            <w:shd w:val="clear" w:color="auto" w:fill="auto"/>
            <w:vAlign w:val="center"/>
          </w:tcPr>
          <w:p w14:paraId="4BF2F2FA">
            <w:pPr>
              <w:snapToGrid w:val="0"/>
              <w:spacing w:line="240" w:lineRule="atLeast"/>
              <w:jc w:val="center"/>
              <w:rPr>
                <w:rFonts w:ascii="仿宋_GB2312" w:eastAsia="仿宋_GB2312" w:cs="仿宋_GB2312"/>
                <w:sz w:val="20"/>
                <w:szCs w:val="20"/>
              </w:rPr>
            </w:pPr>
          </w:p>
        </w:tc>
      </w:tr>
    </w:tbl>
    <w:p w14:paraId="191F4223"/>
    <w:p w14:paraId="249B5F6E"/>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A5CF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3E52597">
            <w:pPr>
              <w:snapToGrid w:val="0"/>
              <w:spacing w:line="240" w:lineRule="atLeast"/>
              <w:jc w:val="center"/>
              <w:rPr>
                <w:rFonts w:ascii="宋体" w:hAnsi="宋体" w:eastAsia="宋体" w:cs="宋体"/>
                <w:spacing w:val="-23"/>
                <w:sz w:val="20"/>
                <w:szCs w:val="20"/>
              </w:rPr>
            </w:pPr>
            <w:r>
              <w:rPr>
                <w:rFonts w:hint="eastAsia" w:ascii="宋体" w:hAnsi="宋体" w:eastAsia="宋体" w:cs="宋体"/>
                <w:spacing w:val="-23"/>
                <w:sz w:val="20"/>
                <w:szCs w:val="20"/>
              </w:rPr>
              <w:t>序 号</w:t>
            </w:r>
          </w:p>
        </w:tc>
        <w:tc>
          <w:tcPr>
            <w:tcW w:w="555" w:type="dxa"/>
            <w:vMerge w:val="restart"/>
            <w:tcBorders>
              <w:top w:val="single" w:color="auto" w:sz="4" w:space="0"/>
              <w:left w:val="nil"/>
              <w:bottom w:val="single" w:color="auto" w:sz="4" w:space="0"/>
              <w:right w:val="single" w:color="auto" w:sz="4" w:space="0"/>
            </w:tcBorders>
            <w:shd w:val="clear" w:color="auto" w:fill="auto"/>
            <w:vAlign w:val="center"/>
          </w:tcPr>
          <w:p w14:paraId="2030D7F7">
            <w:pPr>
              <w:spacing w:line="240" w:lineRule="atLeast"/>
              <w:rPr>
                <w:rFonts w:ascii="宋体" w:hAnsi="宋体" w:eastAsia="宋体" w:cs="宋体"/>
                <w:spacing w:val="-20"/>
                <w:sz w:val="20"/>
                <w:szCs w:val="20"/>
              </w:rPr>
            </w:pPr>
          </w:p>
          <w:p w14:paraId="728CEAB5">
            <w:pPr>
              <w:snapToGrid w:val="0"/>
              <w:spacing w:line="240" w:lineRule="atLeast"/>
              <w:rPr>
                <w:rFonts w:ascii="宋体" w:hAnsi="宋体" w:eastAsia="宋体" w:cs="宋体"/>
                <w:spacing w:val="-20"/>
                <w:sz w:val="20"/>
                <w:szCs w:val="20"/>
              </w:rPr>
            </w:pPr>
            <w:r>
              <w:rPr>
                <w:rFonts w:hint="eastAsia" w:ascii="宋体" w:hAnsi="宋体" w:eastAsia="宋体" w:cs="宋体"/>
                <w:spacing w:val="-20"/>
                <w:sz w:val="20"/>
                <w:szCs w:val="20"/>
              </w:rPr>
              <w:t>权力分类</w:t>
            </w:r>
          </w:p>
        </w:tc>
        <w:tc>
          <w:tcPr>
            <w:tcW w:w="7774" w:type="dxa"/>
            <w:gridSpan w:val="5"/>
            <w:tcBorders>
              <w:top w:val="single" w:color="auto" w:sz="4" w:space="0"/>
              <w:left w:val="nil"/>
              <w:bottom w:val="single" w:color="auto" w:sz="4" w:space="0"/>
              <w:right w:val="single" w:color="auto" w:sz="4" w:space="0"/>
            </w:tcBorders>
            <w:shd w:val="clear" w:color="auto" w:fill="auto"/>
            <w:vAlign w:val="center"/>
          </w:tcPr>
          <w:p w14:paraId="27B88D0E">
            <w:pPr>
              <w:spacing w:line="240" w:lineRule="atLeast"/>
              <w:jc w:val="center"/>
              <w:rPr>
                <w:rFonts w:ascii="宋体" w:hAnsi="宋体" w:eastAsia="宋体" w:cs="宋体"/>
                <w:sz w:val="20"/>
                <w:szCs w:val="20"/>
              </w:rPr>
            </w:pPr>
            <w:r>
              <w:rPr>
                <w:rFonts w:hint="eastAsia" w:ascii="宋体" w:hAnsi="宋体" w:eastAsia="宋体" w:cs="宋体"/>
                <w:sz w:val="20"/>
                <w:szCs w:val="20"/>
              </w:rPr>
              <w:t>权力清单</w:t>
            </w:r>
          </w:p>
        </w:tc>
        <w:tc>
          <w:tcPr>
            <w:tcW w:w="13100" w:type="dxa"/>
            <w:gridSpan w:val="2"/>
            <w:tcBorders>
              <w:top w:val="single" w:color="auto" w:sz="4" w:space="0"/>
              <w:left w:val="nil"/>
              <w:bottom w:val="single" w:color="auto" w:sz="4" w:space="0"/>
              <w:right w:val="single" w:color="auto" w:sz="4" w:space="0"/>
            </w:tcBorders>
            <w:shd w:val="clear" w:color="auto" w:fill="auto"/>
            <w:vAlign w:val="center"/>
          </w:tcPr>
          <w:p w14:paraId="46FDB5AA">
            <w:pPr>
              <w:spacing w:line="240" w:lineRule="atLeast"/>
              <w:jc w:val="center"/>
              <w:rPr>
                <w:rFonts w:ascii="宋体" w:hAnsi="宋体" w:eastAsia="宋体" w:cs="宋体"/>
                <w:sz w:val="20"/>
                <w:szCs w:val="20"/>
              </w:rPr>
            </w:pPr>
            <w:r>
              <w:rPr>
                <w:rFonts w:hint="eastAsia" w:ascii="宋体" w:hAnsi="宋体" w:eastAsia="宋体" w:cs="宋体"/>
                <w:sz w:val="20"/>
                <w:szCs w:val="20"/>
              </w:rPr>
              <w:t>责任清单</w:t>
            </w:r>
          </w:p>
        </w:tc>
        <w:tc>
          <w:tcPr>
            <w:tcW w:w="330" w:type="dxa"/>
            <w:vMerge w:val="restart"/>
            <w:tcBorders>
              <w:top w:val="single" w:color="auto" w:sz="4" w:space="0"/>
              <w:left w:val="nil"/>
              <w:bottom w:val="single" w:color="auto" w:sz="4" w:space="0"/>
              <w:right w:val="single" w:color="auto" w:sz="4" w:space="0"/>
            </w:tcBorders>
            <w:shd w:val="clear" w:color="auto" w:fill="auto"/>
            <w:vAlign w:val="center"/>
          </w:tcPr>
          <w:p w14:paraId="0E1E7D96">
            <w:pPr>
              <w:snapToGrid w:val="0"/>
              <w:spacing w:line="240" w:lineRule="atLeast"/>
              <w:rPr>
                <w:rFonts w:ascii="宋体" w:hAnsi="宋体" w:eastAsia="宋体" w:cs="宋体"/>
                <w:sz w:val="28"/>
                <w:szCs w:val="28"/>
              </w:rPr>
            </w:pPr>
            <w:r>
              <w:rPr>
                <w:rFonts w:hint="eastAsia" w:ascii="宋体" w:hAnsi="宋体" w:eastAsia="宋体" w:cs="宋体"/>
                <w:sz w:val="20"/>
                <w:szCs w:val="20"/>
              </w:rPr>
              <w:t>备注</w:t>
            </w:r>
          </w:p>
        </w:tc>
      </w:tr>
      <w:tr w14:paraId="575FF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92C946">
            <w:pPr>
              <w:rPr>
                <w:rFonts w:ascii="Times New Roman" w:hAnsi="Times New Roman" w:cs="Times New Roman"/>
                <w:sz w:val="20"/>
                <w:szCs w:val="20"/>
              </w:rPr>
            </w:pPr>
          </w:p>
        </w:tc>
        <w:tc>
          <w:tcPr>
            <w:tcW w:w="555" w:type="dxa"/>
            <w:vMerge w:val="continue"/>
            <w:tcBorders>
              <w:top w:val="single" w:color="auto" w:sz="4" w:space="0"/>
              <w:left w:val="nil"/>
              <w:bottom w:val="single" w:color="auto" w:sz="4" w:space="0"/>
              <w:right w:val="single" w:color="auto" w:sz="4" w:space="0"/>
            </w:tcBorders>
            <w:shd w:val="clear" w:color="auto" w:fill="auto"/>
            <w:vAlign w:val="center"/>
          </w:tcPr>
          <w:p w14:paraId="24E7C3FE">
            <w:pPr>
              <w:rPr>
                <w:rFonts w:ascii="Times New Roman" w:hAnsi="Times New Roman" w:cs="Times New Roman"/>
                <w:sz w:val="20"/>
                <w:szCs w:val="20"/>
              </w:rPr>
            </w:pPr>
          </w:p>
        </w:tc>
        <w:tc>
          <w:tcPr>
            <w:tcW w:w="784" w:type="dxa"/>
            <w:tcBorders>
              <w:top w:val="single" w:color="auto" w:sz="4" w:space="0"/>
              <w:left w:val="nil"/>
              <w:bottom w:val="single" w:color="auto" w:sz="4" w:space="0"/>
              <w:right w:val="single" w:color="auto" w:sz="4" w:space="0"/>
            </w:tcBorders>
            <w:shd w:val="clear" w:color="auto" w:fill="auto"/>
            <w:vAlign w:val="center"/>
          </w:tcPr>
          <w:p w14:paraId="3010848A">
            <w:pPr>
              <w:autoSpaceDE w:val="0"/>
              <w:snapToGrid w:val="0"/>
              <w:spacing w:line="200" w:lineRule="exact"/>
              <w:jc w:val="center"/>
              <w:rPr>
                <w:rFonts w:ascii="宋体" w:hAnsi="宋体" w:eastAsia="宋体" w:cs="宋体"/>
                <w:spacing w:val="-23"/>
                <w:sz w:val="20"/>
                <w:szCs w:val="20"/>
              </w:rPr>
            </w:pPr>
            <w:r>
              <w:rPr>
                <w:rFonts w:hint="eastAsia" w:ascii="宋体" w:hAnsi="宋体" w:eastAsia="宋体" w:cs="宋体"/>
                <w:spacing w:val="-23"/>
                <w:sz w:val="20"/>
                <w:szCs w:val="20"/>
              </w:rPr>
              <w:t>项 目</w:t>
            </w:r>
          </w:p>
          <w:p w14:paraId="08932B50">
            <w:pPr>
              <w:autoSpaceDE w:val="0"/>
              <w:snapToGrid w:val="0"/>
              <w:spacing w:line="200" w:lineRule="exact"/>
              <w:jc w:val="center"/>
              <w:rPr>
                <w:rFonts w:ascii="宋体" w:hAnsi="宋体" w:eastAsia="宋体" w:cs="宋体"/>
                <w:spacing w:val="-23"/>
                <w:sz w:val="20"/>
                <w:szCs w:val="20"/>
              </w:rPr>
            </w:pPr>
            <w:r>
              <w:rPr>
                <w:rFonts w:hint="eastAsia" w:ascii="宋体" w:hAnsi="宋体" w:eastAsia="宋体" w:cs="宋体"/>
                <w:spacing w:val="-23"/>
                <w:sz w:val="20"/>
                <w:szCs w:val="20"/>
              </w:rPr>
              <w:t>名 称</w:t>
            </w:r>
          </w:p>
        </w:tc>
        <w:tc>
          <w:tcPr>
            <w:tcW w:w="660" w:type="dxa"/>
            <w:tcBorders>
              <w:top w:val="single" w:color="auto" w:sz="4" w:space="0"/>
              <w:left w:val="nil"/>
              <w:bottom w:val="single" w:color="auto" w:sz="4" w:space="0"/>
              <w:right w:val="single" w:color="auto" w:sz="4" w:space="0"/>
            </w:tcBorders>
            <w:shd w:val="clear" w:color="auto" w:fill="auto"/>
            <w:vAlign w:val="center"/>
          </w:tcPr>
          <w:p w14:paraId="2DC1BF68">
            <w:pPr>
              <w:autoSpaceDE w:val="0"/>
              <w:adjustRightInd w:val="0"/>
              <w:snapToGrid w:val="0"/>
              <w:spacing w:line="240" w:lineRule="exact"/>
              <w:jc w:val="center"/>
              <w:rPr>
                <w:rFonts w:ascii="宋体" w:hAnsi="宋体" w:eastAsia="宋体" w:cs="宋体"/>
                <w:spacing w:val="-11"/>
                <w:sz w:val="20"/>
                <w:szCs w:val="20"/>
              </w:rPr>
            </w:pPr>
            <w:r>
              <w:rPr>
                <w:rFonts w:hint="eastAsia" w:ascii="宋体" w:hAnsi="宋体" w:eastAsia="宋体" w:cs="宋体"/>
                <w:spacing w:val="-11"/>
                <w:sz w:val="18"/>
                <w:szCs w:val="18"/>
              </w:rPr>
              <w:t>子项名 称</w:t>
            </w:r>
          </w:p>
        </w:tc>
        <w:tc>
          <w:tcPr>
            <w:tcW w:w="615" w:type="dxa"/>
            <w:tcBorders>
              <w:top w:val="single" w:color="auto" w:sz="4" w:space="0"/>
              <w:left w:val="nil"/>
              <w:bottom w:val="single" w:color="auto" w:sz="4" w:space="0"/>
              <w:right w:val="single" w:color="auto" w:sz="4" w:space="0"/>
            </w:tcBorders>
            <w:shd w:val="clear" w:color="auto" w:fill="auto"/>
            <w:vAlign w:val="center"/>
          </w:tcPr>
          <w:p w14:paraId="71508D9F">
            <w:pPr>
              <w:autoSpaceDE w:val="0"/>
              <w:adjustRightInd w:val="0"/>
              <w:snapToGrid w:val="0"/>
              <w:spacing w:line="240" w:lineRule="exact"/>
              <w:jc w:val="center"/>
              <w:rPr>
                <w:rFonts w:ascii="宋体" w:hAnsi="宋体" w:eastAsia="宋体" w:cs="宋体"/>
                <w:spacing w:val="-11"/>
                <w:sz w:val="20"/>
                <w:szCs w:val="20"/>
              </w:rPr>
            </w:pPr>
            <w:r>
              <w:rPr>
                <w:rFonts w:hint="eastAsia" w:ascii="宋体" w:hAnsi="宋体" w:eastAsia="宋体" w:cs="宋体"/>
                <w:spacing w:val="-11"/>
                <w:sz w:val="20"/>
                <w:szCs w:val="20"/>
              </w:rPr>
              <w:t>实施主体</w:t>
            </w:r>
          </w:p>
        </w:tc>
        <w:tc>
          <w:tcPr>
            <w:tcW w:w="1110" w:type="dxa"/>
            <w:tcBorders>
              <w:top w:val="single" w:color="auto" w:sz="4" w:space="0"/>
              <w:left w:val="nil"/>
              <w:bottom w:val="single" w:color="auto" w:sz="4" w:space="0"/>
              <w:right w:val="single" w:color="auto" w:sz="4" w:space="0"/>
            </w:tcBorders>
            <w:shd w:val="clear" w:color="auto" w:fill="auto"/>
            <w:vAlign w:val="center"/>
          </w:tcPr>
          <w:p w14:paraId="7E1863DA">
            <w:pPr>
              <w:widowControl/>
              <w:autoSpaceDE w:val="0"/>
              <w:snapToGrid w:val="0"/>
              <w:spacing w:line="240" w:lineRule="exact"/>
              <w:rPr>
                <w:rFonts w:ascii="宋体" w:hAnsi="宋体" w:eastAsia="宋体" w:cs="宋体"/>
                <w:spacing w:val="-11"/>
                <w:sz w:val="20"/>
                <w:szCs w:val="20"/>
              </w:rPr>
            </w:pPr>
            <w:r>
              <w:rPr>
                <w:rFonts w:hint="eastAsia" w:ascii="宋体" w:hAnsi="宋体" w:eastAsia="宋体" w:cs="宋体"/>
                <w:spacing w:val="-11"/>
                <w:sz w:val="20"/>
                <w:szCs w:val="20"/>
              </w:rPr>
              <w:t>承办的内设机构和单位</w:t>
            </w:r>
          </w:p>
        </w:tc>
        <w:tc>
          <w:tcPr>
            <w:tcW w:w="4605" w:type="dxa"/>
            <w:tcBorders>
              <w:top w:val="single" w:color="auto" w:sz="4" w:space="0"/>
              <w:left w:val="nil"/>
              <w:bottom w:val="single" w:color="auto" w:sz="4" w:space="0"/>
              <w:right w:val="single" w:color="auto" w:sz="4" w:space="0"/>
            </w:tcBorders>
            <w:shd w:val="clear" w:color="auto" w:fill="auto"/>
            <w:vAlign w:val="center"/>
          </w:tcPr>
          <w:p w14:paraId="6107FC51">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rPr>
              <w:t>实施依据</w:t>
            </w:r>
          </w:p>
        </w:tc>
        <w:tc>
          <w:tcPr>
            <w:tcW w:w="3585" w:type="dxa"/>
            <w:tcBorders>
              <w:top w:val="single" w:color="auto" w:sz="4" w:space="0"/>
              <w:left w:val="nil"/>
              <w:bottom w:val="single" w:color="auto" w:sz="4" w:space="0"/>
              <w:right w:val="single" w:color="auto" w:sz="4" w:space="0"/>
            </w:tcBorders>
            <w:shd w:val="clear" w:color="auto" w:fill="auto"/>
            <w:vAlign w:val="center"/>
          </w:tcPr>
          <w:p w14:paraId="6CC7456F">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rPr>
              <w:t>责任事项</w:t>
            </w:r>
          </w:p>
          <w:p w14:paraId="7E5E8236">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rPr>
              <w:t>（明确责任主体）</w:t>
            </w:r>
          </w:p>
        </w:tc>
        <w:tc>
          <w:tcPr>
            <w:tcW w:w="9515" w:type="dxa"/>
            <w:tcBorders>
              <w:top w:val="single" w:color="auto" w:sz="4" w:space="0"/>
              <w:left w:val="nil"/>
              <w:bottom w:val="single" w:color="auto" w:sz="4" w:space="0"/>
              <w:right w:val="single" w:color="auto" w:sz="4" w:space="0"/>
            </w:tcBorders>
            <w:shd w:val="clear" w:color="auto" w:fill="auto"/>
            <w:vAlign w:val="center"/>
          </w:tcPr>
          <w:p w14:paraId="2A3E4113">
            <w:pPr>
              <w:snapToGrid w:val="0"/>
              <w:spacing w:line="240" w:lineRule="atLeast"/>
              <w:ind w:firstLine="200" w:firstLineChars="100"/>
              <w:jc w:val="center"/>
              <w:rPr>
                <w:rFonts w:ascii="宋体" w:hAnsi="宋体" w:eastAsia="宋体" w:cs="宋体"/>
                <w:sz w:val="20"/>
                <w:szCs w:val="20"/>
              </w:rPr>
            </w:pPr>
            <w:r>
              <w:rPr>
                <w:rFonts w:hint="eastAsia" w:ascii="宋体" w:hAnsi="宋体" w:eastAsia="宋体" w:cs="宋体"/>
                <w:sz w:val="20"/>
                <w:szCs w:val="20"/>
              </w:rPr>
              <w:t>责任事项依据</w:t>
            </w:r>
          </w:p>
        </w:tc>
        <w:tc>
          <w:tcPr>
            <w:tcW w:w="330" w:type="dxa"/>
            <w:vMerge w:val="continue"/>
            <w:tcBorders>
              <w:top w:val="single" w:color="auto" w:sz="4" w:space="0"/>
              <w:left w:val="nil"/>
              <w:bottom w:val="single" w:color="auto" w:sz="4" w:space="0"/>
              <w:right w:val="single" w:color="auto" w:sz="4" w:space="0"/>
            </w:tcBorders>
            <w:shd w:val="clear" w:color="auto" w:fill="auto"/>
            <w:vAlign w:val="center"/>
          </w:tcPr>
          <w:p w14:paraId="7B2EBF09">
            <w:pPr>
              <w:rPr>
                <w:rFonts w:ascii="Times New Roman" w:hAnsi="Times New Roman" w:cs="Times New Roman"/>
                <w:sz w:val="20"/>
                <w:szCs w:val="20"/>
              </w:rPr>
            </w:pPr>
          </w:p>
        </w:tc>
      </w:tr>
      <w:tr w14:paraId="333EA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22E951E2">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179</w:t>
            </w:r>
          </w:p>
        </w:tc>
        <w:tc>
          <w:tcPr>
            <w:tcW w:w="555" w:type="dxa"/>
            <w:tcBorders>
              <w:top w:val="single" w:color="auto" w:sz="4" w:space="0"/>
              <w:left w:val="nil"/>
              <w:bottom w:val="single" w:color="auto" w:sz="4" w:space="0"/>
              <w:right w:val="single" w:color="auto" w:sz="4" w:space="0"/>
            </w:tcBorders>
            <w:shd w:val="clear" w:color="auto" w:fill="auto"/>
            <w:vAlign w:val="center"/>
          </w:tcPr>
          <w:p w14:paraId="27887868">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行</w:t>
            </w:r>
          </w:p>
          <w:p w14:paraId="4D6B7DB3">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政</w:t>
            </w:r>
          </w:p>
          <w:p w14:paraId="7D3982D5">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处罚</w:t>
            </w:r>
          </w:p>
        </w:tc>
        <w:tc>
          <w:tcPr>
            <w:tcW w:w="784" w:type="dxa"/>
            <w:tcBorders>
              <w:top w:val="single" w:color="auto" w:sz="4" w:space="0"/>
              <w:left w:val="nil"/>
              <w:bottom w:val="single" w:color="auto" w:sz="4" w:space="0"/>
              <w:right w:val="single" w:color="auto" w:sz="4" w:space="0"/>
            </w:tcBorders>
            <w:shd w:val="clear" w:color="auto" w:fill="auto"/>
            <w:vAlign w:val="center"/>
          </w:tcPr>
          <w:p w14:paraId="02D52288">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对侵犯农村村民依法取得的宅基地权益中涉及自然资源主管部门职责的处罚</w:t>
            </w:r>
          </w:p>
        </w:tc>
        <w:tc>
          <w:tcPr>
            <w:tcW w:w="660" w:type="dxa"/>
            <w:tcBorders>
              <w:top w:val="single" w:color="auto" w:sz="4" w:space="0"/>
              <w:left w:val="nil"/>
              <w:bottom w:val="single" w:color="auto" w:sz="4" w:space="0"/>
              <w:right w:val="single" w:color="auto" w:sz="4" w:space="0"/>
            </w:tcBorders>
            <w:shd w:val="clear" w:color="auto" w:fill="auto"/>
            <w:vAlign w:val="center"/>
          </w:tcPr>
          <w:p w14:paraId="35856E40">
            <w:pPr>
              <w:snapToGrid w:val="0"/>
              <w:spacing w:line="240" w:lineRule="atLeast"/>
              <w:jc w:val="center"/>
              <w:rPr>
                <w:rFonts w:ascii="仿宋_GB2312" w:hAnsi="Calibri" w:eastAsia="仿宋_GB2312" w:cs="仿宋_GB2312"/>
                <w:sz w:val="20"/>
                <w:szCs w:val="20"/>
              </w:rPr>
            </w:pPr>
          </w:p>
        </w:tc>
        <w:tc>
          <w:tcPr>
            <w:tcW w:w="615" w:type="dxa"/>
            <w:tcBorders>
              <w:top w:val="single" w:color="auto" w:sz="4" w:space="0"/>
              <w:left w:val="nil"/>
              <w:bottom w:val="single" w:color="auto" w:sz="4" w:space="0"/>
              <w:right w:val="single" w:color="auto" w:sz="4" w:space="0"/>
            </w:tcBorders>
            <w:shd w:val="clear" w:color="auto" w:fill="auto"/>
            <w:vAlign w:val="center"/>
          </w:tcPr>
          <w:p w14:paraId="51C2C193">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玉林市自然资源局</w:t>
            </w:r>
          </w:p>
        </w:tc>
        <w:tc>
          <w:tcPr>
            <w:tcW w:w="1110" w:type="dxa"/>
            <w:tcBorders>
              <w:top w:val="single" w:color="auto" w:sz="4" w:space="0"/>
              <w:left w:val="nil"/>
              <w:bottom w:val="single" w:color="auto" w:sz="4" w:space="0"/>
              <w:right w:val="single" w:color="auto" w:sz="4" w:space="0"/>
            </w:tcBorders>
            <w:shd w:val="clear" w:color="auto" w:fill="auto"/>
            <w:vAlign w:val="center"/>
          </w:tcPr>
          <w:p w14:paraId="3CB3C339">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政策法规和执法督察科</w:t>
            </w:r>
          </w:p>
        </w:tc>
        <w:tc>
          <w:tcPr>
            <w:tcW w:w="4605" w:type="dxa"/>
            <w:tcBorders>
              <w:top w:val="single" w:color="auto" w:sz="4" w:space="0"/>
              <w:left w:val="nil"/>
              <w:bottom w:val="single" w:color="auto" w:sz="4" w:space="0"/>
              <w:right w:val="single" w:color="auto" w:sz="4" w:space="0"/>
            </w:tcBorders>
            <w:shd w:val="clear" w:color="auto" w:fill="auto"/>
            <w:vAlign w:val="center"/>
          </w:tcPr>
          <w:p w14:paraId="4E32D4FB">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行政法规】《中华人民共和国土地管理法实施条例》（1998年国务院令第256号，2021年国务院令第743号第三次修订）第六十三条：违反本条例规定，侵犯农村村民依法取得的宅基地权益的，责令限期改正，对有关责任单位通报批评、给予警告；造成损失的，依法承担赔偿责任；对直接负责的主管人员和其他直接责任人员，依法给予处分。</w:t>
            </w:r>
          </w:p>
        </w:tc>
        <w:tc>
          <w:tcPr>
            <w:tcW w:w="3585" w:type="dxa"/>
            <w:tcBorders>
              <w:top w:val="single" w:color="auto" w:sz="4" w:space="0"/>
              <w:left w:val="nil"/>
              <w:bottom w:val="single" w:color="auto" w:sz="4" w:space="0"/>
              <w:right w:val="single" w:color="auto" w:sz="4" w:space="0"/>
            </w:tcBorders>
            <w:shd w:val="clear" w:color="auto" w:fill="auto"/>
            <w:vAlign w:val="center"/>
          </w:tcPr>
          <w:p w14:paraId="39926914">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1.立案阶段责任：接到举报或相关部门转送、巡查发现违法行为，及时予以审查，决定是否立案。下达《责令停止违法行为通知书》。</w:t>
            </w:r>
          </w:p>
          <w:p w14:paraId="2D91919B">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53535442">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21042CA">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4.告知阶段责任：作出行政处罚决定前，应制作《行政处罚告知书》送达当事人，告知违法事实及其享有的陈述、申辩等权利。符合听证规定的，制作并送达《行政处罚听证告知书》。</w:t>
            </w:r>
          </w:p>
          <w:p w14:paraId="00FDA047">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5.决定阶段责任：制作行政处罚决定书，载明行政处罚告知、当事人陈述申辩或者听证情况等内容。符合刑事案件移送条件的，及时移送。</w:t>
            </w:r>
          </w:p>
          <w:p w14:paraId="0E17335D">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6.送达阶段责任：行政处罚决定书按法律规定的方式送达当事人。</w:t>
            </w:r>
          </w:p>
          <w:p w14:paraId="14C00303">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7.执行阶段责任：当事人履行处罚决定的，及时结案；未履行处罚决定，依照生效的行政处罚决定，按程序下达催缴（告）通知书和申请人民法院强制执行。</w:t>
            </w:r>
          </w:p>
          <w:p w14:paraId="0BBCAA0D">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8.其他法律法规规章文件规定应履行的责任。</w:t>
            </w:r>
          </w:p>
        </w:tc>
        <w:tc>
          <w:tcPr>
            <w:tcW w:w="9515" w:type="dxa"/>
            <w:tcBorders>
              <w:top w:val="single" w:color="auto" w:sz="4" w:space="0"/>
              <w:left w:val="nil"/>
              <w:bottom w:val="single" w:color="auto" w:sz="4" w:space="0"/>
              <w:right w:val="single" w:color="auto" w:sz="4" w:space="0"/>
            </w:tcBorders>
            <w:shd w:val="clear" w:color="auto" w:fill="auto"/>
            <w:vAlign w:val="center"/>
          </w:tcPr>
          <w:p w14:paraId="50E3D1F3">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1.【部门规章】《自然资源行政处罚办法》（2014年国土资源部令第60号公布，2020年自然资源部令第6号修正）第十一条：自然资源主管部门发现自然人、法人或者其他组织行为涉嫌违法的，应当及时核查。对正在实施的违法行为，应当依法及时下达《责令停止违法行为通知书》予以制止。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D28FDA2">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2—1.【法律】《中华人民共和国行政处罚法》第三十七条：行政机关在调查或者进行检查时，执法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C090E73">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第十四条：调查人员与案件有直接利害关系的，应当回避。第二十条：当事人请求自行提供陈述材料的，应当准许。必要时，调查人员也可以要求当事人自行书写。当事人应当在其提供的陈述材料上签名、按手印或者盖章。第二十一条：询问应当个别进行，并制作询问笔录。询问笔录应当记载询问的时间、地点和询问情况等。</w:t>
            </w:r>
          </w:p>
          <w:p w14:paraId="1ADB613C">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EBC0382">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第二十八条：……当事人要求听证的，应当在收到《行政处罚听证告知书》后三个工作日内提出。</w:t>
            </w:r>
          </w:p>
          <w:p w14:paraId="02740F14">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5—1.【法律】《中华人民共和国行政处罚法》第三十八条：调查终结，行政机关负责人应当对调查结果进行审查，根据不同情况，分别作出决定。第三十九条：行政机关……应当制作《行政处罚决定书》。</w:t>
            </w:r>
          </w:p>
          <w:p w14:paraId="754E0269">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E6F3E60">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3A81AF6">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FCF8121">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7—1.【法律】《中华人民共和国行政处罚法》第四十四条：行政处罚决定依法作出后，当事人应当在行政处罚决定的期限内，予以履行。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88B8B22">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第三十六条：自然资源主管部门申请人民法院强制执行前，应当催告当事人履行义务。</w:t>
            </w:r>
          </w:p>
        </w:tc>
        <w:tc>
          <w:tcPr>
            <w:tcW w:w="330" w:type="dxa"/>
            <w:tcBorders>
              <w:top w:val="single" w:color="auto" w:sz="4" w:space="0"/>
              <w:left w:val="nil"/>
              <w:bottom w:val="single" w:color="auto" w:sz="4" w:space="0"/>
              <w:right w:val="single" w:color="auto" w:sz="4" w:space="0"/>
            </w:tcBorders>
            <w:shd w:val="clear" w:color="auto" w:fill="auto"/>
            <w:vAlign w:val="center"/>
          </w:tcPr>
          <w:p w14:paraId="42F5993F">
            <w:pPr>
              <w:snapToGrid w:val="0"/>
              <w:spacing w:line="240" w:lineRule="atLeast"/>
              <w:jc w:val="center"/>
              <w:rPr>
                <w:rFonts w:ascii="仿宋_GB2312" w:hAnsi="Calibri" w:eastAsia="仿宋_GB2312" w:cs="仿宋_GB2312"/>
                <w:sz w:val="20"/>
                <w:szCs w:val="20"/>
              </w:rPr>
            </w:pPr>
          </w:p>
        </w:tc>
      </w:tr>
    </w:tbl>
    <w:p w14:paraId="08281DC4"/>
    <w:p w14:paraId="431E5E12"/>
    <w:p w14:paraId="41601E83"/>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01A9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9582F12">
            <w:pPr>
              <w:snapToGrid w:val="0"/>
              <w:spacing w:line="240" w:lineRule="atLeast"/>
              <w:jc w:val="center"/>
              <w:rPr>
                <w:rFonts w:ascii="宋体" w:hAnsi="宋体" w:eastAsia="宋体" w:cs="宋体"/>
                <w:spacing w:val="-23"/>
                <w:sz w:val="20"/>
                <w:szCs w:val="20"/>
              </w:rPr>
            </w:pPr>
            <w:r>
              <w:rPr>
                <w:rFonts w:hint="eastAsia" w:ascii="宋体" w:hAnsi="宋体" w:eastAsia="宋体" w:cs="宋体"/>
                <w:spacing w:val="-23"/>
                <w:sz w:val="20"/>
                <w:szCs w:val="20"/>
              </w:rPr>
              <w:t>序 号</w:t>
            </w:r>
          </w:p>
        </w:tc>
        <w:tc>
          <w:tcPr>
            <w:tcW w:w="555" w:type="dxa"/>
            <w:vMerge w:val="restart"/>
            <w:tcBorders>
              <w:top w:val="single" w:color="auto" w:sz="4" w:space="0"/>
              <w:left w:val="nil"/>
              <w:bottom w:val="single" w:color="auto" w:sz="4" w:space="0"/>
              <w:right w:val="single" w:color="auto" w:sz="4" w:space="0"/>
            </w:tcBorders>
            <w:shd w:val="clear" w:color="auto" w:fill="auto"/>
            <w:vAlign w:val="center"/>
          </w:tcPr>
          <w:p w14:paraId="53B92D87">
            <w:pPr>
              <w:spacing w:line="240" w:lineRule="atLeast"/>
              <w:rPr>
                <w:rFonts w:ascii="宋体" w:hAnsi="宋体" w:eastAsia="宋体" w:cs="宋体"/>
                <w:spacing w:val="-20"/>
                <w:sz w:val="20"/>
                <w:szCs w:val="20"/>
              </w:rPr>
            </w:pPr>
          </w:p>
          <w:p w14:paraId="1F49057E">
            <w:pPr>
              <w:snapToGrid w:val="0"/>
              <w:spacing w:line="240" w:lineRule="atLeast"/>
              <w:rPr>
                <w:rFonts w:ascii="宋体" w:hAnsi="宋体" w:eastAsia="宋体" w:cs="宋体"/>
                <w:spacing w:val="-20"/>
                <w:sz w:val="20"/>
                <w:szCs w:val="20"/>
              </w:rPr>
            </w:pPr>
            <w:r>
              <w:rPr>
                <w:rFonts w:hint="eastAsia" w:ascii="宋体" w:hAnsi="宋体" w:eastAsia="宋体" w:cs="宋体"/>
                <w:spacing w:val="-20"/>
                <w:sz w:val="20"/>
                <w:szCs w:val="20"/>
              </w:rPr>
              <w:t>权力分类</w:t>
            </w:r>
          </w:p>
        </w:tc>
        <w:tc>
          <w:tcPr>
            <w:tcW w:w="7774" w:type="dxa"/>
            <w:gridSpan w:val="5"/>
            <w:tcBorders>
              <w:top w:val="single" w:color="auto" w:sz="4" w:space="0"/>
              <w:left w:val="nil"/>
              <w:bottom w:val="single" w:color="auto" w:sz="4" w:space="0"/>
              <w:right w:val="single" w:color="auto" w:sz="4" w:space="0"/>
            </w:tcBorders>
            <w:shd w:val="clear" w:color="auto" w:fill="auto"/>
            <w:vAlign w:val="center"/>
          </w:tcPr>
          <w:p w14:paraId="7000F8F8">
            <w:pPr>
              <w:spacing w:line="240" w:lineRule="atLeast"/>
              <w:jc w:val="center"/>
              <w:rPr>
                <w:rFonts w:ascii="宋体" w:hAnsi="宋体" w:eastAsia="宋体" w:cs="宋体"/>
                <w:sz w:val="20"/>
                <w:szCs w:val="20"/>
              </w:rPr>
            </w:pPr>
            <w:r>
              <w:rPr>
                <w:rFonts w:hint="eastAsia" w:ascii="宋体" w:hAnsi="宋体" w:eastAsia="宋体" w:cs="宋体"/>
                <w:sz w:val="20"/>
                <w:szCs w:val="20"/>
              </w:rPr>
              <w:t>权力清单</w:t>
            </w:r>
          </w:p>
        </w:tc>
        <w:tc>
          <w:tcPr>
            <w:tcW w:w="13100" w:type="dxa"/>
            <w:gridSpan w:val="2"/>
            <w:tcBorders>
              <w:top w:val="single" w:color="auto" w:sz="4" w:space="0"/>
              <w:left w:val="nil"/>
              <w:bottom w:val="single" w:color="auto" w:sz="4" w:space="0"/>
              <w:right w:val="single" w:color="auto" w:sz="4" w:space="0"/>
            </w:tcBorders>
            <w:shd w:val="clear" w:color="auto" w:fill="auto"/>
            <w:vAlign w:val="center"/>
          </w:tcPr>
          <w:p w14:paraId="3283D6DE">
            <w:pPr>
              <w:spacing w:line="240" w:lineRule="atLeast"/>
              <w:jc w:val="center"/>
              <w:rPr>
                <w:rFonts w:ascii="宋体" w:hAnsi="宋体" w:eastAsia="宋体" w:cs="宋体"/>
                <w:sz w:val="20"/>
                <w:szCs w:val="20"/>
              </w:rPr>
            </w:pPr>
            <w:r>
              <w:rPr>
                <w:rFonts w:hint="eastAsia" w:ascii="宋体" w:hAnsi="宋体" w:eastAsia="宋体" w:cs="宋体"/>
                <w:sz w:val="20"/>
                <w:szCs w:val="20"/>
              </w:rPr>
              <w:t>责任清单</w:t>
            </w:r>
          </w:p>
        </w:tc>
        <w:tc>
          <w:tcPr>
            <w:tcW w:w="330" w:type="dxa"/>
            <w:vMerge w:val="restart"/>
            <w:tcBorders>
              <w:top w:val="single" w:color="auto" w:sz="4" w:space="0"/>
              <w:left w:val="nil"/>
              <w:bottom w:val="single" w:color="auto" w:sz="4" w:space="0"/>
              <w:right w:val="single" w:color="auto" w:sz="4" w:space="0"/>
            </w:tcBorders>
            <w:shd w:val="clear" w:color="auto" w:fill="auto"/>
            <w:vAlign w:val="center"/>
          </w:tcPr>
          <w:p w14:paraId="28812ACD">
            <w:pPr>
              <w:snapToGrid w:val="0"/>
              <w:spacing w:line="240" w:lineRule="atLeast"/>
              <w:rPr>
                <w:rFonts w:ascii="宋体" w:hAnsi="宋体" w:eastAsia="宋体" w:cs="宋体"/>
                <w:sz w:val="28"/>
                <w:szCs w:val="28"/>
              </w:rPr>
            </w:pPr>
            <w:r>
              <w:rPr>
                <w:rFonts w:hint="eastAsia" w:ascii="宋体" w:hAnsi="宋体" w:eastAsia="宋体" w:cs="宋体"/>
                <w:sz w:val="20"/>
                <w:szCs w:val="20"/>
              </w:rPr>
              <w:t>备注</w:t>
            </w:r>
          </w:p>
        </w:tc>
      </w:tr>
      <w:tr w14:paraId="36F3D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3A368B">
            <w:pPr>
              <w:rPr>
                <w:rFonts w:ascii="Times New Roman" w:hAnsi="Times New Roman" w:cs="Times New Roman"/>
                <w:sz w:val="20"/>
                <w:szCs w:val="20"/>
              </w:rPr>
            </w:pPr>
          </w:p>
        </w:tc>
        <w:tc>
          <w:tcPr>
            <w:tcW w:w="555" w:type="dxa"/>
            <w:vMerge w:val="continue"/>
            <w:tcBorders>
              <w:top w:val="single" w:color="auto" w:sz="4" w:space="0"/>
              <w:left w:val="nil"/>
              <w:bottom w:val="single" w:color="auto" w:sz="4" w:space="0"/>
              <w:right w:val="single" w:color="auto" w:sz="4" w:space="0"/>
            </w:tcBorders>
            <w:shd w:val="clear" w:color="auto" w:fill="auto"/>
            <w:vAlign w:val="center"/>
          </w:tcPr>
          <w:p w14:paraId="3C89871D">
            <w:pPr>
              <w:rPr>
                <w:rFonts w:ascii="Times New Roman" w:hAnsi="Times New Roman" w:cs="Times New Roman"/>
                <w:sz w:val="20"/>
                <w:szCs w:val="20"/>
              </w:rPr>
            </w:pPr>
          </w:p>
        </w:tc>
        <w:tc>
          <w:tcPr>
            <w:tcW w:w="784" w:type="dxa"/>
            <w:tcBorders>
              <w:top w:val="single" w:color="auto" w:sz="4" w:space="0"/>
              <w:left w:val="nil"/>
              <w:bottom w:val="single" w:color="auto" w:sz="4" w:space="0"/>
              <w:right w:val="single" w:color="auto" w:sz="4" w:space="0"/>
            </w:tcBorders>
            <w:shd w:val="clear" w:color="auto" w:fill="auto"/>
            <w:vAlign w:val="center"/>
          </w:tcPr>
          <w:p w14:paraId="19E94DCA">
            <w:pPr>
              <w:autoSpaceDE w:val="0"/>
              <w:snapToGrid w:val="0"/>
              <w:spacing w:line="200" w:lineRule="exact"/>
              <w:jc w:val="center"/>
              <w:rPr>
                <w:rFonts w:ascii="宋体" w:hAnsi="宋体" w:eastAsia="宋体" w:cs="宋体"/>
                <w:spacing w:val="-23"/>
                <w:sz w:val="20"/>
                <w:szCs w:val="20"/>
              </w:rPr>
            </w:pPr>
            <w:r>
              <w:rPr>
                <w:rFonts w:hint="eastAsia" w:ascii="宋体" w:hAnsi="宋体" w:eastAsia="宋体" w:cs="宋体"/>
                <w:spacing w:val="-23"/>
                <w:sz w:val="20"/>
                <w:szCs w:val="20"/>
              </w:rPr>
              <w:t>项 目</w:t>
            </w:r>
          </w:p>
          <w:p w14:paraId="64C4A9B5">
            <w:pPr>
              <w:autoSpaceDE w:val="0"/>
              <w:snapToGrid w:val="0"/>
              <w:spacing w:line="200" w:lineRule="exact"/>
              <w:jc w:val="center"/>
              <w:rPr>
                <w:rFonts w:ascii="宋体" w:hAnsi="宋体" w:eastAsia="宋体" w:cs="宋体"/>
                <w:spacing w:val="-23"/>
                <w:sz w:val="20"/>
                <w:szCs w:val="20"/>
              </w:rPr>
            </w:pPr>
            <w:r>
              <w:rPr>
                <w:rFonts w:hint="eastAsia" w:ascii="宋体" w:hAnsi="宋体" w:eastAsia="宋体" w:cs="宋体"/>
                <w:spacing w:val="-23"/>
                <w:sz w:val="20"/>
                <w:szCs w:val="20"/>
              </w:rPr>
              <w:t>名 称</w:t>
            </w:r>
          </w:p>
        </w:tc>
        <w:tc>
          <w:tcPr>
            <w:tcW w:w="660" w:type="dxa"/>
            <w:tcBorders>
              <w:top w:val="single" w:color="auto" w:sz="4" w:space="0"/>
              <w:left w:val="nil"/>
              <w:bottom w:val="single" w:color="auto" w:sz="4" w:space="0"/>
              <w:right w:val="single" w:color="auto" w:sz="4" w:space="0"/>
            </w:tcBorders>
            <w:shd w:val="clear" w:color="auto" w:fill="auto"/>
            <w:vAlign w:val="center"/>
          </w:tcPr>
          <w:p w14:paraId="208E1130">
            <w:pPr>
              <w:autoSpaceDE w:val="0"/>
              <w:adjustRightInd w:val="0"/>
              <w:snapToGrid w:val="0"/>
              <w:spacing w:line="240" w:lineRule="exact"/>
              <w:jc w:val="center"/>
              <w:rPr>
                <w:rFonts w:ascii="宋体" w:hAnsi="宋体" w:eastAsia="宋体" w:cs="宋体"/>
                <w:spacing w:val="-11"/>
                <w:sz w:val="20"/>
                <w:szCs w:val="20"/>
              </w:rPr>
            </w:pPr>
            <w:r>
              <w:rPr>
                <w:rFonts w:hint="eastAsia" w:ascii="宋体" w:hAnsi="宋体" w:eastAsia="宋体" w:cs="宋体"/>
                <w:spacing w:val="-11"/>
                <w:sz w:val="18"/>
                <w:szCs w:val="18"/>
              </w:rPr>
              <w:t>子项名 称</w:t>
            </w:r>
          </w:p>
        </w:tc>
        <w:tc>
          <w:tcPr>
            <w:tcW w:w="615" w:type="dxa"/>
            <w:tcBorders>
              <w:top w:val="single" w:color="auto" w:sz="4" w:space="0"/>
              <w:left w:val="nil"/>
              <w:bottom w:val="single" w:color="auto" w:sz="4" w:space="0"/>
              <w:right w:val="single" w:color="auto" w:sz="4" w:space="0"/>
            </w:tcBorders>
            <w:shd w:val="clear" w:color="auto" w:fill="auto"/>
            <w:vAlign w:val="center"/>
          </w:tcPr>
          <w:p w14:paraId="5CA60104">
            <w:pPr>
              <w:autoSpaceDE w:val="0"/>
              <w:adjustRightInd w:val="0"/>
              <w:snapToGrid w:val="0"/>
              <w:spacing w:line="240" w:lineRule="exact"/>
              <w:jc w:val="center"/>
              <w:rPr>
                <w:rFonts w:ascii="宋体" w:hAnsi="宋体" w:eastAsia="宋体" w:cs="宋体"/>
                <w:spacing w:val="-11"/>
                <w:sz w:val="20"/>
                <w:szCs w:val="20"/>
              </w:rPr>
            </w:pPr>
            <w:r>
              <w:rPr>
                <w:rFonts w:hint="eastAsia" w:ascii="宋体" w:hAnsi="宋体" w:eastAsia="宋体" w:cs="宋体"/>
                <w:spacing w:val="-11"/>
                <w:sz w:val="20"/>
                <w:szCs w:val="20"/>
              </w:rPr>
              <w:t>实施主体</w:t>
            </w:r>
          </w:p>
        </w:tc>
        <w:tc>
          <w:tcPr>
            <w:tcW w:w="1110" w:type="dxa"/>
            <w:tcBorders>
              <w:top w:val="single" w:color="auto" w:sz="4" w:space="0"/>
              <w:left w:val="nil"/>
              <w:bottom w:val="single" w:color="auto" w:sz="4" w:space="0"/>
              <w:right w:val="single" w:color="auto" w:sz="4" w:space="0"/>
            </w:tcBorders>
            <w:shd w:val="clear" w:color="auto" w:fill="auto"/>
            <w:vAlign w:val="center"/>
          </w:tcPr>
          <w:p w14:paraId="3F01570C">
            <w:pPr>
              <w:widowControl/>
              <w:autoSpaceDE w:val="0"/>
              <w:snapToGrid w:val="0"/>
              <w:spacing w:line="240" w:lineRule="exact"/>
              <w:rPr>
                <w:rFonts w:ascii="宋体" w:hAnsi="宋体" w:eastAsia="宋体" w:cs="宋体"/>
                <w:spacing w:val="-11"/>
                <w:sz w:val="20"/>
                <w:szCs w:val="20"/>
              </w:rPr>
            </w:pPr>
            <w:r>
              <w:rPr>
                <w:rFonts w:hint="eastAsia" w:ascii="宋体" w:hAnsi="宋体" w:eastAsia="宋体" w:cs="宋体"/>
                <w:spacing w:val="-11"/>
                <w:sz w:val="20"/>
                <w:szCs w:val="20"/>
              </w:rPr>
              <w:t>承办的内设机构和单位</w:t>
            </w:r>
          </w:p>
        </w:tc>
        <w:tc>
          <w:tcPr>
            <w:tcW w:w="4605" w:type="dxa"/>
            <w:tcBorders>
              <w:top w:val="single" w:color="auto" w:sz="4" w:space="0"/>
              <w:left w:val="nil"/>
              <w:bottom w:val="single" w:color="auto" w:sz="4" w:space="0"/>
              <w:right w:val="single" w:color="auto" w:sz="4" w:space="0"/>
            </w:tcBorders>
            <w:shd w:val="clear" w:color="auto" w:fill="auto"/>
            <w:vAlign w:val="center"/>
          </w:tcPr>
          <w:p w14:paraId="326619EE">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rPr>
              <w:t>实施依据</w:t>
            </w:r>
          </w:p>
        </w:tc>
        <w:tc>
          <w:tcPr>
            <w:tcW w:w="3585" w:type="dxa"/>
            <w:tcBorders>
              <w:top w:val="single" w:color="auto" w:sz="4" w:space="0"/>
              <w:left w:val="nil"/>
              <w:bottom w:val="single" w:color="auto" w:sz="4" w:space="0"/>
              <w:right w:val="single" w:color="auto" w:sz="4" w:space="0"/>
            </w:tcBorders>
            <w:shd w:val="clear" w:color="auto" w:fill="auto"/>
            <w:vAlign w:val="center"/>
          </w:tcPr>
          <w:p w14:paraId="76EB48BF">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rPr>
              <w:t>责任事项</w:t>
            </w:r>
          </w:p>
          <w:p w14:paraId="6B404121">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rPr>
              <w:t>（明确责任主体）</w:t>
            </w:r>
          </w:p>
        </w:tc>
        <w:tc>
          <w:tcPr>
            <w:tcW w:w="9515" w:type="dxa"/>
            <w:tcBorders>
              <w:top w:val="single" w:color="auto" w:sz="4" w:space="0"/>
              <w:left w:val="nil"/>
              <w:bottom w:val="single" w:color="auto" w:sz="4" w:space="0"/>
              <w:right w:val="single" w:color="auto" w:sz="4" w:space="0"/>
            </w:tcBorders>
            <w:shd w:val="clear" w:color="auto" w:fill="auto"/>
            <w:vAlign w:val="center"/>
          </w:tcPr>
          <w:p w14:paraId="005FEAC8">
            <w:pPr>
              <w:snapToGrid w:val="0"/>
              <w:spacing w:line="240" w:lineRule="atLeast"/>
              <w:ind w:firstLine="200" w:firstLineChars="100"/>
              <w:jc w:val="center"/>
              <w:rPr>
                <w:rFonts w:ascii="宋体" w:hAnsi="宋体" w:eastAsia="宋体" w:cs="宋体"/>
                <w:sz w:val="20"/>
                <w:szCs w:val="20"/>
              </w:rPr>
            </w:pPr>
            <w:r>
              <w:rPr>
                <w:rFonts w:hint="eastAsia" w:ascii="宋体" w:hAnsi="宋体" w:eastAsia="宋体" w:cs="宋体"/>
                <w:sz w:val="20"/>
                <w:szCs w:val="20"/>
              </w:rPr>
              <w:t>责任事项依据</w:t>
            </w:r>
          </w:p>
        </w:tc>
        <w:tc>
          <w:tcPr>
            <w:tcW w:w="330" w:type="dxa"/>
            <w:vMerge w:val="continue"/>
            <w:tcBorders>
              <w:top w:val="single" w:color="auto" w:sz="4" w:space="0"/>
              <w:left w:val="nil"/>
              <w:bottom w:val="single" w:color="auto" w:sz="4" w:space="0"/>
              <w:right w:val="single" w:color="auto" w:sz="4" w:space="0"/>
            </w:tcBorders>
            <w:shd w:val="clear" w:color="auto" w:fill="auto"/>
            <w:vAlign w:val="center"/>
          </w:tcPr>
          <w:p w14:paraId="71EFFE66">
            <w:pPr>
              <w:rPr>
                <w:rFonts w:ascii="Times New Roman" w:hAnsi="Times New Roman" w:cs="Times New Roman"/>
                <w:sz w:val="20"/>
                <w:szCs w:val="20"/>
              </w:rPr>
            </w:pPr>
          </w:p>
        </w:tc>
      </w:tr>
      <w:tr w14:paraId="720F7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31C895B0">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180</w:t>
            </w:r>
          </w:p>
        </w:tc>
        <w:tc>
          <w:tcPr>
            <w:tcW w:w="555" w:type="dxa"/>
            <w:tcBorders>
              <w:top w:val="single" w:color="auto" w:sz="4" w:space="0"/>
              <w:left w:val="nil"/>
              <w:bottom w:val="single" w:color="auto" w:sz="4" w:space="0"/>
              <w:right w:val="single" w:color="auto" w:sz="4" w:space="0"/>
            </w:tcBorders>
            <w:shd w:val="clear" w:color="auto" w:fill="auto"/>
            <w:vAlign w:val="center"/>
          </w:tcPr>
          <w:p w14:paraId="5487AB83">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行</w:t>
            </w:r>
          </w:p>
          <w:p w14:paraId="3707A6D7">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政</w:t>
            </w:r>
          </w:p>
          <w:p w14:paraId="301C3166">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处罚</w:t>
            </w:r>
          </w:p>
        </w:tc>
        <w:tc>
          <w:tcPr>
            <w:tcW w:w="784" w:type="dxa"/>
            <w:tcBorders>
              <w:top w:val="single" w:color="auto" w:sz="4" w:space="0"/>
              <w:left w:val="nil"/>
              <w:bottom w:val="single" w:color="auto" w:sz="4" w:space="0"/>
              <w:right w:val="single" w:color="auto" w:sz="4" w:space="0"/>
            </w:tcBorders>
            <w:shd w:val="clear" w:color="auto" w:fill="auto"/>
            <w:vAlign w:val="center"/>
          </w:tcPr>
          <w:p w14:paraId="3AEA54FD">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对贪污、侵占、挪用、私分、截留、拖欠征地补偿安置费用和其他有关费用行为的处罚</w:t>
            </w:r>
          </w:p>
        </w:tc>
        <w:tc>
          <w:tcPr>
            <w:tcW w:w="660" w:type="dxa"/>
            <w:tcBorders>
              <w:top w:val="single" w:color="auto" w:sz="4" w:space="0"/>
              <w:left w:val="nil"/>
              <w:bottom w:val="single" w:color="auto" w:sz="4" w:space="0"/>
              <w:right w:val="single" w:color="auto" w:sz="4" w:space="0"/>
            </w:tcBorders>
            <w:shd w:val="clear" w:color="auto" w:fill="auto"/>
            <w:vAlign w:val="center"/>
          </w:tcPr>
          <w:p w14:paraId="379267D4">
            <w:pPr>
              <w:snapToGrid w:val="0"/>
              <w:spacing w:line="240" w:lineRule="atLeast"/>
              <w:jc w:val="center"/>
              <w:rPr>
                <w:rFonts w:ascii="仿宋_GB2312" w:hAnsi="Calibri" w:eastAsia="仿宋_GB2312" w:cs="仿宋_GB2312"/>
                <w:sz w:val="20"/>
                <w:szCs w:val="20"/>
              </w:rPr>
            </w:pPr>
          </w:p>
        </w:tc>
        <w:tc>
          <w:tcPr>
            <w:tcW w:w="615" w:type="dxa"/>
            <w:tcBorders>
              <w:top w:val="single" w:color="auto" w:sz="4" w:space="0"/>
              <w:left w:val="nil"/>
              <w:bottom w:val="single" w:color="auto" w:sz="4" w:space="0"/>
              <w:right w:val="single" w:color="auto" w:sz="4" w:space="0"/>
            </w:tcBorders>
            <w:shd w:val="clear" w:color="auto" w:fill="auto"/>
            <w:vAlign w:val="center"/>
          </w:tcPr>
          <w:p w14:paraId="6FA1A084">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玉林市自然资源局</w:t>
            </w:r>
          </w:p>
        </w:tc>
        <w:tc>
          <w:tcPr>
            <w:tcW w:w="1110" w:type="dxa"/>
            <w:tcBorders>
              <w:top w:val="single" w:color="auto" w:sz="4" w:space="0"/>
              <w:left w:val="nil"/>
              <w:bottom w:val="single" w:color="auto" w:sz="4" w:space="0"/>
              <w:right w:val="single" w:color="auto" w:sz="4" w:space="0"/>
            </w:tcBorders>
            <w:shd w:val="clear" w:color="auto" w:fill="auto"/>
            <w:vAlign w:val="center"/>
          </w:tcPr>
          <w:p w14:paraId="140863C5">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政策法规和执法督察科</w:t>
            </w:r>
          </w:p>
        </w:tc>
        <w:tc>
          <w:tcPr>
            <w:tcW w:w="4605" w:type="dxa"/>
            <w:tcBorders>
              <w:top w:val="single" w:color="auto" w:sz="4" w:space="0"/>
              <w:left w:val="nil"/>
              <w:bottom w:val="single" w:color="auto" w:sz="4" w:space="0"/>
              <w:right w:val="single" w:color="auto" w:sz="4" w:space="0"/>
            </w:tcBorders>
            <w:shd w:val="clear" w:color="auto" w:fill="auto"/>
            <w:vAlign w:val="center"/>
          </w:tcPr>
          <w:p w14:paraId="02ADEB7C">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行政法规】《中华人民共和国土地管理法实施条例》（1998年国务院令第256号，2021年国务院令第743号第三次修订）第六十四条：贪污、侵占、挪用、私分、截留、拖欠征地补偿安置费用和其他有关费用的，责令改正，追回有关款项，限期退还违法所得，对有关责任单位通报批评、给予警告；造成损失的，依法承担赔偿责任；对直接负责的主管人员和其他直接责任人员，依法给予处分。</w:t>
            </w:r>
          </w:p>
        </w:tc>
        <w:tc>
          <w:tcPr>
            <w:tcW w:w="3585" w:type="dxa"/>
            <w:tcBorders>
              <w:top w:val="single" w:color="auto" w:sz="4" w:space="0"/>
              <w:left w:val="nil"/>
              <w:bottom w:val="single" w:color="auto" w:sz="4" w:space="0"/>
              <w:right w:val="single" w:color="auto" w:sz="4" w:space="0"/>
            </w:tcBorders>
            <w:shd w:val="clear" w:color="auto" w:fill="auto"/>
            <w:vAlign w:val="center"/>
          </w:tcPr>
          <w:p w14:paraId="0051CA76">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1.立案阶段责任：接到举报或相关部门转送、巡查发现违法行为，及时予以审查，决定是否立案。下达《责令停止违法行为通知书》。</w:t>
            </w:r>
          </w:p>
          <w:p w14:paraId="71D0DBD1">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2EF2BC44">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EACEAE7">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4.告知阶段责任：作出行政处罚决定前，应制作《行政处罚告知书》送达当事人，告知违法事实及其享有的陈述、申辩等权利。符合听证规定的，制作并送达《行政处罚听证告知书》。</w:t>
            </w:r>
          </w:p>
          <w:p w14:paraId="6E475CAD">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5.决定阶段责任：制作行政处罚决定书，载明行政处罚告知、当事人陈述申辩或者听证情况等内容。符合刑事案件移送条件的，及时移送。</w:t>
            </w:r>
          </w:p>
          <w:p w14:paraId="18F9C19C">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6.送达阶段责任：行政处罚决定书按法律规定的方式送达当事人。</w:t>
            </w:r>
          </w:p>
          <w:p w14:paraId="72878A58">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7.执行阶段责任：当事人履行处罚决定的，及时结案；未履行处罚决定，依照生效的行政处罚决定，按程序下达催缴（告）通知书和申请人民法院强制执行。</w:t>
            </w:r>
          </w:p>
          <w:p w14:paraId="678A3E42">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8.其他法律法规规章文件规定应履行的责任。</w:t>
            </w:r>
          </w:p>
        </w:tc>
        <w:tc>
          <w:tcPr>
            <w:tcW w:w="9515" w:type="dxa"/>
            <w:tcBorders>
              <w:top w:val="single" w:color="auto" w:sz="4" w:space="0"/>
              <w:left w:val="nil"/>
              <w:bottom w:val="single" w:color="auto" w:sz="4" w:space="0"/>
              <w:right w:val="single" w:color="auto" w:sz="4" w:space="0"/>
            </w:tcBorders>
            <w:shd w:val="clear" w:color="auto" w:fill="auto"/>
            <w:vAlign w:val="center"/>
          </w:tcPr>
          <w:p w14:paraId="72AA5CC7">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1.【部门规章】《自然资源行政处罚办法》（2014年国土资源部令第60号公布，2020年自然资源部令第6号修正）第十一条：自然资源主管部门发现自然人、法人或者其他组织行为涉嫌违法的，应当及时核查。对正在实施的违法行为，应当依法及时下达《责令停止违法行为通知书》予以制止。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DB62152">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2—1.【法律】《中华人民共和国行政处罚法》第三十七条：行政机关在调查或者进行检查时，执法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193C33B">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第十四条：调查人员与案件有直接利害关系的，应当回避。第二十条：当事人请求自行提供陈述材料的，应当准许。必要时，调查人员也可以要求当事人自行书写。当事人应当在其提供的陈述材料上签名、按手印或者盖章。第二十一条：询问应当个别进行，并制作询问笔录。询问笔录应当记载询问的时间、地点和询问情况等。</w:t>
            </w:r>
          </w:p>
          <w:p w14:paraId="68397C1E">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A61E9F4">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第二十八条：……当事人要求听证的，应当在收到《行政处罚听证告知书》后三个工作日内提出。</w:t>
            </w:r>
          </w:p>
          <w:p w14:paraId="74711659">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5—1.【法律】《中华人民共和国行政处罚法》第三十八条：调查终结，行政机关负责人应当对调查结果进行审查，根据不同情况，分别作出决定。第三十九条：行政机关……应当制作《行政处罚决定书》。</w:t>
            </w:r>
          </w:p>
          <w:p w14:paraId="0DFA90B8">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A58E713">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AC29432">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0AB39EC">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7—1.【法律】《中华人民共和国行政处罚法》第四十四条：行政处罚决定依法作出后，当事人应当在行政处罚决定的期限内，予以履行。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B15E7E7">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第三十六条：自然资源主管部门申请人民法院强制执行前，应当催告当事人履行义务。</w:t>
            </w:r>
          </w:p>
        </w:tc>
        <w:tc>
          <w:tcPr>
            <w:tcW w:w="330" w:type="dxa"/>
            <w:tcBorders>
              <w:top w:val="single" w:color="auto" w:sz="4" w:space="0"/>
              <w:left w:val="nil"/>
              <w:bottom w:val="single" w:color="auto" w:sz="4" w:space="0"/>
              <w:right w:val="single" w:color="auto" w:sz="4" w:space="0"/>
            </w:tcBorders>
            <w:shd w:val="clear" w:color="auto" w:fill="auto"/>
            <w:vAlign w:val="center"/>
          </w:tcPr>
          <w:p w14:paraId="1247AA09">
            <w:pPr>
              <w:snapToGrid w:val="0"/>
              <w:spacing w:line="240" w:lineRule="atLeast"/>
              <w:jc w:val="center"/>
              <w:rPr>
                <w:rFonts w:ascii="仿宋_GB2312" w:hAnsi="Calibri" w:eastAsia="仿宋_GB2312" w:cs="仿宋_GB2312"/>
                <w:sz w:val="20"/>
                <w:szCs w:val="20"/>
              </w:rPr>
            </w:pPr>
          </w:p>
        </w:tc>
      </w:tr>
    </w:tbl>
    <w:p w14:paraId="7338C8D2"/>
    <w:p w14:paraId="7117B08C"/>
    <w:p w14:paraId="4B15CB4F"/>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F622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8FD8804">
            <w:pPr>
              <w:snapToGrid w:val="0"/>
              <w:spacing w:line="240" w:lineRule="atLeast"/>
              <w:jc w:val="center"/>
              <w:rPr>
                <w:rFonts w:ascii="宋体" w:hAnsi="宋体" w:eastAsia="宋体" w:cs="宋体"/>
                <w:spacing w:val="-23"/>
                <w:sz w:val="20"/>
                <w:szCs w:val="20"/>
              </w:rPr>
            </w:pPr>
            <w:r>
              <w:rPr>
                <w:rFonts w:hint="eastAsia" w:ascii="宋体" w:hAnsi="宋体" w:eastAsia="宋体" w:cs="宋体"/>
                <w:spacing w:val="-23"/>
                <w:sz w:val="20"/>
                <w:szCs w:val="20"/>
              </w:rPr>
              <w:t>序 号</w:t>
            </w:r>
          </w:p>
        </w:tc>
        <w:tc>
          <w:tcPr>
            <w:tcW w:w="555" w:type="dxa"/>
            <w:vMerge w:val="restart"/>
            <w:tcBorders>
              <w:top w:val="single" w:color="auto" w:sz="4" w:space="0"/>
              <w:left w:val="nil"/>
              <w:bottom w:val="single" w:color="auto" w:sz="4" w:space="0"/>
              <w:right w:val="single" w:color="auto" w:sz="4" w:space="0"/>
            </w:tcBorders>
            <w:shd w:val="clear" w:color="auto" w:fill="auto"/>
            <w:vAlign w:val="center"/>
          </w:tcPr>
          <w:p w14:paraId="15048D45">
            <w:pPr>
              <w:spacing w:line="240" w:lineRule="atLeast"/>
              <w:rPr>
                <w:rFonts w:ascii="宋体" w:hAnsi="宋体" w:eastAsia="宋体" w:cs="宋体"/>
                <w:spacing w:val="-20"/>
                <w:sz w:val="20"/>
                <w:szCs w:val="20"/>
              </w:rPr>
            </w:pPr>
          </w:p>
          <w:p w14:paraId="0D01A17E">
            <w:pPr>
              <w:snapToGrid w:val="0"/>
              <w:spacing w:line="240" w:lineRule="atLeast"/>
              <w:rPr>
                <w:rFonts w:ascii="宋体" w:hAnsi="宋体" w:eastAsia="宋体" w:cs="宋体"/>
                <w:spacing w:val="-20"/>
                <w:sz w:val="20"/>
                <w:szCs w:val="20"/>
              </w:rPr>
            </w:pPr>
            <w:r>
              <w:rPr>
                <w:rFonts w:hint="eastAsia" w:ascii="宋体" w:hAnsi="宋体" w:eastAsia="宋体" w:cs="宋体"/>
                <w:spacing w:val="-20"/>
                <w:sz w:val="20"/>
                <w:szCs w:val="20"/>
              </w:rPr>
              <w:t>权力分类</w:t>
            </w:r>
          </w:p>
        </w:tc>
        <w:tc>
          <w:tcPr>
            <w:tcW w:w="7774" w:type="dxa"/>
            <w:gridSpan w:val="5"/>
            <w:tcBorders>
              <w:top w:val="single" w:color="auto" w:sz="4" w:space="0"/>
              <w:left w:val="nil"/>
              <w:bottom w:val="single" w:color="auto" w:sz="4" w:space="0"/>
              <w:right w:val="single" w:color="auto" w:sz="4" w:space="0"/>
            </w:tcBorders>
            <w:shd w:val="clear" w:color="auto" w:fill="auto"/>
            <w:vAlign w:val="center"/>
          </w:tcPr>
          <w:p w14:paraId="7A10AB9E">
            <w:pPr>
              <w:spacing w:line="240" w:lineRule="atLeast"/>
              <w:jc w:val="center"/>
              <w:rPr>
                <w:rFonts w:ascii="宋体" w:hAnsi="宋体" w:eastAsia="宋体" w:cs="宋体"/>
                <w:sz w:val="20"/>
                <w:szCs w:val="20"/>
              </w:rPr>
            </w:pPr>
            <w:r>
              <w:rPr>
                <w:rFonts w:hint="eastAsia" w:ascii="宋体" w:hAnsi="宋体" w:eastAsia="宋体" w:cs="宋体"/>
                <w:sz w:val="20"/>
                <w:szCs w:val="20"/>
              </w:rPr>
              <w:t>权力清单</w:t>
            </w:r>
          </w:p>
        </w:tc>
        <w:tc>
          <w:tcPr>
            <w:tcW w:w="13100" w:type="dxa"/>
            <w:gridSpan w:val="2"/>
            <w:tcBorders>
              <w:top w:val="single" w:color="auto" w:sz="4" w:space="0"/>
              <w:left w:val="nil"/>
              <w:bottom w:val="single" w:color="auto" w:sz="4" w:space="0"/>
              <w:right w:val="single" w:color="auto" w:sz="4" w:space="0"/>
            </w:tcBorders>
            <w:shd w:val="clear" w:color="auto" w:fill="auto"/>
            <w:vAlign w:val="center"/>
          </w:tcPr>
          <w:p w14:paraId="31D5FAA3">
            <w:pPr>
              <w:spacing w:line="240" w:lineRule="atLeast"/>
              <w:jc w:val="center"/>
              <w:rPr>
                <w:rFonts w:ascii="宋体" w:hAnsi="宋体" w:eastAsia="宋体" w:cs="宋体"/>
                <w:sz w:val="20"/>
                <w:szCs w:val="20"/>
              </w:rPr>
            </w:pPr>
            <w:r>
              <w:rPr>
                <w:rFonts w:hint="eastAsia" w:ascii="宋体" w:hAnsi="宋体" w:eastAsia="宋体" w:cs="宋体"/>
                <w:sz w:val="20"/>
                <w:szCs w:val="20"/>
              </w:rPr>
              <w:t>责任清单</w:t>
            </w:r>
          </w:p>
        </w:tc>
        <w:tc>
          <w:tcPr>
            <w:tcW w:w="330" w:type="dxa"/>
            <w:vMerge w:val="restart"/>
            <w:tcBorders>
              <w:top w:val="single" w:color="auto" w:sz="4" w:space="0"/>
              <w:left w:val="nil"/>
              <w:bottom w:val="single" w:color="auto" w:sz="4" w:space="0"/>
              <w:right w:val="single" w:color="auto" w:sz="4" w:space="0"/>
            </w:tcBorders>
            <w:shd w:val="clear" w:color="auto" w:fill="auto"/>
            <w:vAlign w:val="center"/>
          </w:tcPr>
          <w:p w14:paraId="548C8F13">
            <w:pPr>
              <w:snapToGrid w:val="0"/>
              <w:spacing w:line="240" w:lineRule="atLeast"/>
              <w:rPr>
                <w:rFonts w:ascii="宋体" w:hAnsi="宋体" w:eastAsia="宋体" w:cs="宋体"/>
                <w:sz w:val="28"/>
                <w:szCs w:val="28"/>
              </w:rPr>
            </w:pPr>
            <w:r>
              <w:rPr>
                <w:rFonts w:hint="eastAsia" w:ascii="宋体" w:hAnsi="宋体" w:eastAsia="宋体" w:cs="宋体"/>
                <w:sz w:val="20"/>
                <w:szCs w:val="20"/>
              </w:rPr>
              <w:t>备注</w:t>
            </w:r>
          </w:p>
        </w:tc>
      </w:tr>
      <w:tr w14:paraId="0B15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A4C630">
            <w:pPr>
              <w:rPr>
                <w:rFonts w:ascii="Times New Roman" w:hAnsi="Times New Roman" w:cs="Times New Roman"/>
                <w:sz w:val="20"/>
                <w:szCs w:val="20"/>
              </w:rPr>
            </w:pPr>
          </w:p>
        </w:tc>
        <w:tc>
          <w:tcPr>
            <w:tcW w:w="555" w:type="dxa"/>
            <w:vMerge w:val="continue"/>
            <w:tcBorders>
              <w:top w:val="single" w:color="auto" w:sz="4" w:space="0"/>
              <w:left w:val="nil"/>
              <w:bottom w:val="single" w:color="auto" w:sz="4" w:space="0"/>
              <w:right w:val="single" w:color="auto" w:sz="4" w:space="0"/>
            </w:tcBorders>
            <w:shd w:val="clear" w:color="auto" w:fill="auto"/>
            <w:vAlign w:val="center"/>
          </w:tcPr>
          <w:p w14:paraId="627FCB47">
            <w:pPr>
              <w:rPr>
                <w:rFonts w:ascii="Times New Roman" w:hAnsi="Times New Roman" w:cs="Times New Roman"/>
                <w:sz w:val="20"/>
                <w:szCs w:val="20"/>
              </w:rPr>
            </w:pPr>
          </w:p>
        </w:tc>
        <w:tc>
          <w:tcPr>
            <w:tcW w:w="784" w:type="dxa"/>
            <w:tcBorders>
              <w:top w:val="single" w:color="auto" w:sz="4" w:space="0"/>
              <w:left w:val="nil"/>
              <w:bottom w:val="single" w:color="auto" w:sz="4" w:space="0"/>
              <w:right w:val="single" w:color="auto" w:sz="4" w:space="0"/>
            </w:tcBorders>
            <w:shd w:val="clear" w:color="auto" w:fill="auto"/>
            <w:vAlign w:val="center"/>
          </w:tcPr>
          <w:p w14:paraId="7FF9603B">
            <w:pPr>
              <w:autoSpaceDE w:val="0"/>
              <w:snapToGrid w:val="0"/>
              <w:spacing w:line="200" w:lineRule="exact"/>
              <w:jc w:val="center"/>
              <w:rPr>
                <w:rFonts w:ascii="宋体" w:hAnsi="宋体" w:eastAsia="宋体" w:cs="宋体"/>
                <w:spacing w:val="-23"/>
                <w:sz w:val="20"/>
                <w:szCs w:val="20"/>
              </w:rPr>
            </w:pPr>
            <w:r>
              <w:rPr>
                <w:rFonts w:hint="eastAsia" w:ascii="宋体" w:hAnsi="宋体" w:eastAsia="宋体" w:cs="宋体"/>
                <w:spacing w:val="-23"/>
                <w:sz w:val="20"/>
                <w:szCs w:val="20"/>
              </w:rPr>
              <w:t>项 目</w:t>
            </w:r>
          </w:p>
          <w:p w14:paraId="4BF92968">
            <w:pPr>
              <w:autoSpaceDE w:val="0"/>
              <w:snapToGrid w:val="0"/>
              <w:spacing w:line="200" w:lineRule="exact"/>
              <w:jc w:val="center"/>
              <w:rPr>
                <w:rFonts w:ascii="宋体" w:hAnsi="宋体" w:eastAsia="宋体" w:cs="宋体"/>
                <w:spacing w:val="-23"/>
                <w:sz w:val="20"/>
                <w:szCs w:val="20"/>
              </w:rPr>
            </w:pPr>
            <w:r>
              <w:rPr>
                <w:rFonts w:hint="eastAsia" w:ascii="宋体" w:hAnsi="宋体" w:eastAsia="宋体" w:cs="宋体"/>
                <w:spacing w:val="-23"/>
                <w:sz w:val="20"/>
                <w:szCs w:val="20"/>
              </w:rPr>
              <w:t>名 称</w:t>
            </w:r>
          </w:p>
        </w:tc>
        <w:tc>
          <w:tcPr>
            <w:tcW w:w="660" w:type="dxa"/>
            <w:tcBorders>
              <w:top w:val="single" w:color="auto" w:sz="4" w:space="0"/>
              <w:left w:val="nil"/>
              <w:bottom w:val="single" w:color="auto" w:sz="4" w:space="0"/>
              <w:right w:val="single" w:color="auto" w:sz="4" w:space="0"/>
            </w:tcBorders>
            <w:shd w:val="clear" w:color="auto" w:fill="auto"/>
            <w:vAlign w:val="center"/>
          </w:tcPr>
          <w:p w14:paraId="734BABBF">
            <w:pPr>
              <w:autoSpaceDE w:val="0"/>
              <w:adjustRightInd w:val="0"/>
              <w:snapToGrid w:val="0"/>
              <w:spacing w:line="240" w:lineRule="exact"/>
              <w:jc w:val="center"/>
              <w:rPr>
                <w:rFonts w:ascii="宋体" w:hAnsi="宋体" w:eastAsia="宋体" w:cs="宋体"/>
                <w:spacing w:val="-11"/>
                <w:sz w:val="20"/>
                <w:szCs w:val="20"/>
              </w:rPr>
            </w:pPr>
            <w:r>
              <w:rPr>
                <w:rFonts w:hint="eastAsia" w:ascii="宋体" w:hAnsi="宋体" w:eastAsia="宋体" w:cs="宋体"/>
                <w:spacing w:val="-11"/>
                <w:sz w:val="18"/>
                <w:szCs w:val="18"/>
              </w:rPr>
              <w:t>子项名 称</w:t>
            </w:r>
          </w:p>
        </w:tc>
        <w:tc>
          <w:tcPr>
            <w:tcW w:w="615" w:type="dxa"/>
            <w:tcBorders>
              <w:top w:val="single" w:color="auto" w:sz="4" w:space="0"/>
              <w:left w:val="nil"/>
              <w:bottom w:val="single" w:color="auto" w:sz="4" w:space="0"/>
              <w:right w:val="single" w:color="auto" w:sz="4" w:space="0"/>
            </w:tcBorders>
            <w:shd w:val="clear" w:color="auto" w:fill="auto"/>
            <w:vAlign w:val="center"/>
          </w:tcPr>
          <w:p w14:paraId="70E6A3CD">
            <w:pPr>
              <w:autoSpaceDE w:val="0"/>
              <w:adjustRightInd w:val="0"/>
              <w:snapToGrid w:val="0"/>
              <w:spacing w:line="240" w:lineRule="exact"/>
              <w:jc w:val="center"/>
              <w:rPr>
                <w:rFonts w:ascii="宋体" w:hAnsi="宋体" w:eastAsia="宋体" w:cs="宋体"/>
                <w:spacing w:val="-11"/>
                <w:sz w:val="20"/>
                <w:szCs w:val="20"/>
              </w:rPr>
            </w:pPr>
            <w:r>
              <w:rPr>
                <w:rFonts w:hint="eastAsia" w:ascii="宋体" w:hAnsi="宋体" w:eastAsia="宋体" w:cs="宋体"/>
                <w:spacing w:val="-11"/>
                <w:sz w:val="20"/>
                <w:szCs w:val="20"/>
              </w:rPr>
              <w:t>实施主体</w:t>
            </w:r>
          </w:p>
        </w:tc>
        <w:tc>
          <w:tcPr>
            <w:tcW w:w="1110" w:type="dxa"/>
            <w:tcBorders>
              <w:top w:val="single" w:color="auto" w:sz="4" w:space="0"/>
              <w:left w:val="nil"/>
              <w:bottom w:val="single" w:color="auto" w:sz="4" w:space="0"/>
              <w:right w:val="single" w:color="auto" w:sz="4" w:space="0"/>
            </w:tcBorders>
            <w:shd w:val="clear" w:color="auto" w:fill="auto"/>
            <w:vAlign w:val="center"/>
          </w:tcPr>
          <w:p w14:paraId="67DFD952">
            <w:pPr>
              <w:widowControl/>
              <w:autoSpaceDE w:val="0"/>
              <w:snapToGrid w:val="0"/>
              <w:spacing w:line="240" w:lineRule="exact"/>
              <w:rPr>
                <w:rFonts w:ascii="宋体" w:hAnsi="宋体" w:eastAsia="宋体" w:cs="宋体"/>
                <w:spacing w:val="-11"/>
                <w:sz w:val="20"/>
                <w:szCs w:val="20"/>
              </w:rPr>
            </w:pPr>
            <w:r>
              <w:rPr>
                <w:rFonts w:hint="eastAsia" w:ascii="宋体" w:hAnsi="宋体" w:eastAsia="宋体" w:cs="宋体"/>
                <w:spacing w:val="-11"/>
                <w:sz w:val="20"/>
                <w:szCs w:val="20"/>
              </w:rPr>
              <w:t>承办的内设机构和单位</w:t>
            </w:r>
          </w:p>
        </w:tc>
        <w:tc>
          <w:tcPr>
            <w:tcW w:w="4605" w:type="dxa"/>
            <w:tcBorders>
              <w:top w:val="single" w:color="auto" w:sz="4" w:space="0"/>
              <w:left w:val="nil"/>
              <w:bottom w:val="single" w:color="auto" w:sz="4" w:space="0"/>
              <w:right w:val="single" w:color="auto" w:sz="4" w:space="0"/>
            </w:tcBorders>
            <w:shd w:val="clear" w:color="auto" w:fill="auto"/>
            <w:vAlign w:val="center"/>
          </w:tcPr>
          <w:p w14:paraId="44746D59">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rPr>
              <w:t>实施依据</w:t>
            </w:r>
          </w:p>
        </w:tc>
        <w:tc>
          <w:tcPr>
            <w:tcW w:w="3585" w:type="dxa"/>
            <w:tcBorders>
              <w:top w:val="single" w:color="auto" w:sz="4" w:space="0"/>
              <w:left w:val="nil"/>
              <w:bottom w:val="single" w:color="auto" w:sz="4" w:space="0"/>
              <w:right w:val="single" w:color="auto" w:sz="4" w:space="0"/>
            </w:tcBorders>
            <w:shd w:val="clear" w:color="auto" w:fill="auto"/>
            <w:vAlign w:val="center"/>
          </w:tcPr>
          <w:p w14:paraId="4EE25FF9">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rPr>
              <w:t>责任事项</w:t>
            </w:r>
          </w:p>
          <w:p w14:paraId="699F8808">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rPr>
              <w:t>（明确责任主体）</w:t>
            </w:r>
          </w:p>
        </w:tc>
        <w:tc>
          <w:tcPr>
            <w:tcW w:w="9515" w:type="dxa"/>
            <w:tcBorders>
              <w:top w:val="single" w:color="auto" w:sz="4" w:space="0"/>
              <w:left w:val="nil"/>
              <w:bottom w:val="single" w:color="auto" w:sz="4" w:space="0"/>
              <w:right w:val="single" w:color="auto" w:sz="4" w:space="0"/>
            </w:tcBorders>
            <w:shd w:val="clear" w:color="auto" w:fill="auto"/>
            <w:vAlign w:val="center"/>
          </w:tcPr>
          <w:p w14:paraId="70ADE1CD">
            <w:pPr>
              <w:snapToGrid w:val="0"/>
              <w:spacing w:line="240" w:lineRule="atLeast"/>
              <w:ind w:firstLine="200" w:firstLineChars="100"/>
              <w:jc w:val="center"/>
              <w:rPr>
                <w:rFonts w:ascii="宋体" w:hAnsi="宋体" w:eastAsia="宋体" w:cs="宋体"/>
                <w:sz w:val="20"/>
                <w:szCs w:val="20"/>
              </w:rPr>
            </w:pPr>
            <w:r>
              <w:rPr>
                <w:rFonts w:hint="eastAsia" w:ascii="宋体" w:hAnsi="宋体" w:eastAsia="宋体" w:cs="宋体"/>
                <w:sz w:val="20"/>
                <w:szCs w:val="20"/>
              </w:rPr>
              <w:t>责任事项依据</w:t>
            </w:r>
          </w:p>
        </w:tc>
        <w:tc>
          <w:tcPr>
            <w:tcW w:w="330" w:type="dxa"/>
            <w:vMerge w:val="continue"/>
            <w:tcBorders>
              <w:top w:val="single" w:color="auto" w:sz="4" w:space="0"/>
              <w:left w:val="nil"/>
              <w:bottom w:val="single" w:color="auto" w:sz="4" w:space="0"/>
              <w:right w:val="single" w:color="auto" w:sz="4" w:space="0"/>
            </w:tcBorders>
            <w:shd w:val="clear" w:color="auto" w:fill="auto"/>
            <w:vAlign w:val="center"/>
          </w:tcPr>
          <w:p w14:paraId="069C3AF2">
            <w:pPr>
              <w:rPr>
                <w:rFonts w:ascii="Times New Roman" w:hAnsi="Times New Roman" w:cs="Times New Roman"/>
                <w:sz w:val="20"/>
                <w:szCs w:val="20"/>
              </w:rPr>
            </w:pPr>
          </w:p>
        </w:tc>
      </w:tr>
      <w:tr w14:paraId="5391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27B58A4D">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181</w:t>
            </w:r>
          </w:p>
        </w:tc>
        <w:tc>
          <w:tcPr>
            <w:tcW w:w="555" w:type="dxa"/>
            <w:tcBorders>
              <w:top w:val="single" w:color="auto" w:sz="4" w:space="0"/>
              <w:left w:val="nil"/>
              <w:bottom w:val="single" w:color="auto" w:sz="4" w:space="0"/>
              <w:right w:val="single" w:color="auto" w:sz="4" w:space="0"/>
            </w:tcBorders>
            <w:shd w:val="clear" w:color="auto" w:fill="auto"/>
            <w:vAlign w:val="center"/>
          </w:tcPr>
          <w:p w14:paraId="5A775EB3">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行</w:t>
            </w:r>
          </w:p>
          <w:p w14:paraId="6AD22B7A">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政</w:t>
            </w:r>
          </w:p>
          <w:p w14:paraId="586D2D86">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处罚</w:t>
            </w:r>
          </w:p>
        </w:tc>
        <w:tc>
          <w:tcPr>
            <w:tcW w:w="784" w:type="dxa"/>
            <w:tcBorders>
              <w:top w:val="single" w:color="auto" w:sz="4" w:space="0"/>
              <w:left w:val="nil"/>
              <w:bottom w:val="single" w:color="auto" w:sz="4" w:space="0"/>
              <w:right w:val="single" w:color="auto" w:sz="4" w:space="0"/>
            </w:tcBorders>
            <w:shd w:val="clear" w:color="auto" w:fill="auto"/>
            <w:vAlign w:val="center"/>
          </w:tcPr>
          <w:p w14:paraId="060D31AD">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对违反生态环境准入清单的规定进行生产建设活动中涉及自然资源主管部门职责的处罚</w:t>
            </w:r>
          </w:p>
        </w:tc>
        <w:tc>
          <w:tcPr>
            <w:tcW w:w="660" w:type="dxa"/>
            <w:tcBorders>
              <w:top w:val="single" w:color="auto" w:sz="4" w:space="0"/>
              <w:left w:val="nil"/>
              <w:bottom w:val="single" w:color="auto" w:sz="4" w:space="0"/>
              <w:right w:val="single" w:color="auto" w:sz="4" w:space="0"/>
            </w:tcBorders>
            <w:shd w:val="clear" w:color="auto" w:fill="auto"/>
            <w:vAlign w:val="center"/>
          </w:tcPr>
          <w:p w14:paraId="15D6E9B3">
            <w:pPr>
              <w:snapToGrid w:val="0"/>
              <w:spacing w:line="240" w:lineRule="atLeast"/>
              <w:jc w:val="center"/>
              <w:rPr>
                <w:rFonts w:ascii="仿宋_GB2312" w:hAnsi="Calibri" w:eastAsia="仿宋_GB2312" w:cs="仿宋_GB2312"/>
                <w:sz w:val="20"/>
                <w:szCs w:val="20"/>
              </w:rPr>
            </w:pPr>
          </w:p>
        </w:tc>
        <w:tc>
          <w:tcPr>
            <w:tcW w:w="615" w:type="dxa"/>
            <w:tcBorders>
              <w:top w:val="single" w:color="auto" w:sz="4" w:space="0"/>
              <w:left w:val="nil"/>
              <w:bottom w:val="single" w:color="auto" w:sz="4" w:space="0"/>
              <w:right w:val="single" w:color="auto" w:sz="4" w:space="0"/>
            </w:tcBorders>
            <w:shd w:val="clear" w:color="auto" w:fill="auto"/>
            <w:vAlign w:val="center"/>
          </w:tcPr>
          <w:p w14:paraId="5F5B7075">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玉林市自然资源局</w:t>
            </w:r>
          </w:p>
        </w:tc>
        <w:tc>
          <w:tcPr>
            <w:tcW w:w="1110" w:type="dxa"/>
            <w:tcBorders>
              <w:top w:val="single" w:color="auto" w:sz="4" w:space="0"/>
              <w:left w:val="nil"/>
              <w:bottom w:val="single" w:color="auto" w:sz="4" w:space="0"/>
              <w:right w:val="single" w:color="auto" w:sz="4" w:space="0"/>
            </w:tcBorders>
            <w:shd w:val="clear" w:color="auto" w:fill="auto"/>
            <w:vAlign w:val="center"/>
          </w:tcPr>
          <w:p w14:paraId="10AFF79F">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政策法规和执法督察科</w:t>
            </w:r>
          </w:p>
        </w:tc>
        <w:tc>
          <w:tcPr>
            <w:tcW w:w="4605" w:type="dxa"/>
            <w:tcBorders>
              <w:top w:val="single" w:color="auto" w:sz="4" w:space="0"/>
              <w:left w:val="nil"/>
              <w:bottom w:val="single" w:color="auto" w:sz="4" w:space="0"/>
              <w:right w:val="single" w:color="auto" w:sz="4" w:space="0"/>
            </w:tcBorders>
            <w:shd w:val="clear" w:color="auto" w:fill="auto"/>
            <w:vAlign w:val="center"/>
          </w:tcPr>
          <w:p w14:paraId="68063EF6">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法律】《中华人民共和国长江保护法》第八十八条：违反本法规定，有下列行为之一的，由县级以上人民政府生态环境、自然资源等主管部门按照职责分工，责令停止违法行为，限期拆除并恢复原状，所需费用由违法者承担，没收违法所得，并处五十万元以上五百万元以下罚款，对直接负责的主管人员和其他直接责任人员处五万元以上十万元以下罚款；情节严重的，报经有批准权的人民政府批准，责令关闭：</w:t>
            </w:r>
          </w:p>
          <w:p w14:paraId="49467F2C">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w:t>
            </w:r>
          </w:p>
          <w:p w14:paraId="62BF5C1D">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（三）违反生态环境准入清单的规定进行生产建设活动的。</w:t>
            </w:r>
          </w:p>
        </w:tc>
        <w:tc>
          <w:tcPr>
            <w:tcW w:w="3585" w:type="dxa"/>
            <w:tcBorders>
              <w:top w:val="single" w:color="auto" w:sz="4" w:space="0"/>
              <w:left w:val="nil"/>
              <w:bottom w:val="single" w:color="auto" w:sz="4" w:space="0"/>
              <w:right w:val="single" w:color="auto" w:sz="4" w:space="0"/>
            </w:tcBorders>
            <w:shd w:val="clear" w:color="auto" w:fill="auto"/>
            <w:vAlign w:val="center"/>
          </w:tcPr>
          <w:p w14:paraId="68E01C5D">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1.立案阶段责任：接到举报或相关部门转送、巡查发现违法行为，及时予以审查，决定是否立案。下达《责令停止违法行为通知书》。</w:t>
            </w:r>
          </w:p>
          <w:p w14:paraId="4B60E9C6">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72EFB5C">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C97BEC2">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4.告知阶段责任：作出行政处罚决定前，应制作《行政处罚告知书》送达当事人，告知违法事实及其享有的陈述、申辩等权利。符合听证规定的，制作并送达《行政处罚听证告知书》。</w:t>
            </w:r>
          </w:p>
          <w:p w14:paraId="2081BBAD">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5.决定阶段责任：制作行政处罚决定书，载明行政处罚告知、当事人陈述申辩或者听证情况等内容。符合刑事案件移送条件的，及时移送。</w:t>
            </w:r>
          </w:p>
          <w:p w14:paraId="7AF9A9C3">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6.送达阶段责任：行政处罚决定书按法律规定的方式送达当事人。</w:t>
            </w:r>
          </w:p>
          <w:p w14:paraId="191B56D4">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7.执行阶段责任：当事人履行处罚决定的，及时结案；未履行处罚决定，依照生效的行政处罚决定，按程序下达催缴（告）通知书和申请人民法院强制执行。</w:t>
            </w:r>
          </w:p>
          <w:p w14:paraId="61E01230">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8.其他法律法规规章文件规定应履行的责任。</w:t>
            </w:r>
          </w:p>
        </w:tc>
        <w:tc>
          <w:tcPr>
            <w:tcW w:w="9515" w:type="dxa"/>
            <w:tcBorders>
              <w:top w:val="single" w:color="auto" w:sz="4" w:space="0"/>
              <w:left w:val="nil"/>
              <w:bottom w:val="single" w:color="auto" w:sz="4" w:space="0"/>
              <w:right w:val="single" w:color="auto" w:sz="4" w:space="0"/>
            </w:tcBorders>
            <w:shd w:val="clear" w:color="auto" w:fill="auto"/>
            <w:vAlign w:val="center"/>
          </w:tcPr>
          <w:p w14:paraId="31ACF0F0">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1.【部门规章】《自然资源行政处罚办法》（2014年国土资源部令第60号公布，2020年自然资源部令第6号修正）第十一条：自然资源主管部门发现自然人、法人或者其他组织行为涉嫌违法的，应当及时核查。对正在实施的违法行为，应当依法及时下达《责令停止违法行为通知书》予以制止。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EA2B0D1">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2—1.【法律】《中华人民共和国行政处罚法》第三十七条：行政机关在调查或者进行检查时，执法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5F5AF2D">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第十四条：调查人员与案件有直接利害关系的，应当回避。第二十条：当事人请求自行提供陈述材料的，应当准许。必要时，调查人员也可以要求当事人自行书写。当事人应当在其提供的陈述材料上签名、按手印或者盖章。第二十一条：询问应当个别进行，并制作询问笔录。询问笔录应当记载询问的时间、地点和询问情况等。</w:t>
            </w:r>
          </w:p>
          <w:p w14:paraId="3BEED5E2">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136DEFD">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第二十八条：……当事人要求听证的，应当在收到《行政处罚听证告知书》后三个工作日内提出。</w:t>
            </w:r>
          </w:p>
          <w:p w14:paraId="41BD25F3">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5—1.【法律】《中华人民共和国行政处罚法》第三十八条：调查终结，行政机关负责人应当对调查结果进行审查，根据不同情况，分别作出决定。第三十九条：行政机关……应当制作《行政处罚决定书》。</w:t>
            </w:r>
          </w:p>
          <w:p w14:paraId="4CEA12BF">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E00865A">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ECF5B0F">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24341BE">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7—1.【法律】《中华人民共和国行政处罚法》第四十四条：行政处罚决定依法作出后，当事人应当在行政处罚决定的期限内，予以履行。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AE341BF">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第三十六条：自然资源主管部门申请人民法院强制执行前，应当催告当事人履行义务。</w:t>
            </w:r>
          </w:p>
        </w:tc>
        <w:tc>
          <w:tcPr>
            <w:tcW w:w="330" w:type="dxa"/>
            <w:tcBorders>
              <w:top w:val="single" w:color="auto" w:sz="4" w:space="0"/>
              <w:left w:val="nil"/>
              <w:bottom w:val="single" w:color="auto" w:sz="4" w:space="0"/>
              <w:right w:val="single" w:color="auto" w:sz="4" w:space="0"/>
            </w:tcBorders>
            <w:shd w:val="clear" w:color="auto" w:fill="auto"/>
            <w:vAlign w:val="center"/>
          </w:tcPr>
          <w:p w14:paraId="24278374">
            <w:pPr>
              <w:snapToGrid w:val="0"/>
              <w:spacing w:line="240" w:lineRule="atLeast"/>
              <w:jc w:val="center"/>
              <w:rPr>
                <w:rFonts w:ascii="仿宋_GB2312" w:hAnsi="Calibri" w:eastAsia="仿宋_GB2312" w:cs="仿宋_GB2312"/>
                <w:sz w:val="20"/>
                <w:szCs w:val="20"/>
              </w:rPr>
            </w:pPr>
          </w:p>
        </w:tc>
      </w:tr>
    </w:tbl>
    <w:p w14:paraId="48BC7265"/>
    <w:p w14:paraId="66A490F3"/>
    <w:p w14:paraId="313E8783"/>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F272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C6819DD">
            <w:pPr>
              <w:snapToGrid w:val="0"/>
              <w:spacing w:line="240" w:lineRule="atLeast"/>
              <w:jc w:val="center"/>
              <w:rPr>
                <w:rFonts w:ascii="宋体" w:hAnsi="宋体" w:eastAsia="宋体" w:cs="宋体"/>
                <w:spacing w:val="-23"/>
                <w:sz w:val="20"/>
                <w:szCs w:val="20"/>
              </w:rPr>
            </w:pPr>
            <w:r>
              <w:rPr>
                <w:rFonts w:hint="eastAsia" w:ascii="宋体" w:hAnsi="宋体" w:eastAsia="宋体" w:cs="宋体"/>
                <w:spacing w:val="-23"/>
                <w:sz w:val="20"/>
                <w:szCs w:val="20"/>
              </w:rPr>
              <w:t>序 号</w:t>
            </w:r>
          </w:p>
        </w:tc>
        <w:tc>
          <w:tcPr>
            <w:tcW w:w="555" w:type="dxa"/>
            <w:vMerge w:val="restart"/>
            <w:tcBorders>
              <w:top w:val="single" w:color="auto" w:sz="4" w:space="0"/>
              <w:left w:val="nil"/>
              <w:bottom w:val="single" w:color="auto" w:sz="4" w:space="0"/>
              <w:right w:val="single" w:color="auto" w:sz="4" w:space="0"/>
            </w:tcBorders>
            <w:shd w:val="clear" w:color="auto" w:fill="auto"/>
            <w:vAlign w:val="center"/>
          </w:tcPr>
          <w:p w14:paraId="6D7B87F4">
            <w:pPr>
              <w:spacing w:line="240" w:lineRule="atLeast"/>
              <w:rPr>
                <w:rFonts w:ascii="宋体" w:hAnsi="宋体" w:eastAsia="宋体" w:cs="宋体"/>
                <w:spacing w:val="-20"/>
                <w:sz w:val="20"/>
                <w:szCs w:val="20"/>
              </w:rPr>
            </w:pPr>
          </w:p>
          <w:p w14:paraId="5A631711">
            <w:pPr>
              <w:snapToGrid w:val="0"/>
              <w:spacing w:line="240" w:lineRule="atLeast"/>
              <w:rPr>
                <w:rFonts w:ascii="宋体" w:hAnsi="宋体" w:eastAsia="宋体" w:cs="宋体"/>
                <w:spacing w:val="-20"/>
                <w:sz w:val="20"/>
                <w:szCs w:val="20"/>
              </w:rPr>
            </w:pPr>
            <w:r>
              <w:rPr>
                <w:rFonts w:hint="eastAsia" w:ascii="宋体" w:hAnsi="宋体" w:eastAsia="宋体" w:cs="宋体"/>
                <w:spacing w:val="-20"/>
                <w:sz w:val="20"/>
                <w:szCs w:val="20"/>
              </w:rPr>
              <w:t>权力分类</w:t>
            </w:r>
          </w:p>
        </w:tc>
        <w:tc>
          <w:tcPr>
            <w:tcW w:w="7774" w:type="dxa"/>
            <w:gridSpan w:val="5"/>
            <w:tcBorders>
              <w:top w:val="single" w:color="auto" w:sz="4" w:space="0"/>
              <w:left w:val="nil"/>
              <w:bottom w:val="single" w:color="auto" w:sz="4" w:space="0"/>
              <w:right w:val="single" w:color="auto" w:sz="4" w:space="0"/>
            </w:tcBorders>
            <w:shd w:val="clear" w:color="auto" w:fill="auto"/>
            <w:vAlign w:val="center"/>
          </w:tcPr>
          <w:p w14:paraId="02038F4C">
            <w:pPr>
              <w:spacing w:line="240" w:lineRule="atLeast"/>
              <w:jc w:val="center"/>
              <w:rPr>
                <w:rFonts w:ascii="宋体" w:hAnsi="宋体" w:eastAsia="宋体" w:cs="宋体"/>
                <w:sz w:val="20"/>
                <w:szCs w:val="20"/>
              </w:rPr>
            </w:pPr>
            <w:r>
              <w:rPr>
                <w:rFonts w:hint="eastAsia" w:ascii="宋体" w:hAnsi="宋体" w:eastAsia="宋体" w:cs="宋体"/>
                <w:sz w:val="20"/>
                <w:szCs w:val="20"/>
              </w:rPr>
              <w:t>权力清单</w:t>
            </w:r>
          </w:p>
        </w:tc>
        <w:tc>
          <w:tcPr>
            <w:tcW w:w="13100" w:type="dxa"/>
            <w:gridSpan w:val="2"/>
            <w:tcBorders>
              <w:top w:val="single" w:color="auto" w:sz="4" w:space="0"/>
              <w:left w:val="nil"/>
              <w:bottom w:val="single" w:color="auto" w:sz="4" w:space="0"/>
              <w:right w:val="single" w:color="auto" w:sz="4" w:space="0"/>
            </w:tcBorders>
            <w:shd w:val="clear" w:color="auto" w:fill="auto"/>
            <w:vAlign w:val="center"/>
          </w:tcPr>
          <w:p w14:paraId="29CC9E33">
            <w:pPr>
              <w:spacing w:line="240" w:lineRule="atLeast"/>
              <w:jc w:val="center"/>
              <w:rPr>
                <w:rFonts w:ascii="宋体" w:hAnsi="宋体" w:eastAsia="宋体" w:cs="宋体"/>
                <w:sz w:val="20"/>
                <w:szCs w:val="20"/>
              </w:rPr>
            </w:pPr>
            <w:r>
              <w:rPr>
                <w:rFonts w:hint="eastAsia" w:ascii="宋体" w:hAnsi="宋体" w:eastAsia="宋体" w:cs="宋体"/>
                <w:sz w:val="20"/>
                <w:szCs w:val="20"/>
              </w:rPr>
              <w:t>责任清单</w:t>
            </w:r>
          </w:p>
        </w:tc>
        <w:tc>
          <w:tcPr>
            <w:tcW w:w="330" w:type="dxa"/>
            <w:vMerge w:val="restart"/>
            <w:tcBorders>
              <w:top w:val="single" w:color="auto" w:sz="4" w:space="0"/>
              <w:left w:val="nil"/>
              <w:bottom w:val="single" w:color="auto" w:sz="4" w:space="0"/>
              <w:right w:val="single" w:color="auto" w:sz="4" w:space="0"/>
            </w:tcBorders>
            <w:shd w:val="clear" w:color="auto" w:fill="auto"/>
            <w:vAlign w:val="center"/>
          </w:tcPr>
          <w:p w14:paraId="6A50E034">
            <w:pPr>
              <w:snapToGrid w:val="0"/>
              <w:spacing w:line="240" w:lineRule="atLeast"/>
              <w:rPr>
                <w:rFonts w:ascii="宋体" w:hAnsi="宋体" w:eastAsia="宋体" w:cs="宋体"/>
                <w:sz w:val="28"/>
                <w:szCs w:val="28"/>
              </w:rPr>
            </w:pPr>
            <w:r>
              <w:rPr>
                <w:rFonts w:hint="eastAsia" w:ascii="宋体" w:hAnsi="宋体" w:eastAsia="宋体" w:cs="宋体"/>
                <w:sz w:val="20"/>
                <w:szCs w:val="20"/>
              </w:rPr>
              <w:t>备注</w:t>
            </w:r>
          </w:p>
        </w:tc>
      </w:tr>
      <w:tr w14:paraId="3876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AC67AC">
            <w:pPr>
              <w:rPr>
                <w:rFonts w:ascii="Times New Roman" w:hAnsi="Times New Roman" w:cs="Times New Roman"/>
                <w:sz w:val="20"/>
                <w:szCs w:val="20"/>
              </w:rPr>
            </w:pPr>
          </w:p>
        </w:tc>
        <w:tc>
          <w:tcPr>
            <w:tcW w:w="555" w:type="dxa"/>
            <w:vMerge w:val="continue"/>
            <w:tcBorders>
              <w:top w:val="single" w:color="auto" w:sz="4" w:space="0"/>
              <w:left w:val="nil"/>
              <w:bottom w:val="single" w:color="auto" w:sz="4" w:space="0"/>
              <w:right w:val="single" w:color="auto" w:sz="4" w:space="0"/>
            </w:tcBorders>
            <w:shd w:val="clear" w:color="auto" w:fill="auto"/>
            <w:vAlign w:val="center"/>
          </w:tcPr>
          <w:p w14:paraId="1EBA0453">
            <w:pPr>
              <w:rPr>
                <w:rFonts w:ascii="Times New Roman" w:hAnsi="Times New Roman" w:cs="Times New Roman"/>
                <w:sz w:val="20"/>
                <w:szCs w:val="20"/>
              </w:rPr>
            </w:pPr>
          </w:p>
        </w:tc>
        <w:tc>
          <w:tcPr>
            <w:tcW w:w="784" w:type="dxa"/>
            <w:tcBorders>
              <w:top w:val="single" w:color="auto" w:sz="4" w:space="0"/>
              <w:left w:val="nil"/>
              <w:bottom w:val="single" w:color="auto" w:sz="4" w:space="0"/>
              <w:right w:val="single" w:color="auto" w:sz="4" w:space="0"/>
            </w:tcBorders>
            <w:shd w:val="clear" w:color="auto" w:fill="auto"/>
            <w:vAlign w:val="center"/>
          </w:tcPr>
          <w:p w14:paraId="34C5C0EE">
            <w:pPr>
              <w:autoSpaceDE w:val="0"/>
              <w:snapToGrid w:val="0"/>
              <w:spacing w:line="200" w:lineRule="exact"/>
              <w:jc w:val="center"/>
              <w:rPr>
                <w:rFonts w:ascii="宋体" w:hAnsi="宋体" w:eastAsia="宋体" w:cs="宋体"/>
                <w:spacing w:val="-23"/>
                <w:sz w:val="20"/>
                <w:szCs w:val="20"/>
              </w:rPr>
            </w:pPr>
            <w:r>
              <w:rPr>
                <w:rFonts w:hint="eastAsia" w:ascii="宋体" w:hAnsi="宋体" w:eastAsia="宋体" w:cs="宋体"/>
                <w:spacing w:val="-23"/>
                <w:sz w:val="20"/>
                <w:szCs w:val="20"/>
              </w:rPr>
              <w:t>项 目</w:t>
            </w:r>
          </w:p>
          <w:p w14:paraId="1139B6E5">
            <w:pPr>
              <w:autoSpaceDE w:val="0"/>
              <w:snapToGrid w:val="0"/>
              <w:spacing w:line="200" w:lineRule="exact"/>
              <w:jc w:val="center"/>
              <w:rPr>
                <w:rFonts w:ascii="宋体" w:hAnsi="宋体" w:eastAsia="宋体" w:cs="宋体"/>
                <w:spacing w:val="-23"/>
                <w:sz w:val="20"/>
                <w:szCs w:val="20"/>
              </w:rPr>
            </w:pPr>
            <w:r>
              <w:rPr>
                <w:rFonts w:hint="eastAsia" w:ascii="宋体" w:hAnsi="宋体" w:eastAsia="宋体" w:cs="宋体"/>
                <w:spacing w:val="-23"/>
                <w:sz w:val="20"/>
                <w:szCs w:val="20"/>
              </w:rPr>
              <w:t>名 称</w:t>
            </w:r>
          </w:p>
        </w:tc>
        <w:tc>
          <w:tcPr>
            <w:tcW w:w="660" w:type="dxa"/>
            <w:tcBorders>
              <w:top w:val="single" w:color="auto" w:sz="4" w:space="0"/>
              <w:left w:val="nil"/>
              <w:bottom w:val="single" w:color="auto" w:sz="4" w:space="0"/>
              <w:right w:val="single" w:color="auto" w:sz="4" w:space="0"/>
            </w:tcBorders>
            <w:shd w:val="clear" w:color="auto" w:fill="auto"/>
            <w:vAlign w:val="center"/>
          </w:tcPr>
          <w:p w14:paraId="1208831A">
            <w:pPr>
              <w:autoSpaceDE w:val="0"/>
              <w:adjustRightInd w:val="0"/>
              <w:snapToGrid w:val="0"/>
              <w:spacing w:line="240" w:lineRule="exact"/>
              <w:jc w:val="center"/>
              <w:rPr>
                <w:rFonts w:ascii="宋体" w:hAnsi="宋体" w:eastAsia="宋体" w:cs="宋体"/>
                <w:spacing w:val="-11"/>
                <w:sz w:val="20"/>
                <w:szCs w:val="20"/>
              </w:rPr>
            </w:pPr>
            <w:r>
              <w:rPr>
                <w:rFonts w:hint="eastAsia" w:ascii="宋体" w:hAnsi="宋体" w:eastAsia="宋体" w:cs="宋体"/>
                <w:spacing w:val="-11"/>
                <w:sz w:val="18"/>
                <w:szCs w:val="18"/>
              </w:rPr>
              <w:t>子项名 称</w:t>
            </w:r>
          </w:p>
        </w:tc>
        <w:tc>
          <w:tcPr>
            <w:tcW w:w="615" w:type="dxa"/>
            <w:tcBorders>
              <w:top w:val="single" w:color="auto" w:sz="4" w:space="0"/>
              <w:left w:val="nil"/>
              <w:bottom w:val="single" w:color="auto" w:sz="4" w:space="0"/>
              <w:right w:val="single" w:color="auto" w:sz="4" w:space="0"/>
            </w:tcBorders>
            <w:shd w:val="clear" w:color="auto" w:fill="auto"/>
            <w:vAlign w:val="center"/>
          </w:tcPr>
          <w:p w14:paraId="0EBB2FC2">
            <w:pPr>
              <w:autoSpaceDE w:val="0"/>
              <w:adjustRightInd w:val="0"/>
              <w:snapToGrid w:val="0"/>
              <w:spacing w:line="240" w:lineRule="exact"/>
              <w:jc w:val="center"/>
              <w:rPr>
                <w:rFonts w:ascii="宋体" w:hAnsi="宋体" w:eastAsia="宋体" w:cs="宋体"/>
                <w:spacing w:val="-11"/>
                <w:sz w:val="20"/>
                <w:szCs w:val="20"/>
              </w:rPr>
            </w:pPr>
            <w:r>
              <w:rPr>
                <w:rFonts w:hint="eastAsia" w:ascii="宋体" w:hAnsi="宋体" w:eastAsia="宋体" w:cs="宋体"/>
                <w:spacing w:val="-11"/>
                <w:sz w:val="20"/>
                <w:szCs w:val="20"/>
              </w:rPr>
              <w:t>实施主体</w:t>
            </w:r>
          </w:p>
        </w:tc>
        <w:tc>
          <w:tcPr>
            <w:tcW w:w="1110" w:type="dxa"/>
            <w:tcBorders>
              <w:top w:val="single" w:color="auto" w:sz="4" w:space="0"/>
              <w:left w:val="nil"/>
              <w:bottom w:val="single" w:color="auto" w:sz="4" w:space="0"/>
              <w:right w:val="single" w:color="auto" w:sz="4" w:space="0"/>
            </w:tcBorders>
            <w:shd w:val="clear" w:color="auto" w:fill="auto"/>
            <w:vAlign w:val="center"/>
          </w:tcPr>
          <w:p w14:paraId="1AD72247">
            <w:pPr>
              <w:widowControl/>
              <w:autoSpaceDE w:val="0"/>
              <w:snapToGrid w:val="0"/>
              <w:spacing w:line="240" w:lineRule="exact"/>
              <w:rPr>
                <w:rFonts w:ascii="宋体" w:hAnsi="宋体" w:eastAsia="宋体" w:cs="宋体"/>
                <w:spacing w:val="-11"/>
                <w:sz w:val="20"/>
                <w:szCs w:val="20"/>
              </w:rPr>
            </w:pPr>
            <w:r>
              <w:rPr>
                <w:rFonts w:hint="eastAsia" w:ascii="宋体" w:hAnsi="宋体" w:eastAsia="宋体" w:cs="宋体"/>
                <w:spacing w:val="-11"/>
                <w:sz w:val="20"/>
                <w:szCs w:val="20"/>
              </w:rPr>
              <w:t>承办的内设机构和单位</w:t>
            </w:r>
          </w:p>
        </w:tc>
        <w:tc>
          <w:tcPr>
            <w:tcW w:w="4605" w:type="dxa"/>
            <w:tcBorders>
              <w:top w:val="single" w:color="auto" w:sz="4" w:space="0"/>
              <w:left w:val="nil"/>
              <w:bottom w:val="single" w:color="auto" w:sz="4" w:space="0"/>
              <w:right w:val="single" w:color="auto" w:sz="4" w:space="0"/>
            </w:tcBorders>
            <w:shd w:val="clear" w:color="auto" w:fill="auto"/>
            <w:vAlign w:val="center"/>
          </w:tcPr>
          <w:p w14:paraId="36B1E63C">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rPr>
              <w:t>实施依据</w:t>
            </w:r>
          </w:p>
        </w:tc>
        <w:tc>
          <w:tcPr>
            <w:tcW w:w="3585" w:type="dxa"/>
            <w:tcBorders>
              <w:top w:val="single" w:color="auto" w:sz="4" w:space="0"/>
              <w:left w:val="nil"/>
              <w:bottom w:val="single" w:color="auto" w:sz="4" w:space="0"/>
              <w:right w:val="single" w:color="auto" w:sz="4" w:space="0"/>
            </w:tcBorders>
            <w:shd w:val="clear" w:color="auto" w:fill="auto"/>
            <w:vAlign w:val="center"/>
          </w:tcPr>
          <w:p w14:paraId="05A1F972">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rPr>
              <w:t>责任事项</w:t>
            </w:r>
          </w:p>
          <w:p w14:paraId="69AA0FD0">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rPr>
              <w:t>（明确责任主体）</w:t>
            </w:r>
          </w:p>
        </w:tc>
        <w:tc>
          <w:tcPr>
            <w:tcW w:w="9515" w:type="dxa"/>
            <w:tcBorders>
              <w:top w:val="single" w:color="auto" w:sz="4" w:space="0"/>
              <w:left w:val="nil"/>
              <w:bottom w:val="single" w:color="auto" w:sz="4" w:space="0"/>
              <w:right w:val="single" w:color="auto" w:sz="4" w:space="0"/>
            </w:tcBorders>
            <w:shd w:val="clear" w:color="auto" w:fill="auto"/>
            <w:vAlign w:val="center"/>
          </w:tcPr>
          <w:p w14:paraId="75CEA94B">
            <w:pPr>
              <w:snapToGrid w:val="0"/>
              <w:spacing w:line="240" w:lineRule="atLeast"/>
              <w:ind w:firstLine="200" w:firstLineChars="100"/>
              <w:jc w:val="center"/>
              <w:rPr>
                <w:rFonts w:ascii="宋体" w:hAnsi="宋体" w:eastAsia="宋体" w:cs="宋体"/>
                <w:sz w:val="20"/>
                <w:szCs w:val="20"/>
              </w:rPr>
            </w:pPr>
            <w:r>
              <w:rPr>
                <w:rFonts w:hint="eastAsia" w:ascii="宋体" w:hAnsi="宋体" w:eastAsia="宋体" w:cs="宋体"/>
                <w:sz w:val="20"/>
                <w:szCs w:val="20"/>
              </w:rPr>
              <w:t>责任事项依据</w:t>
            </w:r>
          </w:p>
        </w:tc>
        <w:tc>
          <w:tcPr>
            <w:tcW w:w="330" w:type="dxa"/>
            <w:vMerge w:val="continue"/>
            <w:tcBorders>
              <w:top w:val="single" w:color="auto" w:sz="4" w:space="0"/>
              <w:left w:val="nil"/>
              <w:bottom w:val="single" w:color="auto" w:sz="4" w:space="0"/>
              <w:right w:val="single" w:color="auto" w:sz="4" w:space="0"/>
            </w:tcBorders>
            <w:shd w:val="clear" w:color="auto" w:fill="auto"/>
            <w:vAlign w:val="center"/>
          </w:tcPr>
          <w:p w14:paraId="63F774DF">
            <w:pPr>
              <w:rPr>
                <w:rFonts w:ascii="Times New Roman" w:hAnsi="Times New Roman" w:cs="Times New Roman"/>
                <w:sz w:val="20"/>
                <w:szCs w:val="20"/>
              </w:rPr>
            </w:pPr>
          </w:p>
        </w:tc>
      </w:tr>
      <w:tr w14:paraId="5AF07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49547F44">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182</w:t>
            </w:r>
          </w:p>
        </w:tc>
        <w:tc>
          <w:tcPr>
            <w:tcW w:w="555" w:type="dxa"/>
            <w:tcBorders>
              <w:top w:val="single" w:color="auto" w:sz="4" w:space="0"/>
              <w:left w:val="nil"/>
              <w:bottom w:val="single" w:color="auto" w:sz="4" w:space="0"/>
              <w:right w:val="single" w:color="auto" w:sz="4" w:space="0"/>
            </w:tcBorders>
            <w:shd w:val="clear" w:color="auto" w:fill="auto"/>
            <w:vAlign w:val="center"/>
          </w:tcPr>
          <w:p w14:paraId="733EF6E1">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行</w:t>
            </w:r>
          </w:p>
          <w:p w14:paraId="5B6A1B1E">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政</w:t>
            </w:r>
          </w:p>
          <w:p w14:paraId="79D08825">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处罚</w:t>
            </w:r>
          </w:p>
        </w:tc>
        <w:tc>
          <w:tcPr>
            <w:tcW w:w="784" w:type="dxa"/>
            <w:tcBorders>
              <w:top w:val="single" w:color="auto" w:sz="4" w:space="0"/>
              <w:left w:val="nil"/>
              <w:bottom w:val="single" w:color="auto" w:sz="4" w:space="0"/>
              <w:right w:val="single" w:color="auto" w:sz="4" w:space="0"/>
            </w:tcBorders>
            <w:shd w:val="clear" w:color="auto" w:fill="auto"/>
            <w:vAlign w:val="center"/>
          </w:tcPr>
          <w:p w14:paraId="2EDE3F2E">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对因工程建设活动对地质环境造成影响的，相关责任单位未依照本办法的规定履行地质环境监测义务的处罚</w:t>
            </w:r>
          </w:p>
        </w:tc>
        <w:tc>
          <w:tcPr>
            <w:tcW w:w="660" w:type="dxa"/>
            <w:tcBorders>
              <w:top w:val="single" w:color="auto" w:sz="4" w:space="0"/>
              <w:left w:val="nil"/>
              <w:bottom w:val="single" w:color="auto" w:sz="4" w:space="0"/>
              <w:right w:val="single" w:color="auto" w:sz="4" w:space="0"/>
            </w:tcBorders>
            <w:shd w:val="clear" w:color="auto" w:fill="auto"/>
            <w:vAlign w:val="center"/>
          </w:tcPr>
          <w:p w14:paraId="527D7DD6">
            <w:pPr>
              <w:snapToGrid w:val="0"/>
              <w:spacing w:line="240" w:lineRule="atLeast"/>
              <w:jc w:val="center"/>
              <w:rPr>
                <w:rFonts w:ascii="仿宋_GB2312" w:hAnsi="Calibri" w:eastAsia="仿宋_GB2312" w:cs="仿宋_GB2312"/>
                <w:sz w:val="20"/>
                <w:szCs w:val="20"/>
              </w:rPr>
            </w:pPr>
          </w:p>
        </w:tc>
        <w:tc>
          <w:tcPr>
            <w:tcW w:w="615" w:type="dxa"/>
            <w:tcBorders>
              <w:top w:val="single" w:color="auto" w:sz="4" w:space="0"/>
              <w:left w:val="nil"/>
              <w:bottom w:val="single" w:color="auto" w:sz="4" w:space="0"/>
              <w:right w:val="single" w:color="auto" w:sz="4" w:space="0"/>
            </w:tcBorders>
            <w:shd w:val="clear" w:color="auto" w:fill="auto"/>
            <w:vAlign w:val="center"/>
          </w:tcPr>
          <w:p w14:paraId="7D0D7219">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玉林市自然资源局</w:t>
            </w:r>
          </w:p>
        </w:tc>
        <w:tc>
          <w:tcPr>
            <w:tcW w:w="1110" w:type="dxa"/>
            <w:tcBorders>
              <w:top w:val="single" w:color="auto" w:sz="4" w:space="0"/>
              <w:left w:val="nil"/>
              <w:bottom w:val="single" w:color="auto" w:sz="4" w:space="0"/>
              <w:right w:val="single" w:color="auto" w:sz="4" w:space="0"/>
            </w:tcBorders>
            <w:shd w:val="clear" w:color="auto" w:fill="auto"/>
            <w:vAlign w:val="center"/>
          </w:tcPr>
          <w:p w14:paraId="7879C138">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政策法规和执法督察科</w:t>
            </w:r>
          </w:p>
        </w:tc>
        <w:tc>
          <w:tcPr>
            <w:tcW w:w="4605" w:type="dxa"/>
            <w:tcBorders>
              <w:top w:val="single" w:color="auto" w:sz="4" w:space="0"/>
              <w:left w:val="nil"/>
              <w:bottom w:val="single" w:color="auto" w:sz="4" w:space="0"/>
              <w:right w:val="single" w:color="auto" w:sz="4" w:space="0"/>
            </w:tcBorders>
            <w:shd w:val="clear" w:color="auto" w:fill="auto"/>
            <w:vAlign w:val="center"/>
          </w:tcPr>
          <w:p w14:paraId="00B90AE3">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部门规章】《地质环境监测管理办法》（2014国土资源部第59号令公布，2019年自然资源部令第5号修正）第三十条：因工程建设活动对地质环境造成影响的，相关责任单位未依照本办法的规定履行地质环境监测义务的，由县级以上人民政府国土资源主管部门责令限期改正，并依法处以罚款。</w:t>
            </w:r>
          </w:p>
        </w:tc>
        <w:tc>
          <w:tcPr>
            <w:tcW w:w="3585" w:type="dxa"/>
            <w:tcBorders>
              <w:top w:val="single" w:color="auto" w:sz="4" w:space="0"/>
              <w:left w:val="nil"/>
              <w:bottom w:val="single" w:color="auto" w:sz="4" w:space="0"/>
              <w:right w:val="single" w:color="auto" w:sz="4" w:space="0"/>
            </w:tcBorders>
            <w:shd w:val="clear" w:color="auto" w:fill="auto"/>
            <w:vAlign w:val="center"/>
          </w:tcPr>
          <w:p w14:paraId="3326C028">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1.立案阶段责任：接到举报或相关部门转送、巡查发现违法行为，及时予以审查，决定是否立案。下达《责令停止违法行为通知书》。</w:t>
            </w:r>
          </w:p>
          <w:p w14:paraId="3F53E8EC">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4BCC06D4">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513A13C">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4.告知阶段责任：作出行政处罚决定前，应制作《行政处罚告知书》送达当事人，告知违法事实及其享有的陈述、申辩等权利。符合听证规定的，制作并送达《行政处罚听证告知书》。</w:t>
            </w:r>
          </w:p>
          <w:p w14:paraId="2F6C9899">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5.决定阶段责任：制作行政处罚决定书，载明行政处罚告知、当事人陈述申辩或者听证情况等内容。符合刑事案件移送条件的，及时移送。</w:t>
            </w:r>
          </w:p>
          <w:p w14:paraId="75C79BF8">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6.送达阶段责任：行政处罚决定书按法律规定的方式送达当事人。</w:t>
            </w:r>
          </w:p>
          <w:p w14:paraId="57A3A9A7">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7.执行阶段责任：当事人履行处罚决定的，及时结案；未履行处罚决定，依照生效的行政处罚决定，按程序下达催缴（告）通知书和申请人民法院强制执行。</w:t>
            </w:r>
          </w:p>
          <w:p w14:paraId="7291C904">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8.其他法律法规规章文件规定应履行的责任。</w:t>
            </w:r>
          </w:p>
        </w:tc>
        <w:tc>
          <w:tcPr>
            <w:tcW w:w="9515" w:type="dxa"/>
            <w:tcBorders>
              <w:top w:val="single" w:color="auto" w:sz="4" w:space="0"/>
              <w:left w:val="nil"/>
              <w:bottom w:val="single" w:color="auto" w:sz="4" w:space="0"/>
              <w:right w:val="single" w:color="auto" w:sz="4" w:space="0"/>
            </w:tcBorders>
            <w:shd w:val="clear" w:color="auto" w:fill="auto"/>
            <w:vAlign w:val="center"/>
          </w:tcPr>
          <w:p w14:paraId="104DA68E">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1.【部门规章】《自然资源行政处罚办法》（2014年国土资源部令第60号公布，2020年自然资源部令第6号修正）第十一条：自然资源主管部门发现自然人、法人或者其他组织行为涉嫌违法的，应当及时核查。对正在实施的违法行为，应当依法及时下达《责令停止违法行为通知书》予以制止。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54F2D3F">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2—1.【法律】《中华人民共和国行政处罚法》第三十七条：行政机关在调查或者进行检查时，执法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F7C8B8E">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第十四条：调查人员与案件有直接利害关系的，应当回避。第二十条：当事人请求自行提供陈述材料的，应当准许。必要时，调查人员也可以要求当事人自行书写。当事人应当在其提供的陈述材料上签名、按手印或者盖章。第二十一条：询问应当个别进行，并制作询问笔录。询问笔录应当记载询问的时间、地点和询问情况等。</w:t>
            </w:r>
          </w:p>
          <w:p w14:paraId="0A8F2B09">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F507E7B">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第二十八条：……当事人要求听证的，应当在收到《行政处罚听证告知书》后三个工作日内提出。</w:t>
            </w:r>
          </w:p>
          <w:p w14:paraId="0F9E547C">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5—1.【法律】《中华人民共和国行政处罚法》第三十八条：调查终结，行政机关负责人应当对调查结果进行审查，根据不同情况，分别作出决定。第三十九条：行政机关……应当制作《行政处罚决定书》。</w:t>
            </w:r>
          </w:p>
          <w:p w14:paraId="2FCCA5E7">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D8F0D3F">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BEF277F">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4ADEC4B">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7—1.【法律】《中华人民共和国行政处罚法》第四十四条：行政处罚决定依法作出后，当事人应当在行政处罚决定的期限内，予以履行。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FB8E149">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第三十六条：自然资源主管部门申请人民法院强制执行前，应当催告当事人履行义务。</w:t>
            </w:r>
          </w:p>
        </w:tc>
        <w:tc>
          <w:tcPr>
            <w:tcW w:w="330" w:type="dxa"/>
            <w:tcBorders>
              <w:top w:val="single" w:color="auto" w:sz="4" w:space="0"/>
              <w:left w:val="nil"/>
              <w:bottom w:val="single" w:color="auto" w:sz="4" w:space="0"/>
              <w:right w:val="single" w:color="auto" w:sz="4" w:space="0"/>
            </w:tcBorders>
            <w:shd w:val="clear" w:color="auto" w:fill="auto"/>
            <w:vAlign w:val="center"/>
          </w:tcPr>
          <w:p w14:paraId="6C237FA4">
            <w:pPr>
              <w:snapToGrid w:val="0"/>
              <w:spacing w:line="240" w:lineRule="atLeast"/>
              <w:jc w:val="center"/>
              <w:rPr>
                <w:rFonts w:ascii="仿宋_GB2312" w:hAnsi="Calibri" w:eastAsia="仿宋_GB2312" w:cs="仿宋_GB2312"/>
                <w:sz w:val="20"/>
                <w:szCs w:val="20"/>
              </w:rPr>
            </w:pPr>
          </w:p>
        </w:tc>
      </w:tr>
    </w:tbl>
    <w:p w14:paraId="5BCA9FB7"/>
    <w:p w14:paraId="05BD5AE3"/>
    <w:p w14:paraId="3913495E"/>
    <w:p w14:paraId="1DB8F856"/>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F793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FDF7EB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C280657">
            <w:pPr>
              <w:spacing w:line="240" w:lineRule="atLeast"/>
              <w:rPr>
                <w:rFonts w:asciiTheme="majorEastAsia" w:hAnsiTheme="majorEastAsia" w:eastAsiaTheme="majorEastAsia" w:cstheme="majorEastAsia"/>
                <w:spacing w:val="-20"/>
                <w:sz w:val="20"/>
                <w:szCs w:val="20"/>
              </w:rPr>
            </w:pPr>
          </w:p>
          <w:p w14:paraId="30B33188">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F7A5A5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92E7AD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78EDBA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00F3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65502A6">
            <w:pPr>
              <w:spacing w:line="240" w:lineRule="atLeast"/>
              <w:jc w:val="left"/>
              <w:rPr>
                <w:rFonts w:ascii="仿宋_GB2312" w:hAnsi="仿宋_GB2312" w:eastAsia="仿宋_GB2312" w:cs="仿宋_GB2312"/>
                <w:sz w:val="20"/>
                <w:szCs w:val="20"/>
              </w:rPr>
            </w:pPr>
          </w:p>
        </w:tc>
        <w:tc>
          <w:tcPr>
            <w:tcW w:w="555" w:type="dxa"/>
            <w:vMerge w:val="continue"/>
          </w:tcPr>
          <w:p w14:paraId="31967615">
            <w:pPr>
              <w:spacing w:line="240" w:lineRule="atLeast"/>
              <w:jc w:val="left"/>
              <w:rPr>
                <w:rFonts w:ascii="仿宋_GB2312" w:hAnsi="仿宋_GB2312" w:eastAsia="仿宋_GB2312" w:cs="仿宋_GB2312"/>
                <w:sz w:val="20"/>
                <w:szCs w:val="20"/>
              </w:rPr>
            </w:pPr>
          </w:p>
        </w:tc>
        <w:tc>
          <w:tcPr>
            <w:tcW w:w="784" w:type="dxa"/>
            <w:vAlign w:val="center"/>
          </w:tcPr>
          <w:p w14:paraId="1E373B8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C273C8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223466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A40149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78C3BE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A98C12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C07234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B0446C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8EA555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7F94903">
            <w:pPr>
              <w:spacing w:line="240" w:lineRule="atLeast"/>
              <w:jc w:val="left"/>
              <w:rPr>
                <w:rFonts w:ascii="仿宋_GB2312" w:hAnsi="仿宋_GB2312" w:eastAsia="仿宋_GB2312" w:cs="仿宋_GB2312"/>
                <w:sz w:val="20"/>
                <w:szCs w:val="20"/>
              </w:rPr>
            </w:pPr>
          </w:p>
        </w:tc>
      </w:tr>
      <w:tr w14:paraId="4148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45BF9A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183</w:t>
            </w:r>
          </w:p>
        </w:tc>
        <w:tc>
          <w:tcPr>
            <w:tcW w:w="555" w:type="dxa"/>
            <w:vAlign w:val="center"/>
          </w:tcPr>
          <w:p w14:paraId="1544985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45D4E7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B7E5BD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强制</w:t>
            </w:r>
          </w:p>
        </w:tc>
        <w:tc>
          <w:tcPr>
            <w:tcW w:w="784" w:type="dxa"/>
            <w:vAlign w:val="center"/>
          </w:tcPr>
          <w:p w14:paraId="19AD395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查封、扣押与涉嫌违法测绘行为直接相关的设备、工具、原材料、测绘成果资料等</w:t>
            </w:r>
          </w:p>
        </w:tc>
        <w:tc>
          <w:tcPr>
            <w:tcW w:w="660" w:type="dxa"/>
            <w:vAlign w:val="center"/>
          </w:tcPr>
          <w:p w14:paraId="14B7C59B">
            <w:pPr>
              <w:snapToGrid w:val="0"/>
              <w:spacing w:line="240" w:lineRule="atLeast"/>
              <w:jc w:val="center"/>
              <w:rPr>
                <w:rFonts w:ascii="仿宋_GB2312" w:hAnsi="仿宋_GB2312" w:eastAsia="仿宋_GB2312" w:cs="仿宋_GB2312"/>
                <w:sz w:val="20"/>
                <w:szCs w:val="20"/>
              </w:rPr>
            </w:pPr>
          </w:p>
        </w:tc>
        <w:tc>
          <w:tcPr>
            <w:tcW w:w="615" w:type="dxa"/>
            <w:vAlign w:val="center"/>
          </w:tcPr>
          <w:p w14:paraId="3B04F17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D1DD68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测绘地理信息管理科（测绘地理信息局）</w:t>
            </w:r>
          </w:p>
        </w:tc>
        <w:tc>
          <w:tcPr>
            <w:tcW w:w="4605" w:type="dxa"/>
            <w:vAlign w:val="center"/>
          </w:tcPr>
          <w:p w14:paraId="0F83CEAD">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四十九条：县级以上人民政府测绘地理信息主管部门应当建立健全随机抽查机制，依法履行监督检查职责，发现涉嫌违反本法规定行为的，可以依法采取下列措施：（一）查阅、复制有关合同、票据、账簿、登记台账以及其他有关文件、资料；（二）查封、扣押与涉嫌违法测绘行为直接相关的设备、工具、原材料、测绘成果资料等。</w:t>
            </w:r>
          </w:p>
          <w:p w14:paraId="60ADC715">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被检查的单位和个人应当配合，如实提供有关文件、资料，不得隐瞒、拒绝和阻碍。</w:t>
            </w:r>
          </w:p>
          <w:p w14:paraId="25E29C4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任何单位和个人对违反本法规定的行为，有权向县级以上人民政府测绘地理信息主管部门举报。接到举报的测绘地理信息主管部门应当及时依法处理。</w:t>
            </w:r>
          </w:p>
        </w:tc>
        <w:tc>
          <w:tcPr>
            <w:tcW w:w="3585" w:type="dxa"/>
            <w:vAlign w:val="center"/>
          </w:tcPr>
          <w:p w14:paraId="51D2209C">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1.立案责任：检查发现需要依法查封、扣押与涉嫌违法测绘行为直接相关的设备、工具、原材料、测绘成果资料等，立案并实施查封、扣押。</w:t>
            </w:r>
          </w:p>
          <w:p w14:paraId="6FA169B7">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2.告知责任：告知当事人拟实施行政强制措施的决定及事实、理由或证据；当事人依法享有的陈诉权、申辩权。制作并送达《扣押凭证》</w:t>
            </w:r>
          </w:p>
          <w:p w14:paraId="49AEB900">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3.执行责任：依照生效的行政强制措施决定，实施查封、扣押与涉嫌违法测绘行为直接相关的设备、工具、原材料、测绘成果资料等。对查封、扣押的设备、工具、原材料、测绘成果资料等妥善保管。</w:t>
            </w:r>
          </w:p>
          <w:p w14:paraId="61AF0475">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4.解除责任：及时作出解除扣押决定。</w:t>
            </w:r>
          </w:p>
          <w:p w14:paraId="6FD8C29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5761FEF6">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第十九条情况紧急，需要当场实施行政强制措施的，行政执法人员应当在二十四小时内向行政机关负责人报告，并补办批准手续。行政机关负责人认为不应当采取行政强制措施的，应当立即解除。</w:t>
            </w:r>
          </w:p>
          <w:p w14:paraId="4CB6FDF7">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2.【法律】《中华人民共和国行政强制法》第二十四条：行政机关决定实施查封　、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第二十五条查封、扣押的期限不得超过三十日；情况复杂的，经行政机关负责人批准，可以延长，但是延长期限不得超过三十日。法律、法规另有规定的除外。延长查封、扣押的决定应当及时书面告知当事人，并说明理由。对物品需要进行检测、检验、检疫或者技术鉴定的，查封、扣押的期间不包括检测、检验、检疫或者技术鉴定的期间。检测、检验、检疫或者技术鉴定的期间应当明确，并书面告知当事人。检测、检验、检疫或者技术鉴定的费用由行政机关承担。</w:t>
            </w:r>
          </w:p>
          <w:p w14:paraId="341E9EF0">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3.【法律】《中华人民共和国行政强制法》第二十六条：对查封、扣押的场所　、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4F61CA7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4.【法律】《中华人民共和国行政强制法》第二十八条：有下列情形之一的，行政机关应当及时作出解除查封、扣押决定： （一）当事人没有违法行为；（二）查封、扣押的场所、设施或者财物与违法行为无关；（三）行政机关对违法行为已经作出处理决定，不再需要查封、扣押；（四）查封、扣押期限已经届满；（五）其他不再需要采取查封、扣押措施的情形。解除查封、扣押应当立即退还财物；已将鲜活物品或者其他不易保管的财物拍卖或者变卖的，退还拍卖或者变卖所得款项。变卖价格明显低于市场价格，给当事人造成损失的，应当给予补偿。</w:t>
            </w:r>
          </w:p>
        </w:tc>
        <w:tc>
          <w:tcPr>
            <w:tcW w:w="330" w:type="dxa"/>
            <w:vAlign w:val="center"/>
          </w:tcPr>
          <w:p w14:paraId="16188D64">
            <w:pPr>
              <w:snapToGrid w:val="0"/>
              <w:spacing w:line="240" w:lineRule="atLeast"/>
              <w:jc w:val="center"/>
              <w:rPr>
                <w:rFonts w:ascii="仿宋_GB2312" w:hAnsi="仿宋_GB2312" w:eastAsia="仿宋_GB2312" w:cs="仿宋_GB2312"/>
                <w:sz w:val="20"/>
                <w:szCs w:val="20"/>
              </w:rPr>
            </w:pPr>
          </w:p>
        </w:tc>
      </w:tr>
    </w:tbl>
    <w:p w14:paraId="404DDB75"/>
    <w:p w14:paraId="08A0EB2B"/>
    <w:p w14:paraId="0A8730C5"/>
    <w:p w14:paraId="2802419B"/>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A7C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D28FED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7AE3B30">
            <w:pPr>
              <w:spacing w:line="240" w:lineRule="atLeast"/>
              <w:rPr>
                <w:rFonts w:asciiTheme="majorEastAsia" w:hAnsiTheme="majorEastAsia" w:eastAsiaTheme="majorEastAsia" w:cstheme="majorEastAsia"/>
                <w:spacing w:val="-20"/>
                <w:sz w:val="20"/>
                <w:szCs w:val="20"/>
              </w:rPr>
            </w:pPr>
          </w:p>
          <w:p w14:paraId="5B800CE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2DBDD2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8DDD5D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25D51E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53FF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55C48E9">
            <w:pPr>
              <w:spacing w:line="240" w:lineRule="atLeast"/>
              <w:jc w:val="left"/>
              <w:rPr>
                <w:rFonts w:ascii="仿宋_GB2312" w:hAnsi="仿宋_GB2312" w:eastAsia="仿宋_GB2312" w:cs="仿宋_GB2312"/>
                <w:sz w:val="20"/>
                <w:szCs w:val="20"/>
              </w:rPr>
            </w:pPr>
          </w:p>
        </w:tc>
        <w:tc>
          <w:tcPr>
            <w:tcW w:w="555" w:type="dxa"/>
            <w:vMerge w:val="continue"/>
          </w:tcPr>
          <w:p w14:paraId="534CE860">
            <w:pPr>
              <w:spacing w:line="240" w:lineRule="atLeast"/>
              <w:jc w:val="left"/>
              <w:rPr>
                <w:rFonts w:ascii="仿宋_GB2312" w:hAnsi="仿宋_GB2312" w:eastAsia="仿宋_GB2312" w:cs="仿宋_GB2312"/>
                <w:sz w:val="20"/>
                <w:szCs w:val="20"/>
              </w:rPr>
            </w:pPr>
          </w:p>
        </w:tc>
        <w:tc>
          <w:tcPr>
            <w:tcW w:w="784" w:type="dxa"/>
            <w:vAlign w:val="center"/>
          </w:tcPr>
          <w:p w14:paraId="3D1256C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9B3B75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29252C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9B61E8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800597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6FCAAD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9F7B3E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7FF406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13B782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79AE530">
            <w:pPr>
              <w:spacing w:line="240" w:lineRule="atLeast"/>
              <w:jc w:val="left"/>
              <w:rPr>
                <w:rFonts w:ascii="仿宋_GB2312" w:hAnsi="仿宋_GB2312" w:eastAsia="仿宋_GB2312" w:cs="仿宋_GB2312"/>
                <w:sz w:val="20"/>
                <w:szCs w:val="20"/>
              </w:rPr>
            </w:pPr>
          </w:p>
        </w:tc>
      </w:tr>
      <w:tr w14:paraId="34CC7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C9AC0E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184</w:t>
            </w:r>
          </w:p>
        </w:tc>
        <w:tc>
          <w:tcPr>
            <w:tcW w:w="555" w:type="dxa"/>
            <w:vAlign w:val="center"/>
          </w:tcPr>
          <w:p w14:paraId="746734F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行政征收</w:t>
            </w:r>
          </w:p>
        </w:tc>
        <w:tc>
          <w:tcPr>
            <w:tcW w:w="784" w:type="dxa"/>
            <w:vAlign w:val="center"/>
          </w:tcPr>
          <w:p w14:paraId="1D728D2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不动产登记费征收</w:t>
            </w:r>
          </w:p>
        </w:tc>
        <w:tc>
          <w:tcPr>
            <w:tcW w:w="660" w:type="dxa"/>
            <w:vAlign w:val="center"/>
          </w:tcPr>
          <w:p w14:paraId="1E32EEA3">
            <w:pPr>
              <w:snapToGrid w:val="0"/>
              <w:spacing w:line="240" w:lineRule="atLeast"/>
              <w:jc w:val="center"/>
              <w:rPr>
                <w:rFonts w:ascii="仿宋_GB2312" w:hAnsi="仿宋_GB2312" w:eastAsia="仿宋_GB2312" w:cs="仿宋_GB2312"/>
                <w:sz w:val="20"/>
                <w:szCs w:val="20"/>
              </w:rPr>
            </w:pPr>
          </w:p>
        </w:tc>
        <w:tc>
          <w:tcPr>
            <w:tcW w:w="615" w:type="dxa"/>
            <w:vAlign w:val="center"/>
          </w:tcPr>
          <w:p w14:paraId="0ADA646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F078D04">
            <w:pPr>
              <w:snapToGrid w:val="0"/>
              <w:spacing w:line="240" w:lineRule="atLeast"/>
              <w:jc w:val="center"/>
              <w:rPr>
                <w:rFonts w:ascii="仿宋_GB2312" w:hAnsi="仿宋_GB2312" w:eastAsia="仿宋_GB2312" w:cs="仿宋_GB2312"/>
                <w:color w:val="FF0000"/>
                <w:sz w:val="20"/>
                <w:szCs w:val="20"/>
              </w:rPr>
            </w:pPr>
            <w:r>
              <w:rPr>
                <w:rFonts w:hint="eastAsia" w:ascii="仿宋_GB2312" w:hAnsi="仿宋_GB2312" w:eastAsia="仿宋_GB2312" w:cs="仿宋_GB2312"/>
                <w:color w:val="FF0000"/>
                <w:sz w:val="20"/>
                <w:szCs w:val="20"/>
              </w:rPr>
              <w:t>不动产登记中心</w:t>
            </w:r>
          </w:p>
        </w:tc>
        <w:tc>
          <w:tcPr>
            <w:tcW w:w="4605" w:type="dxa"/>
            <w:vAlign w:val="center"/>
          </w:tcPr>
          <w:p w14:paraId="094F9E01">
            <w:pPr>
              <w:widowControl/>
              <w:adjustRightInd w:val="0"/>
              <w:snapToGrid w:val="0"/>
              <w:spacing w:line="27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1.【法律】《中华人民共和国民法典》第二百二十三条：不动产登记费按件收取，不得按照不动产的面积、体积或者价款的比例收取。</w:t>
            </w:r>
          </w:p>
          <w:p w14:paraId="7BC87F56">
            <w:pPr>
              <w:widowControl/>
              <w:adjustRightInd w:val="0"/>
              <w:snapToGrid w:val="0"/>
              <w:spacing w:line="27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规范性文件】财政部、国家发展和改革委员会关于不动产登记收费有关政策问题的通知（财税〔2016〕79号）一、国土资源部和县级及以上地方不动产登记机构（以下简称不动产登记机构）办理下列不动产权利的首次登记、变更登记、转移登记、更正登记、异议登记时，收取不动产登记费。</w:t>
            </w:r>
          </w:p>
          <w:p w14:paraId="4D3E0C96">
            <w:pPr>
              <w:widowControl/>
              <w:adjustRightInd w:val="0"/>
              <w:snapToGrid w:val="0"/>
              <w:spacing w:line="27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3.【规范性文件】发展改革委、财政部印发的《关于不动产登记收费标准等有关问题的通知》（发改价格规〔2016〕2559号）第六条：已实行不动产统一登记制度的地方，不动产登记机构按上述规定收费标准收取不动产登记费，原分部门制定的有关土地登记、房屋登记收费标准，土地承包经营权证、林权证工本费标准，以及各地制定的其他有关土地、房屋登记资料查询、复制、证明的收费标准一律废止。</w:t>
            </w:r>
          </w:p>
          <w:p w14:paraId="799868C5">
            <w:pPr>
              <w:snapToGrid w:val="0"/>
              <w:spacing w:line="240" w:lineRule="atLeast"/>
              <w:ind w:firstLine="392" w:firstLineChars="200"/>
              <w:rPr>
                <w:rFonts w:ascii="仿宋_GB2312" w:hAnsi="仿宋_GB2312" w:eastAsia="仿宋_GB2312" w:cs="仿宋_GB2312"/>
                <w:sz w:val="20"/>
                <w:szCs w:val="20"/>
              </w:rPr>
            </w:pPr>
            <w:r>
              <w:rPr>
                <w:rFonts w:hint="eastAsia" w:eastAsia="仿宋_GB2312"/>
                <w:snapToGrid w:val="0"/>
                <w:color w:val="000000"/>
                <w:spacing w:val="-2"/>
                <w:sz w:val="20"/>
                <w:szCs w:val="20"/>
              </w:rPr>
              <w:t>4．【规范性文件】</w:t>
            </w:r>
            <w:r>
              <w:rPr>
                <w:rFonts w:hint="eastAsia" w:eastAsia="仿宋_GB2312"/>
                <w:snapToGrid w:val="0"/>
                <w:color w:val="000000"/>
                <w:sz w:val="20"/>
                <w:szCs w:val="20"/>
              </w:rPr>
              <w:t>广西壮族</w:t>
            </w:r>
            <w:r>
              <w:rPr>
                <w:rFonts w:hint="eastAsia" w:eastAsia="仿宋_GB2312"/>
                <w:snapToGrid w:val="0"/>
                <w:color w:val="000000"/>
                <w:spacing w:val="-2"/>
                <w:sz w:val="20"/>
                <w:szCs w:val="20"/>
              </w:rPr>
              <w:t>自治区物价局、</w:t>
            </w:r>
            <w:r>
              <w:rPr>
                <w:rFonts w:hint="eastAsia" w:eastAsia="仿宋_GB2312"/>
                <w:snapToGrid w:val="0"/>
                <w:color w:val="000000"/>
                <w:sz w:val="20"/>
                <w:szCs w:val="20"/>
              </w:rPr>
              <w:t>广西壮族</w:t>
            </w:r>
            <w:r>
              <w:rPr>
                <w:rFonts w:hint="eastAsia" w:eastAsia="仿宋_GB2312"/>
                <w:snapToGrid w:val="0"/>
                <w:color w:val="000000"/>
                <w:spacing w:val="-2"/>
                <w:sz w:val="20"/>
                <w:szCs w:val="20"/>
              </w:rPr>
              <w:t>自治区财政厅、</w:t>
            </w:r>
            <w:r>
              <w:rPr>
                <w:rFonts w:hint="eastAsia" w:eastAsia="仿宋_GB2312"/>
                <w:snapToGrid w:val="0"/>
                <w:color w:val="000000"/>
                <w:sz w:val="20"/>
                <w:szCs w:val="20"/>
              </w:rPr>
              <w:t>广西壮族</w:t>
            </w:r>
            <w:r>
              <w:rPr>
                <w:rFonts w:hint="eastAsia" w:eastAsia="仿宋_GB2312"/>
                <w:snapToGrid w:val="0"/>
                <w:color w:val="000000"/>
                <w:spacing w:val="-2"/>
                <w:sz w:val="20"/>
                <w:szCs w:val="20"/>
              </w:rPr>
              <w:t>自治区国土资源厅《关于不动产登记收费等有关问题的通知》（桂价费〔2018〕14号）第二条：不动产登记机构在不动产登记收费过程中只能按规定收取不动产登记费和不动产权属证书工本费，不能强制或变相强制申请人接受其他指定的服务及收取费用。</w:t>
            </w:r>
          </w:p>
        </w:tc>
        <w:tc>
          <w:tcPr>
            <w:tcW w:w="3585" w:type="dxa"/>
            <w:vAlign w:val="center"/>
          </w:tcPr>
          <w:p w14:paraId="0CE7329C">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1.受理阶段责任：公示告知土地登记费征收标准、金额计算方式、征收适用类型、征收方式以及其他应当公示的内容；</w:t>
            </w:r>
          </w:p>
          <w:p w14:paraId="0F72AB5C">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2.审核阶段责任：审查征收对象是否符合相关政府及相关部门规定的征收标准，符合减免要求的，应当予以减免。</w:t>
            </w:r>
          </w:p>
          <w:p w14:paraId="7D9C08B3">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3.确定阶段责任：对需缴费的开票征收，缴入国库。</w:t>
            </w:r>
          </w:p>
          <w:p w14:paraId="451F16E5">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4．事后监管阶段责任：对未及时缴费进行催报催缴。</w:t>
            </w:r>
          </w:p>
          <w:p w14:paraId="7F7D4CB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1755DB4F">
            <w:pPr>
              <w:widowControl/>
              <w:adjustRightInd w:val="0"/>
              <w:snapToGrid w:val="0"/>
              <w:spacing w:line="27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1. 【规范性文件】发展改革委、财政部印发的《关于不动产登记收费标准等有关问题的通知》（发改价格规〔2016〕2559号）第六条：已实行不动产统一登记制度的地方，不动产登记机构按上述规定收费标准收取不动产登记费，原分部门制定的有关土地登记、房屋登记收费标准，土地承包经营权证、林权证本费标准，以及各地制定的其他有关土地、房屋登记资料查询、复制、证明的收费标准一律废止。</w:t>
            </w:r>
          </w:p>
          <w:p w14:paraId="5695813C">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 【规范性文件】财政部、 国家发展和改革委员会关于不动产登记收费有关政策问题的通知（ 财税〔2016〕79号）一、 国土资源部和县级及以上地方不动产登记机构（以下简称不动产登记机构）办理下列不动产权利的首次登记、变更登记、转移登记、更正登记、异议登记时，收取不动产登记费。</w:t>
            </w:r>
          </w:p>
          <w:p w14:paraId="3083D74E">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 【规范性文件】财政部、 国家发展和改革委员会关于不动产登记收费有关政策问题的通知（ 财税〔2016〕79号）十一、国土资源部收取的不动产登记费收入，应全额上缴中央国库，纳入中央财政预算管理，具体收缴办法按照国库集中收缴有关规定执行。县级及以上地方不动产登记机构收取的不动产登记费收入，应全额上缴地方国库，纳入地方财政预算管理，具体缴库办法按照省级财政部门有关规定执行。不动产登记机构开展不动产登记等相关工作所需经费，由同级财政预算统筹安排。</w:t>
            </w:r>
          </w:p>
          <w:p w14:paraId="1682FC5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4．【规范性文件】广西壮族自治区物价局 广西壮族自治区财政厅广西壮族自治区国土资源厅关于不动产登记收费等有关问题的通知（桂价费〔2018〕14号）第二条：不动产登记机构在不动产登记收费过程中只能按规定收取不动产登记费和不动产权属证书工本费，不能强制或变相强制申请人接受其他指定的服务及收取费用。</w:t>
            </w:r>
          </w:p>
        </w:tc>
        <w:tc>
          <w:tcPr>
            <w:tcW w:w="330" w:type="dxa"/>
            <w:vAlign w:val="center"/>
          </w:tcPr>
          <w:p w14:paraId="4206115D">
            <w:pPr>
              <w:snapToGrid w:val="0"/>
              <w:spacing w:line="240" w:lineRule="atLeast"/>
              <w:jc w:val="center"/>
              <w:rPr>
                <w:rFonts w:ascii="仿宋_GB2312" w:hAnsi="仿宋_GB2312" w:eastAsia="仿宋_GB2312" w:cs="仿宋_GB2312"/>
                <w:sz w:val="20"/>
                <w:szCs w:val="20"/>
              </w:rPr>
            </w:pPr>
          </w:p>
        </w:tc>
      </w:tr>
    </w:tbl>
    <w:p w14:paraId="73758CCE"/>
    <w:p w14:paraId="0F1E716A"/>
    <w:p w14:paraId="091BE092"/>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5DE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D36442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1A72C90">
            <w:pPr>
              <w:spacing w:line="240" w:lineRule="atLeast"/>
              <w:rPr>
                <w:rFonts w:asciiTheme="majorEastAsia" w:hAnsiTheme="majorEastAsia" w:eastAsiaTheme="majorEastAsia" w:cstheme="majorEastAsia"/>
                <w:spacing w:val="-20"/>
                <w:sz w:val="20"/>
                <w:szCs w:val="20"/>
              </w:rPr>
            </w:pPr>
          </w:p>
          <w:p w14:paraId="0FDF6DE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F53DDC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6ED44B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12F91E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9CD8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3561B56">
            <w:pPr>
              <w:spacing w:line="240" w:lineRule="atLeast"/>
              <w:jc w:val="left"/>
              <w:rPr>
                <w:rFonts w:ascii="仿宋_GB2312" w:hAnsi="仿宋_GB2312" w:eastAsia="仿宋_GB2312" w:cs="仿宋_GB2312"/>
                <w:sz w:val="20"/>
                <w:szCs w:val="20"/>
              </w:rPr>
            </w:pPr>
          </w:p>
        </w:tc>
        <w:tc>
          <w:tcPr>
            <w:tcW w:w="555" w:type="dxa"/>
            <w:vMerge w:val="continue"/>
          </w:tcPr>
          <w:p w14:paraId="762A0620">
            <w:pPr>
              <w:spacing w:line="240" w:lineRule="atLeast"/>
              <w:jc w:val="left"/>
              <w:rPr>
                <w:rFonts w:ascii="仿宋_GB2312" w:hAnsi="仿宋_GB2312" w:eastAsia="仿宋_GB2312" w:cs="仿宋_GB2312"/>
                <w:sz w:val="20"/>
                <w:szCs w:val="20"/>
              </w:rPr>
            </w:pPr>
          </w:p>
        </w:tc>
        <w:tc>
          <w:tcPr>
            <w:tcW w:w="784" w:type="dxa"/>
            <w:vAlign w:val="center"/>
          </w:tcPr>
          <w:p w14:paraId="409FE69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7B9D52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F70B5A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A86D3F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1660FC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C48392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375561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27A6F2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01666A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1031C9D">
            <w:pPr>
              <w:spacing w:line="240" w:lineRule="atLeast"/>
              <w:jc w:val="left"/>
              <w:rPr>
                <w:rFonts w:ascii="仿宋_GB2312" w:hAnsi="仿宋_GB2312" w:eastAsia="仿宋_GB2312" w:cs="仿宋_GB2312"/>
                <w:sz w:val="20"/>
                <w:szCs w:val="20"/>
              </w:rPr>
            </w:pPr>
          </w:p>
        </w:tc>
      </w:tr>
      <w:tr w14:paraId="25AAF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D3E091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185</w:t>
            </w:r>
          </w:p>
        </w:tc>
        <w:tc>
          <w:tcPr>
            <w:tcW w:w="555" w:type="dxa"/>
            <w:vAlign w:val="center"/>
          </w:tcPr>
          <w:p w14:paraId="2FA92C7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行政征收</w:t>
            </w:r>
          </w:p>
        </w:tc>
        <w:tc>
          <w:tcPr>
            <w:tcW w:w="784" w:type="dxa"/>
            <w:vAlign w:val="center"/>
          </w:tcPr>
          <w:p w14:paraId="3419E38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耕地开垦费征收</w:t>
            </w:r>
          </w:p>
        </w:tc>
        <w:tc>
          <w:tcPr>
            <w:tcW w:w="660" w:type="dxa"/>
            <w:vAlign w:val="center"/>
          </w:tcPr>
          <w:p w14:paraId="213E60B0">
            <w:pPr>
              <w:snapToGrid w:val="0"/>
              <w:spacing w:line="240" w:lineRule="atLeast"/>
              <w:jc w:val="center"/>
              <w:rPr>
                <w:rFonts w:ascii="仿宋_GB2312" w:hAnsi="仿宋_GB2312" w:eastAsia="仿宋_GB2312" w:cs="仿宋_GB2312"/>
                <w:sz w:val="20"/>
                <w:szCs w:val="20"/>
              </w:rPr>
            </w:pPr>
          </w:p>
        </w:tc>
        <w:tc>
          <w:tcPr>
            <w:tcW w:w="615" w:type="dxa"/>
            <w:vAlign w:val="center"/>
          </w:tcPr>
          <w:p w14:paraId="54B0D88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ABEED2D">
            <w:pPr>
              <w:snapToGrid w:val="0"/>
              <w:spacing w:line="240" w:lineRule="atLeast"/>
              <w:jc w:val="center"/>
              <w:rPr>
                <w:rFonts w:ascii="仿宋_GB2312" w:hAnsi="仿宋_GB2312" w:eastAsia="仿宋_GB2312" w:cs="仿宋_GB2312"/>
                <w:color w:val="FF0000"/>
                <w:sz w:val="20"/>
                <w:szCs w:val="20"/>
              </w:rPr>
            </w:pPr>
            <w:r>
              <w:rPr>
                <w:rFonts w:hint="eastAsia" w:ascii="仿宋_GB2312" w:hAnsi="仿宋_GB2312" w:eastAsia="仿宋_GB2312" w:cs="仿宋_GB2312"/>
                <w:color w:val="FF0000"/>
                <w:sz w:val="20"/>
                <w:szCs w:val="20"/>
              </w:rPr>
              <w:t>耕地保护科</w:t>
            </w:r>
          </w:p>
        </w:tc>
        <w:tc>
          <w:tcPr>
            <w:tcW w:w="4605" w:type="dxa"/>
            <w:vAlign w:val="center"/>
          </w:tcPr>
          <w:p w14:paraId="2FB9C4CF">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【法律】《中华人民共和国土地管理法》第三十条：国家保护耕地、严格控制耕地转为非耕地。</w:t>
            </w:r>
          </w:p>
          <w:p w14:paraId="0768183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国家实行占用耕地补偿制度。非农业建设经批准占用耕地的，按照“占多少，垦多少”的原则，由占用耕地的单位负责开垦与所占用耕地的数量和质量相当的耕地；没有条件开垦或者开垦的耕地不符合要求的，应当按照省、自治区、直辖市的规定缴纳耕地开垦费，专款用于开垦新的耕地。</w:t>
            </w:r>
          </w:p>
        </w:tc>
        <w:tc>
          <w:tcPr>
            <w:tcW w:w="3585" w:type="dxa"/>
            <w:vAlign w:val="center"/>
          </w:tcPr>
          <w:p w14:paraId="47F5423B">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1.受理责任：依法受理或不予受理，并一次性告知不予受理的理由或需补充提供的资料。</w:t>
            </w:r>
          </w:p>
          <w:p w14:paraId="1F0E21B0">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2.审核责任：审核申请人提供的农用地转用方案、补充耕地方案或“先补后占”验收结果申报信息的准确性。</w:t>
            </w:r>
          </w:p>
          <w:p w14:paraId="617E7C57">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3.决定责任：做出审核决定，开具《缴款通知书》。</w:t>
            </w:r>
          </w:p>
          <w:p w14:paraId="7BE015E0">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4．监管责任：自治区财政部门、价格、自然资源管理部门有权对缴费人缴纳耕地开垦费的情况进行检查。</w:t>
            </w:r>
          </w:p>
          <w:p w14:paraId="6454B13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0772F518">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1.【规范性文件】《广西壮族自治区财政厅 广西壮族自治区自然资源厅 广西壮族自治区发展和改革委员会关于规范和调整我区耕地开垦费征收标准和使用管理政策的通知》（桂财税〔2019〕35号）第二条第（二）款第4项 缴纳义务人根据《耕地开垦费缴款通知书》的要求，在规定时间内将应缴纳的耕地开垦费全额缴入自治区自然资源厅非税收入汇缴专户。第6项 属于自治区人民政府授权或委托设区市人民政府批准的乡镇批次用地农用地转用和土地征收用地、设区市人民政府批准不涉及征收土地的农用地转用缴纳耕地开垦费，由设区市国土资源行政管理部门参照上述程序组织征收。</w:t>
            </w:r>
          </w:p>
          <w:p w14:paraId="5A2A7DCF">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2—1.【规范性文件】《广西壮族自治区财政厅 广西壮族自治区自然资源厅 广西壮族自治区发展和改革委员会关于规范和调整我区耕地开垦费征收标准和使用管理政策的通知》（桂财税〔2019〕35号）第二条第（一）款 ：耕地开垦费征收标准。综合考虑耕地开发成本、补充耕地地力培肥、后期管护、占用耕地耕作层剥离利用等因素，按建设项目占用永久基本农田和一般耕地及地类、耕地质量等因素分别确定其征收标准。对经依法批准占用永久基本农田的，缴费标准按照耕地开垦费最高标准的两倍执行。批次用地、单独选址项目等非农建设（含基础设施重大项目）经批准占用耕地，无法自行落实占补平衡的，应当按照上述标准缴纳耕地开垦费。</w:t>
            </w:r>
          </w:p>
          <w:p w14:paraId="3A7C7FCD">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2—2.【规范性文件】国务院《关于深化改革严格土地管理的决定》（国发〔2004〕28号）第二条第（十一）款 ：经批准占用基本农田的，征地补偿按法定最高标准执行，对以缴纳耕地开垦费方式补充耕地的，缴纳标准按当地最高标准执行。</w:t>
            </w:r>
          </w:p>
          <w:p w14:paraId="70D5212D">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2—3.【规范性文件】国土资源部《关于严格土地利用总体规划实施管理的通知》（国土资发〔2012〕2号）第二条第（二）款 ：列入县、乡级土地利用总体规划设定的交通廊道内，或已列入土地利用总体规划重点建设项目清单的民生、环保等特殊项目，在不突破多划基本农田面积额度的前提下，占用基本农田保护区中规划多划的基本农田时，按一般耕地办理建设用地审批手续，不需另外补划基本农田，但用地单位必须落实补充耕地任务，按占用基本农田标准缴纳税费和对农民进行补偿。</w:t>
            </w:r>
          </w:p>
          <w:p w14:paraId="356DAD09">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4．【规范性文件】《中共中央国务院关于加强耕地保护和改进占补平衡的意见》（中发〔2017〕4号）第三条第（七）款：对经依法批准占用永久基本农田的，缴费标准按照当地耕地开垦费最高标准的两倍执行。</w:t>
            </w:r>
          </w:p>
          <w:p w14:paraId="5B1FACB0">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2—5．【规范性文件】《广西壮族自治区财政厅 广西壮族自治区发展和改革委员会 广西壮族自治区自然资源厅关于进一步明确建设项目用地占用永久基本农田耕地开垦费有关事项的通知》（桂财规〔2019〕2号） 我区建设项目用地经批准占用永久基本农田，区分不同地类，耕地开垦费缴费标准分别按自治区财政厅、国土资源厅、物价局《关于调整广西耕地开垦费征收标准和使用政策有关问题的通知》（桂财税〔2016〕38号）中一般耕地类型水田（水浇地）地类和旱地地类最高征收标准的两倍执行，即占用永久基本农田（水浇地）的，耕地开垦费缴费标准不分耕地等别档次统一为80元/平方米（80万元/公顷）；占用永久基本农田旱地的，耕地开垦费缴费标准不分耕地等别档次统一为40元/平方米（40万元/公顷）。</w:t>
            </w:r>
          </w:p>
          <w:p w14:paraId="6F5556C5">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3.【规范性文件】《广西壮族自治区财政厅 广西壮族自治区自然资源厅 广西壮族自治区发展和改革委员会关于规范和调整我区耕地开垦费征收标准和使用管理政策的通知》（桂财税〔2019〕35号）第二条第（二）款第2项：自治区自然资源厅依据批准的国土空间规划（土地利用总体规划）和土地利用年度计划对申报用地的缴纳义务人报送的农用地转用方案、补充耕地方案或“先补后占”验收结果进行审查，审定其是否应交纳耕地开垦费，以及应缴纳耕地开垦费的征收标准及数额，并下达《耕地开垦费缴款通知书》。第3项 《耕地开垦费缴款通知书》应明确缴纳义务人的名称、建设用地的地类、面积、耕地开垦费的征收标准和具体数额。</w:t>
            </w:r>
          </w:p>
          <w:p w14:paraId="6692FEF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4．【规范性文件】《广西壮族自治区财政厅 广西壮族自治区自然资源厅 广西壮族自治区发展和改革委员会关于规范和调整我区耕地开垦费征收标准和使用管理政策的通知》（桂财税〔2019〕35号）第四条第（一）款 ：各市、县财政、自然资源主管部门要制定全耕地开垦费资金征收使用管理制度和绩效评价制度，努力提高资金使用效益，切实加强耕地开垦费的征收使用管理。第（二）款 ：对擅自设立征收项目、提高征收标准、扩大征收范围、截留和挪用耕地开垦费等违法违纪行为以及不按照支出方向保障建设项目占用耕地“占一补一、占优补优、占水田补水田”的单位与个人，按有关法律、法规规定严肃处理，并追究主管人员及其他直接责任人员的行政、经济责任。涉嫌犯罪的，移送司法机关依法追究刑事责任。</w:t>
            </w:r>
          </w:p>
        </w:tc>
        <w:tc>
          <w:tcPr>
            <w:tcW w:w="330" w:type="dxa"/>
            <w:vAlign w:val="center"/>
          </w:tcPr>
          <w:p w14:paraId="4ABD3A6A">
            <w:pPr>
              <w:snapToGrid w:val="0"/>
              <w:spacing w:line="240" w:lineRule="atLeast"/>
              <w:jc w:val="center"/>
              <w:rPr>
                <w:rFonts w:ascii="仿宋_GB2312" w:hAnsi="仿宋_GB2312" w:eastAsia="仿宋_GB2312" w:cs="仿宋_GB2312"/>
                <w:sz w:val="20"/>
                <w:szCs w:val="20"/>
              </w:rPr>
            </w:pPr>
          </w:p>
        </w:tc>
      </w:tr>
    </w:tbl>
    <w:p w14:paraId="5A29898C"/>
    <w:p w14:paraId="16E30D4F"/>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2865"/>
        <w:gridCol w:w="10235"/>
        <w:gridCol w:w="330"/>
      </w:tblGrid>
      <w:tr w14:paraId="25DFC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9411CB0">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9804BF7">
            <w:pPr>
              <w:spacing w:line="240" w:lineRule="atLeast"/>
              <w:rPr>
                <w:rFonts w:asciiTheme="majorEastAsia" w:hAnsiTheme="majorEastAsia" w:eastAsiaTheme="majorEastAsia" w:cstheme="majorEastAsia"/>
                <w:spacing w:val="-20"/>
                <w:sz w:val="20"/>
                <w:szCs w:val="20"/>
              </w:rPr>
            </w:pPr>
          </w:p>
          <w:p w14:paraId="5D3BC61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24C583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E8CF81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EED00B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4D92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456467D">
            <w:pPr>
              <w:spacing w:line="240" w:lineRule="atLeast"/>
              <w:jc w:val="left"/>
              <w:rPr>
                <w:rFonts w:ascii="仿宋_GB2312" w:hAnsi="仿宋_GB2312" w:eastAsia="仿宋_GB2312" w:cs="仿宋_GB2312"/>
                <w:sz w:val="20"/>
                <w:szCs w:val="20"/>
              </w:rPr>
            </w:pPr>
          </w:p>
        </w:tc>
        <w:tc>
          <w:tcPr>
            <w:tcW w:w="555" w:type="dxa"/>
            <w:vMerge w:val="continue"/>
          </w:tcPr>
          <w:p w14:paraId="02B805B5">
            <w:pPr>
              <w:spacing w:line="240" w:lineRule="atLeast"/>
              <w:jc w:val="left"/>
              <w:rPr>
                <w:rFonts w:ascii="仿宋_GB2312" w:hAnsi="仿宋_GB2312" w:eastAsia="仿宋_GB2312" w:cs="仿宋_GB2312"/>
                <w:sz w:val="20"/>
                <w:szCs w:val="20"/>
              </w:rPr>
            </w:pPr>
          </w:p>
        </w:tc>
        <w:tc>
          <w:tcPr>
            <w:tcW w:w="784" w:type="dxa"/>
            <w:vAlign w:val="center"/>
          </w:tcPr>
          <w:p w14:paraId="50E582D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75C651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DBDA10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24BEEA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77E133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DF4BA7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2865" w:type="dxa"/>
            <w:vAlign w:val="center"/>
          </w:tcPr>
          <w:p w14:paraId="13872E7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8081EB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10235" w:type="dxa"/>
            <w:vAlign w:val="center"/>
          </w:tcPr>
          <w:p w14:paraId="30359B1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C3E982A">
            <w:pPr>
              <w:spacing w:line="240" w:lineRule="atLeast"/>
              <w:jc w:val="left"/>
              <w:rPr>
                <w:rFonts w:ascii="仿宋_GB2312" w:hAnsi="仿宋_GB2312" w:eastAsia="仿宋_GB2312" w:cs="仿宋_GB2312"/>
                <w:sz w:val="20"/>
                <w:szCs w:val="20"/>
              </w:rPr>
            </w:pPr>
          </w:p>
        </w:tc>
      </w:tr>
      <w:tr w14:paraId="346D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237887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186</w:t>
            </w:r>
          </w:p>
        </w:tc>
        <w:tc>
          <w:tcPr>
            <w:tcW w:w="555" w:type="dxa"/>
            <w:vAlign w:val="center"/>
          </w:tcPr>
          <w:p w14:paraId="337F415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行政征收</w:t>
            </w:r>
          </w:p>
        </w:tc>
        <w:tc>
          <w:tcPr>
            <w:tcW w:w="784" w:type="dxa"/>
            <w:vAlign w:val="center"/>
          </w:tcPr>
          <w:p w14:paraId="79DFB99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土地闲置费征收</w:t>
            </w:r>
          </w:p>
        </w:tc>
        <w:tc>
          <w:tcPr>
            <w:tcW w:w="660" w:type="dxa"/>
            <w:vAlign w:val="center"/>
          </w:tcPr>
          <w:p w14:paraId="3F0ACFDA">
            <w:pPr>
              <w:snapToGrid w:val="0"/>
              <w:spacing w:line="240" w:lineRule="atLeast"/>
              <w:jc w:val="center"/>
              <w:rPr>
                <w:rFonts w:ascii="仿宋_GB2312" w:hAnsi="仿宋_GB2312" w:eastAsia="仿宋_GB2312" w:cs="仿宋_GB2312"/>
                <w:sz w:val="20"/>
                <w:szCs w:val="20"/>
              </w:rPr>
            </w:pPr>
          </w:p>
        </w:tc>
        <w:tc>
          <w:tcPr>
            <w:tcW w:w="615" w:type="dxa"/>
            <w:vAlign w:val="center"/>
          </w:tcPr>
          <w:p w14:paraId="3EEAC97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C2CA24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自然资源开发利用科</w:t>
            </w:r>
          </w:p>
        </w:tc>
        <w:tc>
          <w:tcPr>
            <w:tcW w:w="4605" w:type="dxa"/>
            <w:vAlign w:val="center"/>
          </w:tcPr>
          <w:p w14:paraId="7EAFF15C">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城市房地产管理法》第二十六条：以出让方式取得土地使用权进行房地产开发的，必须按照土地使用权出让合同约定的土地用途、动工开发期限开发土地。超过出让合同约定的动工开发日期满一年未动工开发的，可以征收相当于土地使用权出让金百分之二十以下的土地闲置费；满二年未动工开发的，可以无偿收回土地使用权；但是，因不可抗力或者政府、政府有关部门的行为或者动工开发必需的前期工作造成动工开发迟延的除外。</w:t>
            </w:r>
          </w:p>
          <w:p w14:paraId="0600603F">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城市房地产开发经营管理条例》（1998年国务院令第248号发布，2020年国务院令第726号修订）第十五条：房地产开发企业应当按照土地使用权出让合同约定的土地用途、动工开发期限进行项目开发建设。出让合同约定的动工开发期限满1年未动工开发的，可以征收相当于土地使用权出让金20%以下的土地闲置费；满2年未动工开发的，可以无偿收回土地使用权。但是，因不可抗力或者政府、政府有关部门的行为或者动工开发必需的前期工作造成动工迟延的除外。</w:t>
            </w:r>
          </w:p>
          <w:p w14:paraId="1CF155CA">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3.【部门规章】《闲置土地处置办法》（2012年国土资源部令第53号）第十四条：除本办法第八条规定情形外，闲置土地按照下列方式处理：</w:t>
            </w:r>
          </w:p>
          <w:p w14:paraId="3C09ACC7">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未动工开发满1年的，由市、县国土资源主管部门报经本级人民政府批准后，向国有建设用地使用权人下达《征缴土地闲置费决定书》，按照土地出让或者划拨价款的20%征缴土地闲置费。土地闲置费不得列入生产成本。</w:t>
            </w:r>
          </w:p>
          <w:p w14:paraId="06E15D6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二）未动工开发满两年的，由市、县国土资源主管部门按照《中华人民共和国土地管理法》第三十七条和《中华人民共和国城市房地产管理法》第二十六条的规定，报经有批准权的人民政府批准后，向国有建设用地使用权人下达《收回国有建设用地使用权决定书》，无偿收回国有建设用地使用权。闲置土地设有抵押权的，同时抄送相关土地抵押权人。</w:t>
            </w:r>
          </w:p>
        </w:tc>
        <w:tc>
          <w:tcPr>
            <w:tcW w:w="2865" w:type="dxa"/>
            <w:vAlign w:val="center"/>
          </w:tcPr>
          <w:p w14:paraId="04BDA95A">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1.受理阶段责任：公示告知土地闲置费征收标准、金额计算方式、征收适用类型、征收方式以及其他应当公示的内容；</w:t>
            </w:r>
          </w:p>
          <w:p w14:paraId="54509A6D">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2.审核阶段责任：审查征收对象是否符合相关政府及相关部门规定的征收标准，符合减免要求的，应当予以减免。</w:t>
            </w:r>
          </w:p>
          <w:p w14:paraId="1AE18383">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3.确定阶段责任：对需缴费的开票征收，缴入国库。</w:t>
            </w:r>
          </w:p>
          <w:p w14:paraId="32B76EFE">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4.事后监管阶段责任：对未及时缴费进行催报催缴。</w:t>
            </w:r>
          </w:p>
          <w:p w14:paraId="142F49E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10235" w:type="dxa"/>
            <w:vAlign w:val="center"/>
          </w:tcPr>
          <w:p w14:paraId="1D5D351A">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 xml:space="preserve">1.【部门规章】《闲置土地处置办法》（2012年国土资源部令第53号）第五条：市、县国土资源主管部门发现有涉嫌构成本办法第二条规定的闲置土地的，应当在三十日内开展调查核实，向国有建设用地使用权人发出《闲置土地调查通知书》。国有建设用地使用权人应当在接到《闲置土地调查通知书》之日起三十日内，按照要求提供土地开发利用情况、闲置原因以及相关说明等材料。 </w:t>
            </w:r>
          </w:p>
          <w:p w14:paraId="75F5DF54">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条：《闲置土地调查通知书》应当包括下列内容：（一）国有建设用地使用权人的姓名或者名称、地址；（二）涉嫌闲置土地的基本情况；（三）涉嫌闲置土地的事实和依据；（四）调查的主要内容及提交材料的期限；（五）国有建设用地使用权人的权利和义务；（六）其他需要调查的事项。</w:t>
            </w:r>
          </w:p>
          <w:p w14:paraId="18843629">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部门规章】《闲置土地处置办法》（2012年国土资源部令第53号）第七条：市、县国土资源主管部门履行闲置土地调查职责，可以采取下列措施：（一）询问当事人及其他证人；（二）现场勘测、拍照、摄像；（三）查阅、复制与被调查人有关的土地资料；（四）要求被调查人就有关土地权利及使用问题作出说明。</w:t>
            </w:r>
          </w:p>
          <w:p w14:paraId="7D20DFC1">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 xml:space="preserve">3.【部门规章】《闲置土地处置办法》（2012年国土资源部令第53号）第九条：经调查核实，符合本办法第二条规定条件，构成闲置土地的，市、县国土资源主管部门应当向国有建设用地使用权人下达《闲置土地认定书》。 </w:t>
            </w:r>
          </w:p>
          <w:p w14:paraId="5EF31674">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 xml:space="preserve">第十条：《闲置土地认定书》应当载明下列事项：（一）国有建设用地使用权人的姓名或者名称、地址；（二）闲置土地的基本情况；（三）认定土地闲置的事实、依据；（四）闲置原因及认定结论；（五）其他需要说明的事项。 </w:t>
            </w:r>
          </w:p>
          <w:p w14:paraId="7147DB3C">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一条：《闲置土地认定书》下达后，市、县国土资源主管部门应当通过门户网站等形式向社会公开闲置土地的位置、国有建设用地使用权人名称、闲置时间等信息；属于政府或者政府有关部门的行为导致土地闲置的，应当同时公开闲置原因，并书面告知有关政府或者政府部门。上级国土资源主管部门应当及时汇总下级国土资源主管部门上报的闲置土地信息，并在门户网站上公开。闲置土地在没有处置完毕前，相关信息应当长期公开。闲置土地处置完毕后，应当及时撤销相关信息。</w:t>
            </w:r>
          </w:p>
          <w:p w14:paraId="4FF93C20">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二条：因本办法第八条规定情形造成土地闲置的，市、县国土资源主管部门应当与国有建设用地使用权人协商，选择下列方式处置：（一）延长动工开发期限。签订补充协议，重新约定动工开发、竣工期限和违约责任。从补充协议约定的动工开发日期起，延长动工开发期限最长不得超过一年；（二）调整土地用途、规划条件。按照新用途或者新规划条件重新办理相关用地手续，并按照新用途或者新规划条件核算、收缴或者退还土地价款。改变用途后的土地利用必须符合土地利用总体规划和城乡规划；（三）由政府安排临时使用。待原项目具备开发建设条件，国有建设用地使用权人重新开发建设。从安排临时使用之日起，临时使用期限最长不得超过两年；（四）协议有偿收回国有建设用地使用权；（五）置换土地。对已缴清土地价款、落实项目资金，且因规划依法修改造成闲置的，可以为国有建设用地使用权人置换其它价值相当、用途相同的国有建设用地进行开发建设。涉及出让土地的，应当重新签订土地出让合同，并在合同中注明为置换土地；（六）市、县国土资源主管部门还可以根据实际情况规定其他处置方式。除前款第四项规定外，动工开发时间按照新约定、规定的时间重新起算。符合本办法第二条第二款规定情形的闲置土地，依照本条规定的方式处置。</w:t>
            </w:r>
          </w:p>
          <w:p w14:paraId="2D0746DD">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三条：市、县国土资源主管部门与国有建设用地使用权人协商一致后，应当拟订闲置土地处置方案，报本级人民政府批准后实施。闲置土地设有抵押权的，市、县国土资源主管部门在拟订闲置土地处置方案时，应当书面通知相关抵押权人。</w:t>
            </w:r>
          </w:p>
          <w:p w14:paraId="7F40F12A">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四条：除本办法第八条规定情形外，闲置土地按照下列方式处理：（一）未动工开发满一年的，由市、县国土资源主管部门报经本级人民政府批准后，向国有建设用地使用权人下达《征缴土地闲置费决定书》，按照土地出让或者划拨价款的百分之二十征缴土地闲置费。土地闲置费不得列入生产成本；（二）未动工开发满两年的，由市、县国土资源主管部门按照《中华人民共和国土地管理法》第三十七条和《中华人民共和国城市房地产管理法》第二十六条的规定，报经有批准权的人民政府批准后，向国有建设用地使用权人下达《收回国有建设用地使用权决定书》，无偿收回国有建设用地使用权。闲置土地设有抵押权的，同时抄送相关土地抵押权人。</w:t>
            </w:r>
          </w:p>
          <w:p w14:paraId="356224DA">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闲置土地处置办法》（2012年国土资源部令第53号）第二十五条：市、县国土资源主管部门应当将本行政区域内的闲置土地信息按宗录入土地市场动态监测与监管系统备案。闲置土地按照规定处置完毕后，市、县国土资源主管部门应当及时更新该宗土地相关信息。闲置土地未按照规定备案的，不得采取本办法第十二条规定的方式处置。</w:t>
            </w:r>
          </w:p>
          <w:p w14:paraId="688C8BEA">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第二十六条：市、县国土资源主管部门应当将国有建设用地使用权人闲置土地的信息抄送金融监管等部门。</w:t>
            </w:r>
          </w:p>
          <w:p w14:paraId="6E01DF3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部门规章】《闲置土地处置办法》（2012年国土资源部令第53号）第十五条：市、县国土资源主管部门在依照本办法第十四条规定作出征缴土地闲置费、收回国有建设用地使用权决定前，应当书面告知国有建设用地使用权人有申请听证的权利。国有建设用地使用权人要求举行听证的，市、县国土资源主管部门应当依照《国土资源听证规定》依法组织听证。</w:t>
            </w:r>
          </w:p>
        </w:tc>
        <w:tc>
          <w:tcPr>
            <w:tcW w:w="330" w:type="dxa"/>
            <w:vAlign w:val="center"/>
          </w:tcPr>
          <w:p w14:paraId="2DA42462">
            <w:pPr>
              <w:snapToGrid w:val="0"/>
              <w:spacing w:line="240" w:lineRule="atLeast"/>
              <w:jc w:val="center"/>
              <w:rPr>
                <w:rFonts w:ascii="仿宋_GB2312" w:hAnsi="仿宋_GB2312" w:eastAsia="仿宋_GB2312" w:cs="仿宋_GB2312"/>
                <w:sz w:val="20"/>
                <w:szCs w:val="20"/>
              </w:rPr>
            </w:pPr>
          </w:p>
        </w:tc>
      </w:tr>
    </w:tbl>
    <w:p w14:paraId="502E7036"/>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C492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A63A538">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A708796">
            <w:pPr>
              <w:spacing w:line="240" w:lineRule="atLeast"/>
              <w:rPr>
                <w:rFonts w:asciiTheme="majorEastAsia" w:hAnsiTheme="majorEastAsia" w:eastAsiaTheme="majorEastAsia" w:cstheme="majorEastAsia"/>
                <w:spacing w:val="-20"/>
                <w:sz w:val="20"/>
                <w:szCs w:val="20"/>
              </w:rPr>
            </w:pPr>
          </w:p>
          <w:p w14:paraId="094A7B88">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696D5E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D28E0A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814F0E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AA87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23BEAA2">
            <w:pPr>
              <w:spacing w:line="240" w:lineRule="atLeast"/>
              <w:jc w:val="left"/>
              <w:rPr>
                <w:rFonts w:ascii="仿宋_GB2312" w:hAnsi="仿宋_GB2312" w:eastAsia="仿宋_GB2312" w:cs="仿宋_GB2312"/>
                <w:sz w:val="20"/>
                <w:szCs w:val="20"/>
              </w:rPr>
            </w:pPr>
          </w:p>
        </w:tc>
        <w:tc>
          <w:tcPr>
            <w:tcW w:w="555" w:type="dxa"/>
            <w:vMerge w:val="continue"/>
          </w:tcPr>
          <w:p w14:paraId="6F688D8A">
            <w:pPr>
              <w:spacing w:line="240" w:lineRule="atLeast"/>
              <w:jc w:val="left"/>
              <w:rPr>
                <w:rFonts w:ascii="仿宋_GB2312" w:hAnsi="仿宋_GB2312" w:eastAsia="仿宋_GB2312" w:cs="仿宋_GB2312"/>
                <w:sz w:val="20"/>
                <w:szCs w:val="20"/>
              </w:rPr>
            </w:pPr>
          </w:p>
        </w:tc>
        <w:tc>
          <w:tcPr>
            <w:tcW w:w="784" w:type="dxa"/>
            <w:vAlign w:val="center"/>
          </w:tcPr>
          <w:p w14:paraId="484491E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BF035B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1014F3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3E4EAC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FE1FBF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02606A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DF483E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22F657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553709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2422233">
            <w:pPr>
              <w:spacing w:line="240" w:lineRule="atLeast"/>
              <w:jc w:val="left"/>
              <w:rPr>
                <w:rFonts w:ascii="仿宋_GB2312" w:hAnsi="仿宋_GB2312" w:eastAsia="仿宋_GB2312" w:cs="仿宋_GB2312"/>
                <w:sz w:val="20"/>
                <w:szCs w:val="20"/>
              </w:rPr>
            </w:pPr>
          </w:p>
        </w:tc>
      </w:tr>
      <w:tr w14:paraId="5CE89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1E736B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187</w:t>
            </w:r>
          </w:p>
        </w:tc>
        <w:tc>
          <w:tcPr>
            <w:tcW w:w="555" w:type="dxa"/>
            <w:vAlign w:val="center"/>
          </w:tcPr>
          <w:p w14:paraId="21BDB2F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行政征收</w:t>
            </w:r>
          </w:p>
        </w:tc>
        <w:tc>
          <w:tcPr>
            <w:tcW w:w="784" w:type="dxa"/>
            <w:vAlign w:val="center"/>
          </w:tcPr>
          <w:p w14:paraId="32B6A51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测绘成果使用费征收</w:t>
            </w:r>
          </w:p>
        </w:tc>
        <w:tc>
          <w:tcPr>
            <w:tcW w:w="660" w:type="dxa"/>
            <w:vAlign w:val="center"/>
          </w:tcPr>
          <w:p w14:paraId="4426D4CB">
            <w:pPr>
              <w:snapToGrid w:val="0"/>
              <w:spacing w:line="240" w:lineRule="atLeast"/>
              <w:jc w:val="center"/>
              <w:rPr>
                <w:rFonts w:ascii="仿宋_GB2312" w:hAnsi="仿宋_GB2312" w:eastAsia="仿宋_GB2312" w:cs="仿宋_GB2312"/>
                <w:sz w:val="20"/>
                <w:szCs w:val="20"/>
              </w:rPr>
            </w:pPr>
          </w:p>
        </w:tc>
        <w:tc>
          <w:tcPr>
            <w:tcW w:w="615" w:type="dxa"/>
            <w:vAlign w:val="center"/>
          </w:tcPr>
          <w:p w14:paraId="42257B6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BDB1F9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测绘地理信息管理科（测绘地理信息局）</w:t>
            </w:r>
          </w:p>
        </w:tc>
        <w:tc>
          <w:tcPr>
            <w:tcW w:w="4605" w:type="dxa"/>
            <w:vAlign w:val="center"/>
          </w:tcPr>
          <w:p w14:paraId="2FA1B5E0">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1.【法律】《中华人民共和国测绘法》第三十六条：基础测绘成果和国家投资完成的其他测绘成果，用于政府决策、国防建设和公共服务的，应当无偿提供。</w:t>
            </w:r>
          </w:p>
          <w:p w14:paraId="70C656DA">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除前款规定情形外，测绘成果依法实行有偿使用制度。但是，各级人民政府及有关部门和军队因防灾减灾、应对突发事件、维护国家安全等公共利益的需要，可以无偿使用。</w:t>
            </w:r>
          </w:p>
          <w:p w14:paraId="2A070090">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测绘成果使用的具体办法由国务院规定。</w:t>
            </w:r>
          </w:p>
          <w:p w14:paraId="1411AF52">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2.【行政法规】《中华人民共和国测绘成果管理条例》（2006年国务院令第469号）第十九条：基础测绘成果和财政投资完成的其他测绘成果，用于国家机关决策和社会公益性事业的，应当无偿提供。</w:t>
            </w:r>
          </w:p>
          <w:p w14:paraId="26B1AAFA">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除前款规定外，测绘成果依法实行有偿使用制度。但是，各级人民政府及其有关部门和军队因防灾、减灾、国防建设等公共利益的需要，可以无偿使用测绘成果。</w:t>
            </w:r>
          </w:p>
          <w:p w14:paraId="29DD6A8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依法有偿使用测绘成果的，使用人与测绘项目出资人应当签订书面协议，明确双方的权利和义务。</w:t>
            </w:r>
          </w:p>
        </w:tc>
        <w:tc>
          <w:tcPr>
            <w:tcW w:w="3585" w:type="dxa"/>
            <w:vAlign w:val="center"/>
          </w:tcPr>
          <w:p w14:paraId="187F4636">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1.受理责任：公示测绘成果使用费征收需要提交的全部材料的目录，自收到申请材料5个工作日内作出不予受理、补正材料或者予以受理的决定。</w:t>
            </w:r>
          </w:p>
          <w:p w14:paraId="77F3C0B4">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责任：审核材料的准确性和真实性，提出审查意见。基础测绘成果和财政投资完成的其他测绘成果，用于国家机关决策和社会公益性事业的，应当无偿提供。除前款规定外，测绘成果依法实行有偿使用制度。但是，各级人民政府及其有关部门和军队因防灾、减灾、国防建设等公共利益的需要，可以无偿使用测绘成果。依法有偿使用测绘成果的，使用人与测绘项目出资人应当签订书面协议，明确双方的权利和义务。</w:t>
            </w:r>
          </w:p>
          <w:p w14:paraId="4B442599">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3.决定责任：做出审核决定，开具缴费凭证。</w:t>
            </w:r>
          </w:p>
          <w:p w14:paraId="7AB0B0C1">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4．监管责任：建立涉密基础测绘成果资料提供使用档案，加强涉密基础测绘成果资料提供使用监督检查，保护测绘地理信息资源免遭破坏；</w:t>
            </w:r>
          </w:p>
          <w:p w14:paraId="2DEF6E1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17064D26">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中华人民共和国测绘成果管理条例》（2006年国务院令第469号）第十七条：法人或者其他组织需要利用属于国家秘密的基础测绘成果的，应当提出明确的利用目的和范围，报测绘成果所在地的测绘行政主管部门审批。测绘行政主管部门审查同意的，应当以书面形式告知测绘成果的秘密等级、保密要求以及相关著作权保护要求。</w:t>
            </w:r>
          </w:p>
          <w:p w14:paraId="7268D9E1">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测绘成果管理条例》（2006年国务院令第469号）第十九条：基础测绘成果和财政投资完成的其他测绘成果，用于国家机关决策和社会公益性事业的，应当无偿提供。除前款规定外，测绘成果依法实行有偿使用制度。但是，各级人民政府及其有关部门和军队因防灾、减灾、国防建设等公共利益的需要，可以无偿使用测绘成果。依法有偿使用测绘成果的，使用人与测绘项目出资人应当签订书面协议，明确双方的权利和义务。</w:t>
            </w:r>
          </w:p>
          <w:p w14:paraId="7DF16EDD">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3.【规范性文件】《财政部 国家发展改革委关于清理规范一批行政事业收费有关政策的通知》（财税〔2017〕20号）自2017年4月1日起，取消或停征41项中央设立的行政事业性收费（具体项目见附件）。即附件第一点取消或停征的涉行政事业性收费第23项测绘成果成图资料收费。</w:t>
            </w:r>
          </w:p>
          <w:p w14:paraId="42DAB49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行政法规】《中华人民共和国测绘成果管理条例》（2006年国务院令第469号）第三条：国务院测绘行政主管部门负责全国测绘成果工作的统一监督管理。国务院其他有关部门按照职责分工，负责本部门有关的测绘成果工作。县级以上地方人民政府负责管理测绘工作的部门（以下称测绘行政主管部门）负责本行政区域测绘成果工作的统一监督管理。县级以上地方人民政府其他有关部门按照职责分工，负责本部门有关的测绘成果工作。</w:t>
            </w:r>
          </w:p>
        </w:tc>
        <w:tc>
          <w:tcPr>
            <w:tcW w:w="330" w:type="dxa"/>
            <w:vAlign w:val="center"/>
          </w:tcPr>
          <w:p w14:paraId="465A2511">
            <w:pPr>
              <w:snapToGrid w:val="0"/>
              <w:spacing w:line="240" w:lineRule="atLeast"/>
              <w:jc w:val="center"/>
              <w:rPr>
                <w:rFonts w:ascii="仿宋_GB2312" w:hAnsi="仿宋_GB2312" w:eastAsia="仿宋_GB2312" w:cs="仿宋_GB2312"/>
                <w:sz w:val="20"/>
                <w:szCs w:val="20"/>
              </w:rPr>
            </w:pPr>
          </w:p>
        </w:tc>
      </w:tr>
    </w:tbl>
    <w:p w14:paraId="3FFA0861"/>
    <w:p w14:paraId="10E4B0D9"/>
    <w:p w14:paraId="66F7716E"/>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6690"/>
        <w:gridCol w:w="3000"/>
        <w:gridCol w:w="8015"/>
        <w:gridCol w:w="330"/>
      </w:tblGrid>
      <w:tr w14:paraId="0C453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77BEE4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05CB405">
            <w:pPr>
              <w:spacing w:line="240" w:lineRule="atLeast"/>
              <w:rPr>
                <w:rFonts w:asciiTheme="majorEastAsia" w:hAnsiTheme="majorEastAsia" w:eastAsiaTheme="majorEastAsia" w:cstheme="majorEastAsia"/>
                <w:spacing w:val="-20"/>
                <w:sz w:val="20"/>
                <w:szCs w:val="20"/>
              </w:rPr>
            </w:pPr>
          </w:p>
          <w:p w14:paraId="23A3268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9859" w:type="dxa"/>
            <w:gridSpan w:val="5"/>
            <w:vAlign w:val="center"/>
          </w:tcPr>
          <w:p w14:paraId="2314AF0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015" w:type="dxa"/>
            <w:gridSpan w:val="2"/>
            <w:vAlign w:val="center"/>
          </w:tcPr>
          <w:p w14:paraId="47FBD97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AFD298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5101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12641D2">
            <w:pPr>
              <w:spacing w:line="240" w:lineRule="atLeast"/>
              <w:jc w:val="left"/>
              <w:rPr>
                <w:rFonts w:ascii="仿宋_GB2312" w:hAnsi="仿宋_GB2312" w:eastAsia="仿宋_GB2312" w:cs="仿宋_GB2312"/>
                <w:sz w:val="20"/>
                <w:szCs w:val="20"/>
              </w:rPr>
            </w:pPr>
          </w:p>
        </w:tc>
        <w:tc>
          <w:tcPr>
            <w:tcW w:w="555" w:type="dxa"/>
            <w:vMerge w:val="continue"/>
          </w:tcPr>
          <w:p w14:paraId="665006D4">
            <w:pPr>
              <w:spacing w:line="240" w:lineRule="atLeast"/>
              <w:jc w:val="left"/>
              <w:rPr>
                <w:rFonts w:ascii="仿宋_GB2312" w:hAnsi="仿宋_GB2312" w:eastAsia="仿宋_GB2312" w:cs="仿宋_GB2312"/>
                <w:sz w:val="20"/>
                <w:szCs w:val="20"/>
              </w:rPr>
            </w:pPr>
          </w:p>
        </w:tc>
        <w:tc>
          <w:tcPr>
            <w:tcW w:w="784" w:type="dxa"/>
            <w:vAlign w:val="center"/>
          </w:tcPr>
          <w:p w14:paraId="40AFEAB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4C2A21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5F23E4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6C0AB0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7B622C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690" w:type="dxa"/>
            <w:vAlign w:val="center"/>
          </w:tcPr>
          <w:p w14:paraId="49378C4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000" w:type="dxa"/>
            <w:vAlign w:val="center"/>
          </w:tcPr>
          <w:p w14:paraId="799AC1A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8A6B3F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8015" w:type="dxa"/>
            <w:vAlign w:val="center"/>
          </w:tcPr>
          <w:p w14:paraId="28BC589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0952A56">
            <w:pPr>
              <w:spacing w:line="240" w:lineRule="atLeast"/>
              <w:jc w:val="left"/>
              <w:rPr>
                <w:rFonts w:ascii="仿宋_GB2312" w:hAnsi="仿宋_GB2312" w:eastAsia="仿宋_GB2312" w:cs="仿宋_GB2312"/>
                <w:sz w:val="20"/>
                <w:szCs w:val="20"/>
              </w:rPr>
            </w:pPr>
          </w:p>
        </w:tc>
      </w:tr>
      <w:tr w14:paraId="01535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2E85FF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188</w:t>
            </w:r>
          </w:p>
        </w:tc>
        <w:tc>
          <w:tcPr>
            <w:tcW w:w="555" w:type="dxa"/>
            <w:vAlign w:val="center"/>
          </w:tcPr>
          <w:p w14:paraId="5BF4561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行政征                      收</w:t>
            </w:r>
          </w:p>
        </w:tc>
        <w:tc>
          <w:tcPr>
            <w:tcW w:w="784" w:type="dxa"/>
            <w:vAlign w:val="center"/>
          </w:tcPr>
          <w:p w14:paraId="15541FE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国有土地使用权出让征收</w:t>
            </w:r>
          </w:p>
        </w:tc>
        <w:tc>
          <w:tcPr>
            <w:tcW w:w="660" w:type="dxa"/>
            <w:vAlign w:val="center"/>
          </w:tcPr>
          <w:p w14:paraId="0C39C0B0">
            <w:pPr>
              <w:snapToGrid w:val="0"/>
              <w:spacing w:line="240" w:lineRule="atLeast"/>
              <w:jc w:val="center"/>
              <w:rPr>
                <w:rFonts w:ascii="仿宋_GB2312" w:hAnsi="仿宋_GB2312" w:eastAsia="仿宋_GB2312" w:cs="仿宋_GB2312"/>
                <w:sz w:val="20"/>
                <w:szCs w:val="20"/>
              </w:rPr>
            </w:pPr>
          </w:p>
        </w:tc>
        <w:tc>
          <w:tcPr>
            <w:tcW w:w="615" w:type="dxa"/>
            <w:vAlign w:val="center"/>
          </w:tcPr>
          <w:p w14:paraId="2A4D321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610D7B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p w14:paraId="7147DEF2">
            <w:pPr>
              <w:pStyle w:val="2"/>
              <w:rPr>
                <w:color w:val="FF0000"/>
              </w:rPr>
            </w:pPr>
            <w:r>
              <w:rPr>
                <w:rFonts w:hint="eastAsia"/>
                <w:color w:val="FF0000"/>
              </w:rPr>
              <w:t>及自然资源开发利用科</w:t>
            </w:r>
          </w:p>
        </w:tc>
        <w:tc>
          <w:tcPr>
            <w:tcW w:w="6690" w:type="dxa"/>
            <w:vAlign w:val="center"/>
          </w:tcPr>
          <w:p w14:paraId="7C6E9B14">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1.【法律】《中华人民共和国土地管理法》第五条：国务院自然资源主管部门统一负责全国土地的管理和监督工作。</w:t>
            </w:r>
          </w:p>
          <w:p w14:paraId="5DD84152">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县级以上地方人民政府自然资源主管部门的设置及其职责，由省、自治区、直辖市人民政府根据国务院有关规定确定。</w:t>
            </w:r>
          </w:p>
          <w:p w14:paraId="79387609">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第五十五条：以出让等有偿使用方式取得国有土地使用权的建设单位，按照国务院规定的标准和办法，缴纳土地使用权出让金等土地有偿使用费和其他费用后，方可使用土地。</w:t>
            </w:r>
          </w:p>
          <w:p w14:paraId="5796BEA3">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自本法施行之日起，新增建设用地的土地有偿使用费，百分之三十上缴中央财政，百分之七十留给有关地方人民政府。具体使用管理办法由国务院财政部门会同有关部门制定，并报国务院批准。</w:t>
            </w:r>
          </w:p>
          <w:p w14:paraId="6D3B9C36">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城镇房地产管理法》第四十条：以划拨方式取得的土地使用权的，转让房地产时，应当按照国务院规定，报有批准权的人民政府审批。有批准权的人民政府准予转让的，应当由受让方办理土地使用权出让手续，并依照国家有关规定缴纳土地使用权出让金。</w:t>
            </w:r>
          </w:p>
          <w:p w14:paraId="32A2F29F">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以划拨方式取得的土地使用权的，转让房地产报批时，由批准的人民政府按照国务院规定决定可以不办理土地土地使用权出让手续的，转让方应该按照国务院规定将转让房地产所获收益中的土地收益上缴国家或者作其他处理。</w:t>
            </w:r>
          </w:p>
          <w:p w14:paraId="34FFD596">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3.【规范性文件】财政部、国土资源部、中国人民银行、监察部、审计署等《关于进一步加强土地出让收支管理的通知》（财综﹝2009﹞74号）二、加强征收管理，保障土地出让收入及时足额征收和缴入地方国库 保障土地出让收入及时足额缴入地方国库，是落实土地出让收支纳入地方基金预算管理的基础。除国务院有明确规定以外，任何地区和部门均不得减免缓缴或者变相减免土地出让收入。市县财政、国土资源管理部门、人民银行分支机构要各负其责，加强土地出让收入征管，确保土地出让收入及时足额缴入地方国库。</w:t>
            </w:r>
          </w:p>
          <w:p w14:paraId="1456794A">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严格土地出让收入征收管理。市县国土资源管理部门在国有土地出让合同、租赁合同、划拨决定书中，必须明确土地出让价款、租金和划拨土地价款的总额、缴付时间和缴付方式；对于经依法批准改变土地用途等土地使用条件的，市县国土资源管理部门必须在土地出让或租赁合同中明确应补缴的土地价款，缴款人应及时按合同有关规定缴款。对于未按规定缴清全部土地价款的单位或个人，市县国土资源管理部门不得核发国有土地使用证，也不得按土地价款缴纳比例分割发证。</w:t>
            </w:r>
          </w:p>
          <w:p w14:paraId="111E43C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二）确保土地出让收入及时入库。土地出让收入原则上采取就地直接缴库方式，商业银行应当把收缴的土地出让收入及时足额划转地方国库。市县财政部门已将土地出让收入收缴至非税收入汇缴专户的，要严格执行10个工作日划转地方国库的规定，不得超时滞留已收缴的土地出让收入。对于不按规定将已收缴的土地出让收入及时划转地方国库的，省级财政、国土资源管理、人民银行分支机构、监察、审计部门要予以纠正，并在全省范围内通报批评。各级人民银行分支机构要加强对商业银行代收土地出让收入业务的检查监督与管理。</w:t>
            </w:r>
          </w:p>
        </w:tc>
        <w:tc>
          <w:tcPr>
            <w:tcW w:w="3000" w:type="dxa"/>
            <w:vAlign w:val="center"/>
          </w:tcPr>
          <w:p w14:paraId="30B90AF0">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1.受理阶段责任：依法应当提交的材料：一次性告知补正材料，依法受理或不予受理（不予受理应当告知理由）。</w:t>
            </w:r>
          </w:p>
          <w:p w14:paraId="29EA2D99">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2.审核阶段责任：审查征收对象是否符合相关政府及相关部门规定的征收标准，符合减免要求的，应当予以减免。</w:t>
            </w:r>
          </w:p>
          <w:p w14:paraId="2932BDC8">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3.确定阶段责任：对需缴费的开票征收，缴入国库。</w:t>
            </w:r>
          </w:p>
          <w:p w14:paraId="1E81B43B">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4.事后监管责任：依法缴纳土地出让价款方可办理土地登记。</w:t>
            </w:r>
          </w:p>
          <w:p w14:paraId="1062195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8015" w:type="dxa"/>
            <w:vAlign w:val="center"/>
          </w:tcPr>
          <w:p w14:paraId="1BE95E5E">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规范性文件】《广西壮族自治区人民政府办公厅关于规范国有土地使用权出让收支管理的通知》（桂政办发〔2007〕97号）（二）国有土地使用权出让收入（以下简称土地出让收入）是指政府以出让等方式配置国有土地使用权取得的全部土地价款，包括受让人支付的征地和拆迁补偿费用、土地前期开发费用和土地出让收益等。土地价款的具体范围包括：以招标、拍卖、挂牌和协议方式出让国有土地使用权所确定的总成交价款；转让划拨国有土地使用权或依法利用原划拨土地进行经营性建设应当补缴的土地价款；变现处置抵押划拨国有土地使用权应当补缴的土地价款；转让房改房、经济适用住房按照规定应当补缴的土地价款；改变出让国有土地使用权的土地用途、容积率等土地使用条件应当补缴的土地价款，以及其他和国有土地使用权出让或变更有关的收入等。按照土地出让合同规定依法向受让人收取的定金、保证金和预付款，在土地出让合同生效后可以抵作土地价款。</w:t>
            </w:r>
          </w:p>
          <w:p w14:paraId="51B2D8EC">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国土资源管理部门依法出租国有土地向承租者收取的土地租金收入；出租划拨土地上的房屋应当上缴的土地收益；土地使用者以划拨方式取得国有土地使用权，依法向市、县人民政府缴纳的土地补偿费、安置补助费、地上附着物和青苗补偿费、拆迁补偿费等费用（不含征地管理费）；在土地招标、拍卖、挂牌和协议出让过程中按规定收取的违约金，一并纳入土地出让收入管理。</w:t>
            </w:r>
          </w:p>
          <w:p w14:paraId="061CA73B">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规范性文件】《国有土地使用权出让收支管理办法》（财政部2006年12月31日财综[2006]68号）第七条：土地出让收入征收部门根据土地出让合同和划拨用地批准文件，开具缴款通知书，并按照财政部统一规定的政府收支分类科目填写“一般缴款书”，由国有土地使用权受让人依法缴纳土地出让收入。国有土地使用权受让人应按照缴款通知书的要求，在规定的时间内将应缴地方国库的土地出让收入，就地及时足额缴入地方国库。缴款通知书应当明确供应土地的面积、土地出让收入总额以及依法分期缴纳地方国库的具体数额和时限等。</w:t>
            </w:r>
          </w:p>
          <w:p w14:paraId="06BE5099">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广西壮族自治区人民政府办公厅关于规范国有土地使用权出让收支管理的通知》（桂政办发〔2007〕97号）（三）土地出让收入由财政部门负责征收管理，可由国土资源管理部门负责具体征收。国土资源管理部门和财政部门应当督促土地使用者严格履行土地出让合同，确保将应缴的土地出让收入及时足额缴入地方国库。地方国库负责办理土地出让收入的收纳、划分、留解和拨付等各项业务，确保土地出让收支数据准确无误。对未按照合同约定足额缴纳土地出让收入，并提供有效缴款凭证的，国土资源管理部门不予核发国有土地使用证。要完善制度规定，对违规核发国有土地使用证的，收回土地使用证，并依照有关法律法规追究有关领导和人员的责任。已经实施政府非税收入收缴管理制度改革的市、县，土地出让收入纳入政府非税收入收缴管理制度改革范围，统一收缴票据，规范收缴程序，提高收缴效率。</w:t>
            </w:r>
          </w:p>
          <w:p w14:paraId="5A7ED4C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规范性文件】《国有土地使用权出让收支管理办法》（财政部2006年12月31日财综[2006]68号）第九条：市、县国土资源管理部门和财政部门应当督促国有土地使用权受让人严格履行国有土地出让合同，确保将应缴国库的土地出让收入及时足额缴入地方国库。对未按照缴款通知书规定及时足额缴纳土地出让收入，并提供有效缴款凭证的，国土资源管理部门不予核发国有土地使用证。国土资源管理部门要完善制度规定，对违规核发国有土地使用证的，应予收回和注销，并依照有关法律法规追究有关领导和人员的责任。</w:t>
            </w:r>
          </w:p>
        </w:tc>
        <w:tc>
          <w:tcPr>
            <w:tcW w:w="330" w:type="dxa"/>
            <w:vAlign w:val="center"/>
          </w:tcPr>
          <w:p w14:paraId="576F72D0">
            <w:pPr>
              <w:snapToGrid w:val="0"/>
              <w:spacing w:line="240" w:lineRule="atLeast"/>
              <w:jc w:val="center"/>
              <w:rPr>
                <w:rFonts w:ascii="仿宋_GB2312" w:hAnsi="仿宋_GB2312" w:eastAsia="仿宋_GB2312" w:cs="仿宋_GB2312"/>
                <w:sz w:val="20"/>
                <w:szCs w:val="20"/>
              </w:rPr>
            </w:pPr>
          </w:p>
        </w:tc>
      </w:tr>
    </w:tbl>
    <w:p w14:paraId="257A4AA8"/>
    <w:p w14:paraId="2ECC832F"/>
    <w:p w14:paraId="687244F4"/>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D031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03291A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487DBB4">
            <w:pPr>
              <w:spacing w:line="240" w:lineRule="atLeast"/>
              <w:rPr>
                <w:rFonts w:asciiTheme="majorEastAsia" w:hAnsiTheme="majorEastAsia" w:eastAsiaTheme="majorEastAsia" w:cstheme="majorEastAsia"/>
                <w:spacing w:val="-20"/>
                <w:sz w:val="20"/>
                <w:szCs w:val="20"/>
              </w:rPr>
            </w:pPr>
          </w:p>
          <w:p w14:paraId="76F8E4C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66DFD3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13C770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53C1D6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3342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3FEEBA3">
            <w:pPr>
              <w:spacing w:line="240" w:lineRule="atLeast"/>
              <w:jc w:val="left"/>
              <w:rPr>
                <w:rFonts w:ascii="仿宋_GB2312" w:hAnsi="仿宋_GB2312" w:eastAsia="仿宋_GB2312" w:cs="仿宋_GB2312"/>
                <w:sz w:val="20"/>
                <w:szCs w:val="20"/>
              </w:rPr>
            </w:pPr>
          </w:p>
        </w:tc>
        <w:tc>
          <w:tcPr>
            <w:tcW w:w="555" w:type="dxa"/>
            <w:vMerge w:val="continue"/>
          </w:tcPr>
          <w:p w14:paraId="4C92DD2F">
            <w:pPr>
              <w:spacing w:line="240" w:lineRule="atLeast"/>
              <w:jc w:val="left"/>
              <w:rPr>
                <w:rFonts w:ascii="仿宋_GB2312" w:hAnsi="仿宋_GB2312" w:eastAsia="仿宋_GB2312" w:cs="仿宋_GB2312"/>
                <w:sz w:val="20"/>
                <w:szCs w:val="20"/>
              </w:rPr>
            </w:pPr>
          </w:p>
        </w:tc>
        <w:tc>
          <w:tcPr>
            <w:tcW w:w="784" w:type="dxa"/>
            <w:vAlign w:val="center"/>
          </w:tcPr>
          <w:p w14:paraId="7340425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FF1B8B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387C0E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B3D5BB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3AE0A5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E0030E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16B497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EB0012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F32134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74B00CA">
            <w:pPr>
              <w:spacing w:line="240" w:lineRule="atLeast"/>
              <w:jc w:val="left"/>
              <w:rPr>
                <w:rFonts w:ascii="仿宋_GB2312" w:hAnsi="仿宋_GB2312" w:eastAsia="仿宋_GB2312" w:cs="仿宋_GB2312"/>
                <w:sz w:val="20"/>
                <w:szCs w:val="20"/>
              </w:rPr>
            </w:pPr>
          </w:p>
        </w:tc>
      </w:tr>
      <w:tr w14:paraId="3B793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8E6546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189</w:t>
            </w:r>
          </w:p>
        </w:tc>
        <w:tc>
          <w:tcPr>
            <w:tcW w:w="555" w:type="dxa"/>
            <w:vAlign w:val="center"/>
          </w:tcPr>
          <w:p w14:paraId="2B4AD97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行政征收</w:t>
            </w:r>
          </w:p>
        </w:tc>
        <w:tc>
          <w:tcPr>
            <w:tcW w:w="784" w:type="dxa"/>
            <w:vAlign w:val="center"/>
          </w:tcPr>
          <w:p w14:paraId="0C60B1B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矿产资源采矿登记费征收</w:t>
            </w:r>
          </w:p>
        </w:tc>
        <w:tc>
          <w:tcPr>
            <w:tcW w:w="660" w:type="dxa"/>
            <w:vAlign w:val="center"/>
          </w:tcPr>
          <w:p w14:paraId="4EDCA007">
            <w:pPr>
              <w:snapToGrid w:val="0"/>
              <w:spacing w:line="240" w:lineRule="atLeast"/>
              <w:jc w:val="center"/>
              <w:rPr>
                <w:rFonts w:ascii="仿宋_GB2312" w:hAnsi="仿宋_GB2312" w:eastAsia="仿宋_GB2312" w:cs="仿宋_GB2312"/>
                <w:sz w:val="20"/>
                <w:szCs w:val="20"/>
              </w:rPr>
            </w:pPr>
          </w:p>
        </w:tc>
        <w:tc>
          <w:tcPr>
            <w:tcW w:w="615" w:type="dxa"/>
            <w:vAlign w:val="center"/>
          </w:tcPr>
          <w:p w14:paraId="7AC380C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04296F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color w:val="FF0000"/>
                <w:sz w:val="20"/>
                <w:szCs w:val="20"/>
              </w:rPr>
              <w:t>地质勘查和矿产资源保护监督科</w:t>
            </w:r>
          </w:p>
        </w:tc>
        <w:tc>
          <w:tcPr>
            <w:tcW w:w="4605" w:type="dxa"/>
            <w:vAlign w:val="center"/>
          </w:tcPr>
          <w:p w14:paraId="4E952A8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矿产资源开采登记管理办法》（1998年国务院令第241号发布施行，2014年国务院令第653号修订）第二十七条：办理采矿登记手续，应当按照规定缴纳登记费。收费标准和管理、使用办法，由国务院物价主管部门会同国务院地质矿产主管部门、财政部门规定。</w:t>
            </w:r>
          </w:p>
        </w:tc>
        <w:tc>
          <w:tcPr>
            <w:tcW w:w="3585" w:type="dxa"/>
            <w:vAlign w:val="center"/>
          </w:tcPr>
          <w:p w14:paraId="14CA29CD">
            <w:pPr>
              <w:widowControl/>
              <w:adjustRightInd w:val="0"/>
              <w:snapToGrid w:val="0"/>
              <w:spacing w:line="26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1.监管责任：自治区自然资源厅自然资源主管部门有权对暂停征收矿产资源勘查登记费、采矿登记费的执行情况进行检查。</w:t>
            </w:r>
          </w:p>
          <w:p w14:paraId="54F3D35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2.其他法律法规规章文件规定应履行的责任。</w:t>
            </w:r>
          </w:p>
        </w:tc>
        <w:tc>
          <w:tcPr>
            <w:tcW w:w="9515" w:type="dxa"/>
            <w:vAlign w:val="center"/>
          </w:tcPr>
          <w:p w14:paraId="3B90F685">
            <w:pPr>
              <w:widowControl/>
              <w:adjustRightInd w:val="0"/>
              <w:snapToGrid w:val="0"/>
              <w:spacing w:line="26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1.【规范性文件】财政部 国家发展改革委《关于取消、停征和免征一批行政事业性收费的通知》（财税〔2014〕101号）第一条：自2015年1月1日起，暂停征收12项中央级设立的行政事业性收费（含矿产资源勘查登记费、采矿登记费）。</w:t>
            </w:r>
          </w:p>
          <w:p w14:paraId="3893CA8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第五条：对上述取消、停征和免征的行政事业性收费，各地区和有关部门不得以任何理由拖延或者拒绝执行，不得以其他名目或者转为经营服务性收费方式变相继续收费。</w:t>
            </w:r>
          </w:p>
        </w:tc>
        <w:tc>
          <w:tcPr>
            <w:tcW w:w="330" w:type="dxa"/>
            <w:vAlign w:val="center"/>
          </w:tcPr>
          <w:p w14:paraId="2372BEB5">
            <w:pPr>
              <w:snapToGrid w:val="0"/>
              <w:spacing w:line="240" w:lineRule="atLeast"/>
              <w:jc w:val="center"/>
              <w:rPr>
                <w:rFonts w:ascii="仿宋_GB2312" w:hAnsi="仿宋_GB2312" w:eastAsia="仿宋_GB2312" w:cs="仿宋_GB2312"/>
                <w:sz w:val="20"/>
                <w:szCs w:val="20"/>
              </w:rPr>
            </w:pPr>
          </w:p>
        </w:tc>
      </w:tr>
    </w:tbl>
    <w:p w14:paraId="233CDFAD"/>
    <w:p w14:paraId="7BBF554C"/>
    <w:p w14:paraId="3DE053AA"/>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D2AC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1AF97F7">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9146A0D">
            <w:pPr>
              <w:spacing w:line="240" w:lineRule="atLeast"/>
              <w:rPr>
                <w:rFonts w:asciiTheme="majorEastAsia" w:hAnsiTheme="majorEastAsia" w:eastAsiaTheme="majorEastAsia" w:cstheme="majorEastAsia"/>
                <w:spacing w:val="-20"/>
                <w:sz w:val="20"/>
                <w:szCs w:val="20"/>
              </w:rPr>
            </w:pPr>
          </w:p>
          <w:p w14:paraId="4E4F5BC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D130A2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C906C2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F6275D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BAB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F98497D">
            <w:pPr>
              <w:spacing w:line="240" w:lineRule="atLeast"/>
              <w:jc w:val="left"/>
              <w:rPr>
                <w:rFonts w:ascii="仿宋_GB2312" w:hAnsi="仿宋_GB2312" w:eastAsia="仿宋_GB2312" w:cs="仿宋_GB2312"/>
                <w:sz w:val="20"/>
                <w:szCs w:val="20"/>
              </w:rPr>
            </w:pPr>
          </w:p>
        </w:tc>
        <w:tc>
          <w:tcPr>
            <w:tcW w:w="555" w:type="dxa"/>
            <w:vMerge w:val="continue"/>
          </w:tcPr>
          <w:p w14:paraId="542A9536">
            <w:pPr>
              <w:spacing w:line="240" w:lineRule="atLeast"/>
              <w:jc w:val="left"/>
              <w:rPr>
                <w:rFonts w:ascii="仿宋_GB2312" w:hAnsi="仿宋_GB2312" w:eastAsia="仿宋_GB2312" w:cs="仿宋_GB2312"/>
                <w:sz w:val="20"/>
                <w:szCs w:val="20"/>
              </w:rPr>
            </w:pPr>
          </w:p>
        </w:tc>
        <w:tc>
          <w:tcPr>
            <w:tcW w:w="784" w:type="dxa"/>
            <w:vAlign w:val="center"/>
          </w:tcPr>
          <w:p w14:paraId="249BA44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E52F5B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002BDC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84ACB8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35CCD7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8A778F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D3DF0F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BEFA18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28B0E2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C7A6A6F">
            <w:pPr>
              <w:spacing w:line="240" w:lineRule="atLeast"/>
              <w:jc w:val="left"/>
              <w:rPr>
                <w:rFonts w:ascii="仿宋_GB2312" w:hAnsi="仿宋_GB2312" w:eastAsia="仿宋_GB2312" w:cs="仿宋_GB2312"/>
                <w:sz w:val="20"/>
                <w:szCs w:val="20"/>
              </w:rPr>
            </w:pPr>
          </w:p>
        </w:tc>
      </w:tr>
      <w:tr w14:paraId="5D2DD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DC3BA7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190</w:t>
            </w:r>
          </w:p>
        </w:tc>
        <w:tc>
          <w:tcPr>
            <w:tcW w:w="555" w:type="dxa"/>
            <w:vAlign w:val="center"/>
          </w:tcPr>
          <w:p w14:paraId="7B8A7AC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行政征收</w:t>
            </w:r>
          </w:p>
        </w:tc>
        <w:tc>
          <w:tcPr>
            <w:tcW w:w="784" w:type="dxa"/>
            <w:vAlign w:val="center"/>
          </w:tcPr>
          <w:p w14:paraId="1A6BA59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采矿权使用费及矿业权出让收益征收</w:t>
            </w:r>
          </w:p>
        </w:tc>
        <w:tc>
          <w:tcPr>
            <w:tcW w:w="660" w:type="dxa"/>
            <w:vAlign w:val="center"/>
          </w:tcPr>
          <w:p w14:paraId="17A730F3">
            <w:pPr>
              <w:snapToGrid w:val="0"/>
              <w:spacing w:line="240" w:lineRule="atLeast"/>
              <w:jc w:val="center"/>
              <w:rPr>
                <w:rFonts w:ascii="仿宋_GB2312" w:hAnsi="仿宋_GB2312" w:eastAsia="仿宋_GB2312" w:cs="仿宋_GB2312"/>
                <w:sz w:val="20"/>
                <w:szCs w:val="20"/>
              </w:rPr>
            </w:pPr>
          </w:p>
        </w:tc>
        <w:tc>
          <w:tcPr>
            <w:tcW w:w="615" w:type="dxa"/>
            <w:vAlign w:val="center"/>
          </w:tcPr>
          <w:p w14:paraId="5F80738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BECE6D3">
            <w:pPr>
              <w:snapToGrid w:val="0"/>
              <w:spacing w:line="240" w:lineRule="atLeast"/>
              <w:jc w:val="center"/>
              <w:rPr>
                <w:rFonts w:ascii="仿宋_GB2312" w:hAnsi="仿宋_GB2312" w:eastAsia="仿宋_GB2312" w:cs="仿宋_GB2312"/>
                <w:color w:val="FF0000"/>
                <w:sz w:val="20"/>
                <w:szCs w:val="20"/>
              </w:rPr>
            </w:pPr>
            <w:r>
              <w:rPr>
                <w:rFonts w:hint="eastAsia" w:ascii="仿宋_GB2312" w:hAnsi="仿宋_GB2312" w:eastAsia="仿宋_GB2312" w:cs="仿宋_GB2312"/>
                <w:color w:val="FF0000"/>
                <w:sz w:val="20"/>
                <w:szCs w:val="20"/>
              </w:rPr>
              <w:t>地质勘查和矿产资源保护监督科</w:t>
            </w:r>
          </w:p>
        </w:tc>
        <w:tc>
          <w:tcPr>
            <w:tcW w:w="4605" w:type="dxa"/>
            <w:vAlign w:val="center"/>
          </w:tcPr>
          <w:p w14:paraId="15339A2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法律】《中华人民共和国矿产资源法》第五条：国家实行探矿权、采矿权有偿取得的制度；但是，国家对探矿权、采矿权有偿取得的费用，可以根据不同情况规定予以减缴、免缴。具体办法和实施步骤由国务院规定。</w:t>
            </w:r>
          </w:p>
        </w:tc>
        <w:tc>
          <w:tcPr>
            <w:tcW w:w="3585" w:type="dxa"/>
            <w:vAlign w:val="center"/>
          </w:tcPr>
          <w:p w14:paraId="65198F25">
            <w:pPr>
              <w:widowControl/>
              <w:adjustRightInd w:val="0"/>
              <w:snapToGrid w:val="0"/>
              <w:spacing w:line="26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1.受理责任：依法受理或不予受理，并一次性告知不予受理的理由或需补充提供的资料。</w:t>
            </w:r>
          </w:p>
          <w:p w14:paraId="73BC9F37">
            <w:pPr>
              <w:widowControl/>
              <w:adjustRightInd w:val="0"/>
              <w:snapToGrid w:val="0"/>
              <w:spacing w:line="26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2.审核责任：审核申请人提供的矿业权出让收益评估价值、招标、拍卖、挂牌成交价、出让收益率等申报信息的准确性。</w:t>
            </w:r>
          </w:p>
          <w:p w14:paraId="0735629B">
            <w:pPr>
              <w:widowControl/>
              <w:adjustRightInd w:val="0"/>
              <w:snapToGrid w:val="0"/>
              <w:spacing w:line="26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3.决定责任：做出审核决定，开具《缴款通知书》。</w:t>
            </w:r>
          </w:p>
          <w:p w14:paraId="79834342">
            <w:pPr>
              <w:widowControl/>
              <w:adjustRightInd w:val="0"/>
              <w:snapToGrid w:val="0"/>
              <w:spacing w:line="26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4．监管责任：各级财政部门和矿产资源主管部门有权对缴费人缴纳探矿权、采矿权使用费及矿业权出让收益的情况进行检查。</w:t>
            </w:r>
          </w:p>
          <w:p w14:paraId="696DA16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2BD0BE88">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1—1.【法律】《中华人民共和国矿产资源法》第五条：国家实行探矿权、采矿权有偿取得的制度。</w:t>
            </w:r>
          </w:p>
          <w:p w14:paraId="3AB828A9">
            <w:pPr>
              <w:widowControl/>
              <w:adjustRightInd w:val="0"/>
              <w:snapToGrid w:val="0"/>
              <w:spacing w:line="256"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1—2.【规范性文件】《财政部 国土资源部关于印发〈矿业权出让收益征收管理暂行办法〉的通知》（财综〔2017〕35号）第六条：国务院和省级矿产资源主管部门登记的矿业权，其出让收益由矿业权所在地的省级矿产资源主管部门或其授权的市、县矿产资源主管部门负责征收。其中，矿业权范围跨省级行政区域和在中华人民共和国管辖海域的，由国务院矿产资源主管部门指定省级矿产资源主管部门负责征收。市、县矿产资源主管部门登记管理的矿业权，其出让收益由市、县矿产资源主管部门负责征收。</w:t>
            </w:r>
          </w:p>
          <w:p w14:paraId="737F4410">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1—3.【规范性文件】《广西壮族自治区财政厅 广西壮族自治区国土资源厅关于印发矿业权出让收益征收管理暂行办法的通知》（桂财规〔2018〕8号）第六条：矿业权所在地在广西壮族自治区行政区域内，国务院和自治区矿产资源主管部门登记管理的矿业权，其出让收益由自治区矿产资源主管部门或其授权的市、县矿产资源主管部门负责征收；市、县矿产资源主管部门登记管理的矿业权，其出让收益由市、县矿产资源主管部门负责征收。其中，矿业权范围跨市级行政区域的，由自治区矿产资源主管部门指定的市级矿产资源主管部门负责征收；矿业权范围跨县级行政区域的，由其所属市级矿产资源主管部门指定的县级矿产资源主管部门负责征收。</w:t>
            </w:r>
          </w:p>
          <w:p w14:paraId="5BDFA65D">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行政法规】《矿产资源勘查区块登记管理办法》（1998年国务院令第240号公布，2014年国务院令第653号修订）第十二条：探矿权使用费以勘查年度计算，逐年缴纳。探矿权使用费标准：第一个勘查年度至第三个勘查年度，每平方公里每年缴纳100元；从第四个勘查年度起，每平方公里每年增加100元，但是最高不超过每平方公里每年500元。</w:t>
            </w:r>
          </w:p>
          <w:p w14:paraId="41E1B3C1">
            <w:pPr>
              <w:widowControl/>
              <w:adjustRightInd w:val="0"/>
              <w:snapToGrid w:val="0"/>
              <w:spacing w:line="256"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2—2.【行政法规】《矿产资源开采登记管理办法》（1998年国务院令第241号公布，2014年国务院令第653号修订）第九条：采矿权使用费，按照矿区范围的面积逐年缴纳，标准为每平方公里每年1000元。</w:t>
            </w:r>
          </w:p>
          <w:p w14:paraId="3F9775E6">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2—3. 【规范性文件】《财政部 国土资源部关于印发〈矿业权出让收益征收管理暂行办法〉的通知》（财综〔2017〕35号）第七条：通过招标、拍卖、挂牌等竞争方式出让矿业权的，矿业权出让收益按招标、拍卖、挂牌的结果确定。</w:t>
            </w:r>
          </w:p>
          <w:p w14:paraId="59DEB466">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2—4．【规范性文件】《广西壮族自治区财政厅 广西壮族自治区国土资源厅关于印发矿业权出让收益征收管理暂行办法的通知》（桂财规〔2018〕8号）第七条：通过招标、拍卖、挂牌等竞争方式出让矿业权的，矿业权出让收益按招标、拍卖、挂牌的结果确定。第八条：通过协议方式出让矿业权的，矿业权出让收益按照评估价值、市场基准价就高确定。矿业权出让收益基准价由自治区矿产资源主管部门制定，经自治区人民政府批准后公布执行。第十条：矿业权出让收益原则上通过出让金额的形式征收。对属于资源储量较大、矿山服务年限较长、市场风险较高等情形的矿业权，可探索通过矿业权出让收益率或者出让金额和出让收益率相结合的形式征收。具体征收形式由矿业权出让机关依据资源禀赋、勘查开发条件和宏观调控要求等因素进行选择。前款所称出让收益率，是指矿业权出让收益占矿产品销售收入的比率。</w:t>
            </w:r>
          </w:p>
          <w:p w14:paraId="57CD272E">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3.【规范性文件】《广西壮族自治区财政厅 广西壮族自治区国土资源厅关于印发矿业权出让收益征收管理暂行办法的通知》（桂财规〔2018〕8号）第二十一条：矿业权出让实行分级审批制度，矿业权征收机关依据出让合同开具“矿业权收益缴款通知书”，通知矿业权人缴款。矿业权人在收到“矿业权收益缴款通知书”后7个工作日内，按照非税收入收缴管理要求缴纳矿业权出让收益。矿业权人缴款后，持有关财政票据或缴款凭证及有关矿业权登记申报材料到矿业权登记机关办理矿业权证照等相关手续。</w:t>
            </w:r>
          </w:p>
          <w:p w14:paraId="1A40671F">
            <w:pPr>
              <w:widowControl/>
              <w:adjustRightInd w:val="0"/>
              <w:snapToGrid w:val="0"/>
              <w:spacing w:line="256"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4—1.【规范性文件】《财政部 国土资源部关于印发〈矿业权出让收益征收管理暂行办法〉的通知》（财综〔2017〕35号）第二十三条：各级财政部门和矿产资源主管部门应当切实加强矿业权出让收益征收监督管理，按照职能分工，将相关信息纳入勘查开采信息公示系统，适时检查矿业权出让收益征收情况。</w:t>
            </w:r>
          </w:p>
          <w:p w14:paraId="575FB26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4—2.【规范性文件】《广西壮族自治区财政厅 广西壮族自治区国土资源厅关于印发矿业权出让收益征收管理暂行办法的通知》（桂财规〔2018〕8号）第二十四条：各级财政部门和矿产资源主管部门应当切实加强矿业权出让收益征收监督管理，按照职能分工，将相关信息纳入勘查开采信息公示系统，适时检查矿业权出让收益征收情况。</w:t>
            </w:r>
          </w:p>
        </w:tc>
        <w:tc>
          <w:tcPr>
            <w:tcW w:w="330" w:type="dxa"/>
            <w:vAlign w:val="center"/>
          </w:tcPr>
          <w:p w14:paraId="35BDD379">
            <w:pPr>
              <w:snapToGrid w:val="0"/>
              <w:spacing w:line="240" w:lineRule="atLeast"/>
              <w:jc w:val="center"/>
              <w:rPr>
                <w:rFonts w:ascii="仿宋_GB2312" w:hAnsi="仿宋_GB2312" w:eastAsia="仿宋_GB2312" w:cs="仿宋_GB2312"/>
                <w:sz w:val="20"/>
                <w:szCs w:val="20"/>
              </w:rPr>
            </w:pPr>
          </w:p>
        </w:tc>
      </w:tr>
    </w:tbl>
    <w:p w14:paraId="41FFB048"/>
    <w:p w14:paraId="55ECB09B"/>
    <w:p w14:paraId="56F5B1A9"/>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6AF5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01EDF4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2FB74B5">
            <w:pPr>
              <w:spacing w:line="240" w:lineRule="atLeast"/>
              <w:rPr>
                <w:rFonts w:asciiTheme="majorEastAsia" w:hAnsiTheme="majorEastAsia" w:eastAsiaTheme="majorEastAsia" w:cstheme="majorEastAsia"/>
                <w:spacing w:val="-20"/>
                <w:sz w:val="20"/>
                <w:szCs w:val="20"/>
              </w:rPr>
            </w:pPr>
          </w:p>
          <w:p w14:paraId="110E9E7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3CE5EA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A40398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0BA253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2D74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791A185">
            <w:pPr>
              <w:spacing w:line="240" w:lineRule="atLeast"/>
              <w:jc w:val="left"/>
              <w:rPr>
                <w:rFonts w:ascii="仿宋_GB2312" w:hAnsi="仿宋_GB2312" w:eastAsia="仿宋_GB2312" w:cs="仿宋_GB2312"/>
                <w:sz w:val="20"/>
                <w:szCs w:val="20"/>
              </w:rPr>
            </w:pPr>
          </w:p>
        </w:tc>
        <w:tc>
          <w:tcPr>
            <w:tcW w:w="555" w:type="dxa"/>
            <w:vMerge w:val="continue"/>
          </w:tcPr>
          <w:p w14:paraId="33C21DAD">
            <w:pPr>
              <w:spacing w:line="240" w:lineRule="atLeast"/>
              <w:jc w:val="left"/>
              <w:rPr>
                <w:rFonts w:ascii="仿宋_GB2312" w:hAnsi="仿宋_GB2312" w:eastAsia="仿宋_GB2312" w:cs="仿宋_GB2312"/>
                <w:sz w:val="20"/>
                <w:szCs w:val="20"/>
              </w:rPr>
            </w:pPr>
          </w:p>
        </w:tc>
        <w:tc>
          <w:tcPr>
            <w:tcW w:w="784" w:type="dxa"/>
            <w:vAlign w:val="center"/>
          </w:tcPr>
          <w:p w14:paraId="6772156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010F8C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11B947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AD4880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3CD94B6">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F36F40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FE3F98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A9D30D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260925D">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51972A9">
            <w:pPr>
              <w:spacing w:line="240" w:lineRule="atLeast"/>
              <w:jc w:val="left"/>
              <w:rPr>
                <w:rFonts w:ascii="仿宋_GB2312" w:hAnsi="仿宋_GB2312" w:eastAsia="仿宋_GB2312" w:cs="仿宋_GB2312"/>
                <w:sz w:val="20"/>
                <w:szCs w:val="20"/>
              </w:rPr>
            </w:pPr>
          </w:p>
        </w:tc>
      </w:tr>
      <w:tr w14:paraId="6EBC7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EB4993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191</w:t>
            </w:r>
          </w:p>
        </w:tc>
        <w:tc>
          <w:tcPr>
            <w:tcW w:w="555" w:type="dxa"/>
            <w:vAlign w:val="center"/>
          </w:tcPr>
          <w:p w14:paraId="67A1EE1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行政给付</w:t>
            </w:r>
          </w:p>
        </w:tc>
        <w:tc>
          <w:tcPr>
            <w:tcW w:w="784" w:type="dxa"/>
            <w:vAlign w:val="center"/>
          </w:tcPr>
          <w:p w14:paraId="2597821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征地补偿安置给付</w:t>
            </w:r>
          </w:p>
        </w:tc>
        <w:tc>
          <w:tcPr>
            <w:tcW w:w="660" w:type="dxa"/>
            <w:vAlign w:val="center"/>
          </w:tcPr>
          <w:p w14:paraId="22806D23">
            <w:pPr>
              <w:snapToGrid w:val="0"/>
              <w:spacing w:line="240" w:lineRule="atLeast"/>
              <w:jc w:val="center"/>
              <w:rPr>
                <w:rFonts w:ascii="仿宋_GB2312" w:hAnsi="仿宋_GB2312" w:eastAsia="仿宋_GB2312" w:cs="仿宋_GB2312"/>
                <w:sz w:val="20"/>
                <w:szCs w:val="20"/>
              </w:rPr>
            </w:pPr>
          </w:p>
        </w:tc>
        <w:tc>
          <w:tcPr>
            <w:tcW w:w="615" w:type="dxa"/>
            <w:vAlign w:val="center"/>
          </w:tcPr>
          <w:p w14:paraId="06A5226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玉林市人民政府（具体由玉林市自然资源局承办）</w:t>
            </w:r>
          </w:p>
        </w:tc>
        <w:tc>
          <w:tcPr>
            <w:tcW w:w="1110" w:type="dxa"/>
            <w:vAlign w:val="center"/>
          </w:tcPr>
          <w:p w14:paraId="7A38069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玉林市征地事务中心</w:t>
            </w:r>
          </w:p>
        </w:tc>
        <w:tc>
          <w:tcPr>
            <w:tcW w:w="4605" w:type="dxa"/>
            <w:vAlign w:val="center"/>
          </w:tcPr>
          <w:p w14:paraId="5AABE65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1.【法律】《中华人民共和国土地管理法》第二条：国家为了公共利益的需要，可以依法对土地实行征收或者征用并给予补偿。</w:t>
            </w:r>
          </w:p>
          <w:p w14:paraId="19111F6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第四十七条：国家征收土地的，依照法定程序批准后，由县级以上地方人民政府予以公告并组织实施。</w:t>
            </w:r>
          </w:p>
          <w:p w14:paraId="57B7F9F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拟征收土地的所有权人、使用权人应当在公告规定期限内，持不动产权属证明材料办理补偿登记。县级以上地方人民政府应当组织有关部门测算并落实有关费用，保证足额到位，与拟征收土地的所有权人、使用权人就补偿、安置等签订协议；个别确实难以达成协议的，应当在申请征收土地时如实说明。</w:t>
            </w:r>
          </w:p>
          <w:p w14:paraId="0EB4F51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八条：征收土地应当给予公平、合理的补偿，保障被征地农民原有生活水平不降低、长远生计有保障。征收土地应当依法及时足额支付土地补偿费、安置补助费以及农村村民住宅、其他地上附着物和青苗等的补偿费用，并安排被征地农民的社会保障费用。</w:t>
            </w:r>
          </w:p>
          <w:p w14:paraId="1A06121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土地管理法实施条例》（1998年国务院令第256号公布，2021年国务院令第743号修订）第三十二条：省、自治区、直辖市应当制定公布区片综合地价，确定征收农用地的土地补偿费、安置补助费标准，并制定土地补偿费、安置补助费分配办法。</w:t>
            </w:r>
          </w:p>
          <w:p w14:paraId="2598CA4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地上附着物和青苗等的补偿费用，归其所有权人所有。</w:t>
            </w:r>
          </w:p>
          <w:p w14:paraId="1261C26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社会保障费用主要用于符合条件的被征地农民的养老保险等社会保险缴费补贴，按照省、自治区、直辖市的规定单独列支。</w:t>
            </w:r>
          </w:p>
          <w:p w14:paraId="1722A6C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申请征收土地的县级以上地方人民政府应当及时落实土地补偿费、安置补助费、农村村民住宅以及其他地上附着物和青苗等的补偿费用、社会保障费用等，并保证足额到位，专款专用。有关费用未足额到位的，不得批准征收土地。</w:t>
            </w:r>
          </w:p>
        </w:tc>
        <w:tc>
          <w:tcPr>
            <w:tcW w:w="3585" w:type="dxa"/>
            <w:vAlign w:val="center"/>
          </w:tcPr>
          <w:p w14:paraId="0A0EEE5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1.受理阶段责任：发布征地公告。</w:t>
            </w:r>
          </w:p>
          <w:p w14:paraId="521E3D8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2.决定责任阶段：核实补偿地价标准，拟定征地方案，报人民政府批准，如实补偿。</w:t>
            </w:r>
          </w:p>
          <w:p w14:paraId="3CF6D7D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3.送达责任：将政府批准的补偿价款足额送达。</w:t>
            </w:r>
          </w:p>
          <w:p w14:paraId="6476D83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9515" w:type="dxa"/>
            <w:vAlign w:val="center"/>
          </w:tcPr>
          <w:p w14:paraId="6527F20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1.【法律】《中华人民共和国土地管理法》第四十七条：国家征收土地的，依照法定程序批准后，由县级以上地方人民政府予以公告并组织实施。</w:t>
            </w:r>
          </w:p>
          <w:p w14:paraId="22899F9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拟征收土地的所有权人、使用权人应当在公告规定期限内，持不动产权属证明材料办理补偿登记。县级以上地方人民政府应当组织有关部门测算并落实有关费用，保证足额到位，与拟征收土地的所有权人、使用权人就补偿、安置等签订协议；个别确实难以达成协议的，应当在申请征收土地时如实说明。</w:t>
            </w:r>
          </w:p>
          <w:p w14:paraId="0B2014A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土地管理法》第四十八条：征收土地应当给予公平、合理的补偿，保障被征地农民原有生活水平不降低、长远生计有保障。征收土地应当依法及时足额支付土地补偿费、安置补助费以及农村村民住宅、其他地上附着物和青苗等的补偿费用，并安排被征地农民的社会保障费用。</w:t>
            </w:r>
          </w:p>
          <w:p w14:paraId="6542963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行政法规】《中华人民共和国土地管理法实施条例》（1998年国务院令第256号公布，2021年国务院令第743号修订）第三十二条：省、自治区、直辖市应当制定公布区片综合地价，确定征收农用地的土地补偿费、安置补助费标准，并制定土地补偿费、安置补助费分配办法。</w:t>
            </w:r>
          </w:p>
          <w:p w14:paraId="15E0BBF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地上附着物和青苗等的补偿费用，归其所有权人所有。</w:t>
            </w:r>
          </w:p>
          <w:p w14:paraId="67E11F8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社会保障费用主要用于符合条件的被征地农民的养老保险等社会保险缴费补贴，按照省、自治区、直辖市的规定单独列支。</w:t>
            </w:r>
          </w:p>
          <w:p w14:paraId="222B448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申请征收土地的县级以上地方人民政府应当及时落实土地补偿费、安置补助费、农村村民住宅以及其他地上附着物和青苗等的补偿费用、社会保障费用等，并保证足额到位，专款专用。有关费用未足额到位的，不得批准征收土地。</w:t>
            </w:r>
          </w:p>
          <w:p w14:paraId="6CE0357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3.同2—1、2—2。</w:t>
            </w:r>
          </w:p>
        </w:tc>
        <w:tc>
          <w:tcPr>
            <w:tcW w:w="330" w:type="dxa"/>
            <w:vAlign w:val="center"/>
          </w:tcPr>
          <w:p w14:paraId="4B11ACF7">
            <w:pPr>
              <w:snapToGrid w:val="0"/>
              <w:spacing w:line="240" w:lineRule="atLeast"/>
              <w:jc w:val="center"/>
              <w:rPr>
                <w:rFonts w:ascii="仿宋_GB2312" w:hAnsi="仿宋_GB2312" w:eastAsia="仿宋_GB2312" w:cs="仿宋_GB2312"/>
                <w:sz w:val="20"/>
                <w:szCs w:val="20"/>
              </w:rPr>
            </w:pPr>
          </w:p>
        </w:tc>
      </w:tr>
    </w:tbl>
    <w:p w14:paraId="1E4B42B3"/>
    <w:p w14:paraId="2EF72970"/>
    <w:p w14:paraId="30B904E9"/>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8FF2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E9170D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73207C8">
            <w:pPr>
              <w:spacing w:line="240" w:lineRule="atLeast"/>
              <w:rPr>
                <w:rFonts w:asciiTheme="majorEastAsia" w:hAnsiTheme="majorEastAsia" w:eastAsiaTheme="majorEastAsia" w:cstheme="majorEastAsia"/>
                <w:spacing w:val="-20"/>
                <w:sz w:val="20"/>
                <w:szCs w:val="20"/>
              </w:rPr>
            </w:pPr>
          </w:p>
          <w:p w14:paraId="27BD755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BB00E6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FBF273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B5C41B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D7C6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36AED38">
            <w:pPr>
              <w:spacing w:line="240" w:lineRule="atLeast"/>
              <w:jc w:val="left"/>
              <w:rPr>
                <w:rFonts w:ascii="仿宋_GB2312" w:hAnsi="仿宋_GB2312" w:eastAsia="仿宋_GB2312" w:cs="仿宋_GB2312"/>
                <w:sz w:val="20"/>
                <w:szCs w:val="20"/>
              </w:rPr>
            </w:pPr>
          </w:p>
        </w:tc>
        <w:tc>
          <w:tcPr>
            <w:tcW w:w="555" w:type="dxa"/>
            <w:vMerge w:val="continue"/>
          </w:tcPr>
          <w:p w14:paraId="479B263A">
            <w:pPr>
              <w:spacing w:line="240" w:lineRule="atLeast"/>
              <w:jc w:val="left"/>
              <w:rPr>
                <w:rFonts w:ascii="仿宋_GB2312" w:hAnsi="仿宋_GB2312" w:eastAsia="仿宋_GB2312" w:cs="仿宋_GB2312"/>
                <w:sz w:val="20"/>
                <w:szCs w:val="20"/>
              </w:rPr>
            </w:pPr>
          </w:p>
        </w:tc>
        <w:tc>
          <w:tcPr>
            <w:tcW w:w="784" w:type="dxa"/>
            <w:vAlign w:val="center"/>
          </w:tcPr>
          <w:p w14:paraId="7975B52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802B83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C155E1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606316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9E39ED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152F31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1D1B06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0D5989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E0E665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11562B4">
            <w:pPr>
              <w:spacing w:line="240" w:lineRule="atLeast"/>
              <w:jc w:val="left"/>
              <w:rPr>
                <w:rFonts w:ascii="仿宋_GB2312" w:hAnsi="仿宋_GB2312" w:eastAsia="仿宋_GB2312" w:cs="仿宋_GB2312"/>
                <w:sz w:val="20"/>
                <w:szCs w:val="20"/>
              </w:rPr>
            </w:pPr>
          </w:p>
        </w:tc>
      </w:tr>
      <w:tr w14:paraId="306F6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C50585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192</w:t>
            </w:r>
          </w:p>
        </w:tc>
        <w:tc>
          <w:tcPr>
            <w:tcW w:w="555" w:type="dxa"/>
            <w:vAlign w:val="center"/>
          </w:tcPr>
          <w:p w14:paraId="60537C8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行政检查</w:t>
            </w:r>
          </w:p>
        </w:tc>
        <w:tc>
          <w:tcPr>
            <w:tcW w:w="784" w:type="dxa"/>
            <w:vAlign w:val="center"/>
          </w:tcPr>
          <w:p w14:paraId="53D6656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自然资源卫片执法</w:t>
            </w:r>
          </w:p>
        </w:tc>
        <w:tc>
          <w:tcPr>
            <w:tcW w:w="660" w:type="dxa"/>
            <w:vAlign w:val="center"/>
          </w:tcPr>
          <w:p w14:paraId="515282E7">
            <w:pPr>
              <w:snapToGrid w:val="0"/>
              <w:spacing w:line="240" w:lineRule="atLeast"/>
              <w:jc w:val="center"/>
              <w:rPr>
                <w:rFonts w:ascii="仿宋_GB2312" w:hAnsi="仿宋_GB2312" w:eastAsia="仿宋_GB2312" w:cs="仿宋_GB2312"/>
                <w:sz w:val="20"/>
                <w:szCs w:val="20"/>
              </w:rPr>
            </w:pPr>
          </w:p>
        </w:tc>
        <w:tc>
          <w:tcPr>
            <w:tcW w:w="615" w:type="dxa"/>
            <w:vAlign w:val="center"/>
          </w:tcPr>
          <w:p w14:paraId="25A5496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8D9696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44B796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1.【部门规章】《自然资源执法监督规定》（2017年国土资源部令第79号公布施行，2020年自然资源部令第6号修正）第十七条：自然资源部在全国部署开展自然资源卫片执法监督。</w:t>
            </w:r>
          </w:p>
          <w:p w14:paraId="01C9517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省级自然资源主管部门按照自然资源部的统一部署，组织所辖行政区域内的市、县自然资源主管部门开展自然资源卫片执法监督，并向自然资源部报告结果</w:t>
            </w:r>
          </w:p>
          <w:p w14:paraId="3171666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2.【规范性文件】《国土资源部关于印发〈土地矿产卫片执法检查工作规范（试行）〉的通知》（国土资发〔2010〕21号）职责分工内容中规定省级国土资源行政主管部门的职责：</w:t>
            </w:r>
          </w:p>
          <w:p w14:paraId="500AB85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4.2.1按照国土资源部的部署组织开展本行政区域内土地矿产卫片执法检查工作。4.2.2指导本行政区域内土地矿产卫片执法检查工作，组织开展督查、验收，督促落实国土资源部督查、验收意见。4.2.4汇总上报相关数据和情况。4.2.5通报本行政区域土地矿产卫片执法检查情况。4.3市、县级国土资源行政主管部门根据国土资源部和省级国土资源行政主管部门的部署，按照本规范的要求，开展土地矿产卫片执法检查工作。</w:t>
            </w:r>
          </w:p>
        </w:tc>
        <w:tc>
          <w:tcPr>
            <w:tcW w:w="3585" w:type="dxa"/>
            <w:vAlign w:val="center"/>
          </w:tcPr>
          <w:p w14:paraId="5134081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1.告知责任：制定检查方案，确定对象和方式，通知被检查单位。</w:t>
            </w:r>
          </w:p>
          <w:p w14:paraId="43027D6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2.检查责任：检查时，工作人员不得少于2人，应当持《土地矿产卫片执法检查工作方案》或相关文件进行检查。检查工作人员应当有详细的检查记录，严禁弄虚作假。</w:t>
            </w:r>
          </w:p>
          <w:p w14:paraId="1344357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3.处理责任：汇总相关数据和情况；通报本行政区域土地矿产卫片执法检查情况。</w:t>
            </w:r>
          </w:p>
          <w:p w14:paraId="0CDF877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9515" w:type="dxa"/>
            <w:vAlign w:val="center"/>
          </w:tcPr>
          <w:p w14:paraId="5FCBB7F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规范性文件】国土资源部《土地矿产卫片执法检查工作规范（试行）》（国土资发〔2010〕21号）职责分工内容中规定省级国土资源行政主管部门的职责：4.2.1按照国土资源部的部署组织开展本行政区域内土地矿产卫片执法检查工作。4.2.2指导本行政区域内土地矿产卫片执法检查工作，组织开展督查、验收，督促落实国土资源部督查、验收意见。4.2.4汇总上报相关数据和情况。4.2.5通报本行政区域土地矿产卫片执法检查情况。4.3市、县级国土资源行政主管部门根据国土资源部和省级国土资源行政主管部门的部署，按照本规范的要求，开展土地矿产卫片执法检查工作。</w:t>
            </w:r>
          </w:p>
          <w:p w14:paraId="7A5C246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行政处罚法》第三十七条：行政机关在调查或者进行检查时，执法人员不得少于两人，并应当向当事人或者有关人员出示证件。行政机关在收集证据时，可以采取抽样取证的方法……。</w:t>
            </w:r>
          </w:p>
          <w:p w14:paraId="5658A3A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3.同1。</w:t>
            </w:r>
          </w:p>
        </w:tc>
        <w:tc>
          <w:tcPr>
            <w:tcW w:w="330" w:type="dxa"/>
            <w:vAlign w:val="center"/>
          </w:tcPr>
          <w:p w14:paraId="5B03B45D">
            <w:pPr>
              <w:snapToGrid w:val="0"/>
              <w:spacing w:line="240" w:lineRule="atLeast"/>
              <w:jc w:val="center"/>
              <w:rPr>
                <w:rFonts w:ascii="仿宋_GB2312" w:hAnsi="仿宋_GB2312" w:eastAsia="仿宋_GB2312" w:cs="仿宋_GB2312"/>
                <w:sz w:val="20"/>
                <w:szCs w:val="20"/>
              </w:rPr>
            </w:pPr>
          </w:p>
        </w:tc>
      </w:tr>
    </w:tbl>
    <w:p w14:paraId="18D9A064"/>
    <w:p w14:paraId="3FD74CD1"/>
    <w:p w14:paraId="09D98FAA"/>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5175"/>
        <w:gridCol w:w="4275"/>
        <w:gridCol w:w="8255"/>
        <w:gridCol w:w="330"/>
      </w:tblGrid>
      <w:tr w14:paraId="7C8CE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E1684D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B71AB4B">
            <w:pPr>
              <w:spacing w:line="240" w:lineRule="atLeast"/>
              <w:rPr>
                <w:rFonts w:asciiTheme="majorEastAsia" w:hAnsiTheme="majorEastAsia" w:eastAsiaTheme="majorEastAsia" w:cstheme="majorEastAsia"/>
                <w:spacing w:val="-20"/>
                <w:sz w:val="20"/>
                <w:szCs w:val="20"/>
              </w:rPr>
            </w:pPr>
          </w:p>
          <w:p w14:paraId="0FF34BF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344" w:type="dxa"/>
            <w:gridSpan w:val="5"/>
            <w:vAlign w:val="center"/>
          </w:tcPr>
          <w:p w14:paraId="79EA983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2530" w:type="dxa"/>
            <w:gridSpan w:val="2"/>
            <w:vAlign w:val="center"/>
          </w:tcPr>
          <w:p w14:paraId="4182384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88A34C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623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6A53FCB">
            <w:pPr>
              <w:spacing w:line="240" w:lineRule="atLeast"/>
              <w:jc w:val="left"/>
              <w:rPr>
                <w:rFonts w:ascii="仿宋_GB2312" w:hAnsi="仿宋_GB2312" w:eastAsia="仿宋_GB2312" w:cs="仿宋_GB2312"/>
                <w:sz w:val="20"/>
                <w:szCs w:val="20"/>
              </w:rPr>
            </w:pPr>
          </w:p>
        </w:tc>
        <w:tc>
          <w:tcPr>
            <w:tcW w:w="555" w:type="dxa"/>
            <w:vMerge w:val="continue"/>
          </w:tcPr>
          <w:p w14:paraId="7D1EE209">
            <w:pPr>
              <w:spacing w:line="240" w:lineRule="atLeast"/>
              <w:jc w:val="left"/>
              <w:rPr>
                <w:rFonts w:ascii="仿宋_GB2312" w:hAnsi="仿宋_GB2312" w:eastAsia="仿宋_GB2312" w:cs="仿宋_GB2312"/>
                <w:sz w:val="20"/>
                <w:szCs w:val="20"/>
              </w:rPr>
            </w:pPr>
          </w:p>
        </w:tc>
        <w:tc>
          <w:tcPr>
            <w:tcW w:w="784" w:type="dxa"/>
            <w:vAlign w:val="center"/>
          </w:tcPr>
          <w:p w14:paraId="49C918B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25E73D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0293DA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4D6C9E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BDB9E96">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5175" w:type="dxa"/>
            <w:vAlign w:val="center"/>
          </w:tcPr>
          <w:p w14:paraId="301DBFA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275" w:type="dxa"/>
            <w:vAlign w:val="center"/>
          </w:tcPr>
          <w:p w14:paraId="41D54B4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F99CB1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8255" w:type="dxa"/>
            <w:vAlign w:val="center"/>
          </w:tcPr>
          <w:p w14:paraId="6AB9E73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B8E5AA6">
            <w:pPr>
              <w:spacing w:line="240" w:lineRule="atLeast"/>
              <w:jc w:val="left"/>
              <w:rPr>
                <w:rFonts w:ascii="仿宋_GB2312" w:hAnsi="仿宋_GB2312" w:eastAsia="仿宋_GB2312" w:cs="仿宋_GB2312"/>
                <w:sz w:val="20"/>
                <w:szCs w:val="20"/>
              </w:rPr>
            </w:pPr>
          </w:p>
        </w:tc>
      </w:tr>
      <w:tr w14:paraId="73CB8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6FA6E3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193</w:t>
            </w:r>
          </w:p>
        </w:tc>
        <w:tc>
          <w:tcPr>
            <w:tcW w:w="555" w:type="dxa"/>
            <w:vAlign w:val="center"/>
          </w:tcPr>
          <w:p w14:paraId="16AB2BF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行政检查</w:t>
            </w:r>
          </w:p>
        </w:tc>
        <w:tc>
          <w:tcPr>
            <w:tcW w:w="784" w:type="dxa"/>
            <w:vAlign w:val="center"/>
          </w:tcPr>
          <w:p w14:paraId="45468EE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矿产资源、地质遗迹保护监督检查</w:t>
            </w:r>
          </w:p>
        </w:tc>
        <w:tc>
          <w:tcPr>
            <w:tcW w:w="660" w:type="dxa"/>
            <w:vAlign w:val="center"/>
          </w:tcPr>
          <w:p w14:paraId="342F19B1">
            <w:pPr>
              <w:snapToGrid w:val="0"/>
              <w:spacing w:line="240" w:lineRule="atLeast"/>
              <w:jc w:val="center"/>
              <w:rPr>
                <w:rFonts w:ascii="仿宋_GB2312" w:hAnsi="仿宋_GB2312" w:eastAsia="仿宋_GB2312" w:cs="仿宋_GB2312"/>
                <w:sz w:val="20"/>
                <w:szCs w:val="20"/>
              </w:rPr>
            </w:pPr>
          </w:p>
        </w:tc>
        <w:tc>
          <w:tcPr>
            <w:tcW w:w="615" w:type="dxa"/>
            <w:vAlign w:val="center"/>
          </w:tcPr>
          <w:p w14:paraId="41509DC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64D7EF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地质勘查和矿产资源保护监督科</w:t>
            </w:r>
          </w:p>
        </w:tc>
        <w:tc>
          <w:tcPr>
            <w:tcW w:w="5175" w:type="dxa"/>
            <w:vAlign w:val="center"/>
          </w:tcPr>
          <w:p w14:paraId="12F0656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 第十一条：国务院地质矿产主管部门主管全国矿产资源勘查、开采的监督管理工作。国务院有关主管部门协助国务院地质矿产主管部门进行矿产资源勘查、开采的监督管理工作。</w:t>
            </w:r>
          </w:p>
          <w:p w14:paraId="3B38A1E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矿产资源监督管理暂行办法》（1987年4月29日国务院发布）第四条：省、自治区、直辖市人民政府地质矿产主管部门对执行本办法负有下列职责：一、根据本办法和有关法规，对本地区矿山企业的矿产资源开发利用与保护工作进行监督管理和指导；二、根据需要向重点矿山企业派出矿产督察员，向矿山企业集中的地区派出巡回矿产督察员。</w:t>
            </w:r>
          </w:p>
          <w:p w14:paraId="748A986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部门规章】《地质遗迹保护管理规定》（1995年地质矿产部令第21号）第六条：国务院地质矿产行政主管部门在国务院环境保护行政主管部门协助下，对全国地质遗迹保护实施监督管理。县级以上人民政府地质矿产行政主管部门在同级环境保护行政主管部门协助下，对本辖区内的地质遗迹保护实施监督管理。</w:t>
            </w:r>
          </w:p>
          <w:p w14:paraId="5E238FB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4．【行政法规】《古生物化石保护条例》（2010年国务院令第580号公布, 2019年3月国务院令第709号令修订）第十九条：县级以上人民政府自然资源主管部门应当加强对古生物化石发掘活动的监督检查，发现未经依法批准擅自发掘古生物化石，或者不按照批准的发掘方案发掘古生物化石的，应当依法予以处理。</w:t>
            </w:r>
          </w:p>
          <w:p w14:paraId="750153C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5．【地方性法规】《广西壮族自治区钟乳石资源保护条例》（2002年5月31日广西壮族自治区第九届人民代表大会常务委员会第三十次会议通过， 2020年3月27日广西壮族自治区第十三届人民代表大会常务委员会第十四次会议第四次修正）第五条：县级以上自然资源主管部门负责本行政区域内钟乳石资源的保护监督工作，市场监督管理、文化和旅游、公安、交通运输、海关、水利、住房和城乡建设、生态环境等有关主管部门按照各自的职责协助自然资源主管部门做好钟乳石资源的保护、监督工作。</w:t>
            </w:r>
          </w:p>
        </w:tc>
        <w:tc>
          <w:tcPr>
            <w:tcW w:w="4275" w:type="dxa"/>
            <w:vAlign w:val="center"/>
          </w:tcPr>
          <w:p w14:paraId="0EB5762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1.告知责任：自然资源主管部门告知检查内容。</w:t>
            </w:r>
          </w:p>
          <w:p w14:paraId="7B04AB9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2.检查责任：被检企业或者个人应配合监督检查；检查单位应当按照检查要求，开展检查工作。</w:t>
            </w:r>
          </w:p>
          <w:p w14:paraId="47AC862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3.处理责任：通报处理本行政区域对企业或者个人矿产资源开发利用情况。</w:t>
            </w:r>
          </w:p>
          <w:p w14:paraId="2B346FC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4．监管责任：强化矿产资源开发利用监督管理。</w:t>
            </w:r>
          </w:p>
          <w:p w14:paraId="4648E63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8255" w:type="dxa"/>
            <w:vAlign w:val="center"/>
          </w:tcPr>
          <w:p w14:paraId="4B21DE3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1.【行政法规】《矿产资源监督管理暂行办法》（1987年4月29日国务院发布）第四条：省、自治区、直辖市人民政府地质矿产主管部门对执行本办法负有下列职责： 一、根据本办法和有关法规，对本地区矿山企业的矿产资源开发利用与保护工作进行监督管理和指导；二、根据需要向重点矿山企业派出矿产督察员，向矿山企业集中的地区派出巡回矿产督察员。</w:t>
            </w:r>
          </w:p>
          <w:p w14:paraId="53DBE6C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行政法规】《矿产资源监督管理暂行办法》（1987年4月29日国务院发布）第二十五条：矿山企业上报的矿产资源开发利用资料数据必须准确可靠。虚报瞒报的，依照《中华人民共和国统计法》的有关规定追究责任。对保密资料，应当按照国家有关保密规定执行。</w:t>
            </w:r>
          </w:p>
          <w:p w14:paraId="441A4A4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2—2.【行政法规】《古生物化石保护条例》（2010年国务院令第580号公布， 2019年国务院令第709号修订）第十九条：县级以上人民政府自然资源主管部门应当加强对古生物化石发掘活动的监督检查，发现未经依法批准擅自发掘古生物化石，或者不按照批准的发掘方案发掘古生物化石的，应当依法予以处理。</w:t>
            </w:r>
          </w:p>
          <w:p w14:paraId="21B70E7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矿产资源法》第三十九条：违反本法规定，未取得采矿许可证擅自采矿的，擅自进入国家规划矿区、对国民经济具有重要价值的矿区范围采矿的，擅自开采国家规定实行保护性开采的特定矿种的，责令停止开采、赔偿损失，没收采出的矿产品和违法所得，可以并处罚款;拒不停止开采，造成矿产资源破坏的，依照刑法有关规定对直接责任人员追究刑事责任。</w:t>
            </w:r>
          </w:p>
          <w:p w14:paraId="3CF027E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部门规章】《地质遗迹保护管理规定》（1995年地质矿产部令第21号）第二十条：有下列行为之一者，地质遗迹保护区管理机构可根据《中华人民共和国自然保护区条例》的有关规定，视不同情节，分别给予警告、罚款、没收非法所得，并责令赔偿损失。</w:t>
            </w:r>
          </w:p>
          <w:p w14:paraId="2917184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一、违反本规定第十四条，擅自移动和破坏碑石、界标的;</w:t>
            </w:r>
          </w:p>
          <w:p w14:paraId="0609C07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二、违反本规定第十七条，进行采石、取土、开矿、放牧、砍伐以及采集标本化石的;</w:t>
            </w:r>
          </w:p>
          <w:p w14:paraId="0720BE4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三、违反本规定第十八条，对地质遗迹造成污染和破坏的;</w:t>
            </w:r>
          </w:p>
          <w:p w14:paraId="0D1618E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4．同1。</w:t>
            </w:r>
          </w:p>
        </w:tc>
        <w:tc>
          <w:tcPr>
            <w:tcW w:w="330" w:type="dxa"/>
            <w:vAlign w:val="center"/>
          </w:tcPr>
          <w:p w14:paraId="47ECC505">
            <w:pPr>
              <w:snapToGrid w:val="0"/>
              <w:spacing w:line="240" w:lineRule="atLeast"/>
              <w:jc w:val="center"/>
              <w:rPr>
                <w:rFonts w:ascii="仿宋_GB2312" w:hAnsi="仿宋_GB2312" w:eastAsia="仿宋_GB2312" w:cs="仿宋_GB2312"/>
                <w:sz w:val="20"/>
                <w:szCs w:val="20"/>
              </w:rPr>
            </w:pPr>
          </w:p>
        </w:tc>
      </w:tr>
    </w:tbl>
    <w:p w14:paraId="7548E437"/>
    <w:p w14:paraId="3CAC2BCA"/>
    <w:p w14:paraId="391591E0"/>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A041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FF58A7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D2FEE72">
            <w:pPr>
              <w:spacing w:line="240" w:lineRule="atLeast"/>
              <w:rPr>
                <w:rFonts w:asciiTheme="majorEastAsia" w:hAnsiTheme="majorEastAsia" w:eastAsiaTheme="majorEastAsia" w:cstheme="majorEastAsia"/>
                <w:spacing w:val="-20"/>
                <w:sz w:val="20"/>
                <w:szCs w:val="20"/>
              </w:rPr>
            </w:pPr>
          </w:p>
          <w:p w14:paraId="6A81DD1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438779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569FD8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ABF4D2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0CDC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C7F306D">
            <w:pPr>
              <w:spacing w:line="240" w:lineRule="atLeast"/>
              <w:jc w:val="left"/>
              <w:rPr>
                <w:rFonts w:ascii="仿宋_GB2312" w:hAnsi="仿宋_GB2312" w:eastAsia="仿宋_GB2312" w:cs="仿宋_GB2312"/>
                <w:sz w:val="20"/>
                <w:szCs w:val="20"/>
              </w:rPr>
            </w:pPr>
          </w:p>
        </w:tc>
        <w:tc>
          <w:tcPr>
            <w:tcW w:w="555" w:type="dxa"/>
            <w:vMerge w:val="continue"/>
          </w:tcPr>
          <w:p w14:paraId="3B59E20E">
            <w:pPr>
              <w:spacing w:line="240" w:lineRule="atLeast"/>
              <w:jc w:val="left"/>
              <w:rPr>
                <w:rFonts w:ascii="仿宋_GB2312" w:hAnsi="仿宋_GB2312" w:eastAsia="仿宋_GB2312" w:cs="仿宋_GB2312"/>
                <w:sz w:val="20"/>
                <w:szCs w:val="20"/>
              </w:rPr>
            </w:pPr>
          </w:p>
        </w:tc>
        <w:tc>
          <w:tcPr>
            <w:tcW w:w="784" w:type="dxa"/>
            <w:vAlign w:val="center"/>
          </w:tcPr>
          <w:p w14:paraId="5C9460A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275C23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6BBB3C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F5F519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638285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D40F5B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845DA6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A175C0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CE69B5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7033F23">
            <w:pPr>
              <w:spacing w:line="240" w:lineRule="atLeast"/>
              <w:jc w:val="left"/>
              <w:rPr>
                <w:rFonts w:ascii="仿宋_GB2312" w:hAnsi="仿宋_GB2312" w:eastAsia="仿宋_GB2312" w:cs="仿宋_GB2312"/>
                <w:sz w:val="20"/>
                <w:szCs w:val="20"/>
              </w:rPr>
            </w:pPr>
          </w:p>
        </w:tc>
      </w:tr>
      <w:tr w14:paraId="6639A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C7D416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194</w:t>
            </w:r>
          </w:p>
        </w:tc>
        <w:tc>
          <w:tcPr>
            <w:tcW w:w="555" w:type="dxa"/>
            <w:vAlign w:val="center"/>
          </w:tcPr>
          <w:p w14:paraId="4F24D5A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行政检查</w:t>
            </w:r>
          </w:p>
        </w:tc>
        <w:tc>
          <w:tcPr>
            <w:tcW w:w="784" w:type="dxa"/>
            <w:vAlign w:val="center"/>
          </w:tcPr>
          <w:p w14:paraId="0940240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测绘成果质量监督检查</w:t>
            </w:r>
          </w:p>
        </w:tc>
        <w:tc>
          <w:tcPr>
            <w:tcW w:w="660" w:type="dxa"/>
            <w:vAlign w:val="center"/>
          </w:tcPr>
          <w:p w14:paraId="35C83427">
            <w:pPr>
              <w:snapToGrid w:val="0"/>
              <w:spacing w:line="240" w:lineRule="atLeast"/>
              <w:jc w:val="center"/>
              <w:rPr>
                <w:rFonts w:ascii="仿宋_GB2312" w:hAnsi="仿宋_GB2312" w:eastAsia="仿宋_GB2312" w:cs="仿宋_GB2312"/>
                <w:sz w:val="20"/>
                <w:szCs w:val="20"/>
              </w:rPr>
            </w:pPr>
          </w:p>
        </w:tc>
        <w:tc>
          <w:tcPr>
            <w:tcW w:w="615" w:type="dxa"/>
            <w:vAlign w:val="center"/>
          </w:tcPr>
          <w:p w14:paraId="7BF55F4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22AAE8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测绘地理信息管理科（测绘地理信息局）</w:t>
            </w:r>
          </w:p>
        </w:tc>
        <w:tc>
          <w:tcPr>
            <w:tcW w:w="4605" w:type="dxa"/>
            <w:vAlign w:val="center"/>
          </w:tcPr>
          <w:p w14:paraId="7927694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1.【法律】《中华人民共和国测绘法》第三十九条：测绘单位应当对完成的测绘成果质量负责。县级以上人民政府测绘地理信息主管部门应当加强对测绘成果质量的监督管理。</w:t>
            </w:r>
          </w:p>
          <w:p w14:paraId="4BCA5A4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规范性文件】《测绘成果质量监督抽查管理办法》（国测国发〔2010〕9号）第三条：国家测绘局负责组织实施全国质量监督抽查工作。县级以上地方人民政府测绘行政主管部门负责组织实施本行政区域内质量监督抽查工作。</w:t>
            </w:r>
          </w:p>
        </w:tc>
        <w:tc>
          <w:tcPr>
            <w:tcW w:w="3585" w:type="dxa"/>
            <w:vAlign w:val="center"/>
          </w:tcPr>
          <w:p w14:paraId="0900E3C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1.告知责任：制定本级测绘成果质量监督检查工作方案，并予以通告。工作方案内容包括承检单位名称、检验依据、方法、程序等。</w:t>
            </w:r>
          </w:p>
          <w:p w14:paraId="6B63B03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测绘单位应配合监督检查；检查人员应当保守受检测绘成果涉及的技术秘密、商业秘密，履行检验过程的保密职责。检验过程中，检验单位应当按照技术方案规定的程序，开展检验工作。检验单位可根据需要，向测绘项目出资人、设计单位、施测单位、质检单位等调查、了解项目相关情况，实施现场检验。</w:t>
            </w:r>
          </w:p>
          <w:p w14:paraId="7D7C136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被检查的单位对检查结果有异议的，应当在收到检验结果之日起15日内，向组织实施的自然资源主管部门提出书面异议报告，并抄送检验单位。检验单位应在收到异议报告之日起十个工作日内做出复验结论。</w:t>
            </w:r>
          </w:p>
          <w:p w14:paraId="6426B71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4．监管责任：制定措施，强化测绘成果质量管理与市场监管。</w:t>
            </w:r>
          </w:p>
          <w:p w14:paraId="16C6D86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32856C4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规范性文件】《测绘成果质量监督抽查管理办法》（国测国发〔2010〕9号）第七条：测绘行政主管部门组织实施质量监督抽查时，应当制定工作方案，发布通告，开具通知单，审批技术方案。第十一条：检验单位应当制定技术方案，技术方案经测绘行政主管部门批准后，检验单位组织具备相应专业知识和技术能力的检验人员，开展检验工作。</w:t>
            </w:r>
          </w:p>
          <w:p w14:paraId="06CD3EE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规范性文件】《测绘成果质量监督抽查管理办法》（国测国发〔2010〕9号）第十三条：检验开始时，检验单位应当组织召开首次会，向受检单位出示测绘行政主管部门开具的监督抽查通知单，并告知检验依据、方法、程序等。检验过程中，检验单位应当按照技术方案规定的程序，开展检验工作。检验单位可根据需要，向测绘项目出资人、设计单位、施测单位、质检单位等调查、了解项目相关情况，实施现场检验。检验完成后，检验单位应当组织召开末次会，通报检验中发现的问题，提出改进意见和建议。</w:t>
            </w:r>
          </w:p>
          <w:p w14:paraId="607F761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2—2.【规范性文件】《测绘成果质量监督抽查管理办法》（国测国发〔2010〕9号） 第十四条：受检单位应当配合监督检验工作，提供与受检项目相关的合同、质量文件、成果资料、仪器检定资料等，对检验所需的仪器、设备等给予配合和协助。第十五条：对依法进行的测绘成果质量监督检验，受检单位不得拒绝。拒绝接受监督检验的，受检的测绘项目成果质量按照“批不合格”处理。</w:t>
            </w:r>
          </w:p>
          <w:p w14:paraId="419BD52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规范性文件】《测绘成果质量监督抽查管理办法》（国测国发〔2010〕9号）第十七条：受检单位对监督检验结论有异议的，可以自收到检验结论之日起十五个工作日内向组织实施质量监督抽查的测绘行政主管部门提出书面异议报告，并抄送检验单位。逾期未提出异议的，视为认可检验结论。第十八条：检验单位应当自收到受检单位书面异议报告之日起十个工作日内作出复验结论，并报组织实施质量监督抽查的测绘行政主管部门。</w:t>
            </w:r>
          </w:p>
          <w:p w14:paraId="49526ED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规范性文件】《测绘成果质量监督抽查管理办法》（国测国发〔2010〕9号）第二十三条：质量监督抽查不合格的测绘单位，组织实施质量监督抽查的测绘行政主管部门应当向其下达整改通知书，责令其自整改通知书下发之日起三个月内进行整改，并按原技术方案组织复查。测绘单位整改完成后，必须向组织实施抽查的测绘行政主管部门报送整改情况，申请监督复查。逾期未整改或者未如期提出复查申请的，由实施抽查的测绘行政主管部门组织进行强制复查。测绘成果质量监督抽查不合格的，或复查仍不合格的，测绘行政主管部门依照《测绘法》及有关法律、法规的规定予以处理。</w:t>
            </w:r>
          </w:p>
          <w:p w14:paraId="36C7A17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规范性文件】《测绘地理信息质量管理办法》（国测国发〔2015〕17号）第三条：国家测绘地理信息局负责全国测绘地理信息质量的统一监督管理。县级以上地方人民政府测绘地理信息行政主管部门负责本行政区域内测绘地理信息质量监督管理。</w:t>
            </w:r>
          </w:p>
        </w:tc>
        <w:tc>
          <w:tcPr>
            <w:tcW w:w="330" w:type="dxa"/>
            <w:vAlign w:val="center"/>
          </w:tcPr>
          <w:p w14:paraId="4A1974C3">
            <w:pPr>
              <w:snapToGrid w:val="0"/>
              <w:spacing w:line="240" w:lineRule="atLeast"/>
              <w:jc w:val="center"/>
              <w:rPr>
                <w:rFonts w:ascii="仿宋_GB2312" w:hAnsi="仿宋_GB2312" w:eastAsia="仿宋_GB2312" w:cs="仿宋_GB2312"/>
                <w:sz w:val="20"/>
                <w:szCs w:val="20"/>
              </w:rPr>
            </w:pPr>
          </w:p>
        </w:tc>
      </w:tr>
    </w:tbl>
    <w:p w14:paraId="71ECD61C"/>
    <w:p w14:paraId="1ABFF8EC"/>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A14F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BFA669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2214D89">
            <w:pPr>
              <w:spacing w:line="240" w:lineRule="atLeast"/>
              <w:rPr>
                <w:rFonts w:asciiTheme="majorEastAsia" w:hAnsiTheme="majorEastAsia" w:eastAsiaTheme="majorEastAsia" w:cstheme="majorEastAsia"/>
                <w:spacing w:val="-20"/>
                <w:sz w:val="20"/>
                <w:szCs w:val="20"/>
              </w:rPr>
            </w:pPr>
          </w:p>
          <w:p w14:paraId="4831E3B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F80667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82A8D5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02F949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B5B1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C2697D3">
            <w:pPr>
              <w:spacing w:line="240" w:lineRule="atLeast"/>
              <w:jc w:val="left"/>
              <w:rPr>
                <w:rFonts w:ascii="仿宋_GB2312" w:hAnsi="仿宋_GB2312" w:eastAsia="仿宋_GB2312" w:cs="仿宋_GB2312"/>
                <w:sz w:val="20"/>
                <w:szCs w:val="20"/>
              </w:rPr>
            </w:pPr>
          </w:p>
        </w:tc>
        <w:tc>
          <w:tcPr>
            <w:tcW w:w="555" w:type="dxa"/>
            <w:vMerge w:val="continue"/>
          </w:tcPr>
          <w:p w14:paraId="0FEB4035">
            <w:pPr>
              <w:spacing w:line="240" w:lineRule="atLeast"/>
              <w:jc w:val="left"/>
              <w:rPr>
                <w:rFonts w:ascii="仿宋_GB2312" w:hAnsi="仿宋_GB2312" w:eastAsia="仿宋_GB2312" w:cs="仿宋_GB2312"/>
                <w:sz w:val="20"/>
                <w:szCs w:val="20"/>
              </w:rPr>
            </w:pPr>
          </w:p>
        </w:tc>
        <w:tc>
          <w:tcPr>
            <w:tcW w:w="784" w:type="dxa"/>
            <w:vAlign w:val="center"/>
          </w:tcPr>
          <w:p w14:paraId="095BE8B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FD9C0E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F978E7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399EA4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709AF8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619444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BF3FDD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FDA2B5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8AC471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F8B6F7C">
            <w:pPr>
              <w:spacing w:line="240" w:lineRule="atLeast"/>
              <w:jc w:val="left"/>
              <w:rPr>
                <w:rFonts w:ascii="仿宋_GB2312" w:hAnsi="仿宋_GB2312" w:eastAsia="仿宋_GB2312" w:cs="仿宋_GB2312"/>
                <w:sz w:val="20"/>
                <w:szCs w:val="20"/>
              </w:rPr>
            </w:pPr>
          </w:p>
        </w:tc>
      </w:tr>
      <w:tr w14:paraId="4EC88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DA4877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195</w:t>
            </w:r>
          </w:p>
        </w:tc>
        <w:tc>
          <w:tcPr>
            <w:tcW w:w="555" w:type="dxa"/>
            <w:vAlign w:val="center"/>
          </w:tcPr>
          <w:p w14:paraId="7CAAD33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行政检查</w:t>
            </w:r>
          </w:p>
        </w:tc>
        <w:tc>
          <w:tcPr>
            <w:tcW w:w="784" w:type="dxa"/>
            <w:vAlign w:val="center"/>
          </w:tcPr>
          <w:p w14:paraId="22E2BFE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对外国的组织或者个人来华测绘的监督检查</w:t>
            </w:r>
          </w:p>
        </w:tc>
        <w:tc>
          <w:tcPr>
            <w:tcW w:w="660" w:type="dxa"/>
            <w:vAlign w:val="center"/>
          </w:tcPr>
          <w:p w14:paraId="77A4371E">
            <w:pPr>
              <w:snapToGrid w:val="0"/>
              <w:spacing w:line="240" w:lineRule="atLeast"/>
              <w:jc w:val="center"/>
              <w:rPr>
                <w:rFonts w:ascii="仿宋_GB2312" w:hAnsi="仿宋_GB2312" w:eastAsia="仿宋_GB2312" w:cs="仿宋_GB2312"/>
                <w:sz w:val="20"/>
                <w:szCs w:val="20"/>
              </w:rPr>
            </w:pPr>
          </w:p>
        </w:tc>
        <w:tc>
          <w:tcPr>
            <w:tcW w:w="615" w:type="dxa"/>
            <w:vAlign w:val="center"/>
          </w:tcPr>
          <w:p w14:paraId="3C77277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8CA6BE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测绘地理信息管理科（测绘地理信息局）</w:t>
            </w:r>
          </w:p>
        </w:tc>
        <w:tc>
          <w:tcPr>
            <w:tcW w:w="4605" w:type="dxa"/>
            <w:vAlign w:val="center"/>
          </w:tcPr>
          <w:p w14:paraId="396C8D3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八条：外国的组织或者个人在中华人民共和国领域和中华人民共和国管辖的其他海域从事测绘活动，应当经国务院测绘地理信息主管部门会同军队测绘部门批准，并遵守中华人民共和国有关法律、行政法规的规定。</w:t>
            </w:r>
          </w:p>
          <w:p w14:paraId="4B82D1E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外国的组织或者个人在中华人民共和国领域从事测绘活动，应当与中华人民共和国有关部门或者单位合作进行，并不得涉及国家秘密和危害国家安全。</w:t>
            </w:r>
          </w:p>
          <w:p w14:paraId="26105BB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地方性法规】《广西壮族自治区测绘管理条例》（1995年自治区第八届人民代表大会常务委员会第14次会议通过，2019年修订）第四十九条：外国的组织或者个人在本自治区行政区域从事测绘活动，必须持国务院测绘行政主管部门会同军队测绘主管部门的批准文件，报自治区人民政府测绘行政主管部门备案后，按照法律、行政法规的规定，在批准的区域和范围内从事测绘活动，并接受当地测绘行政主管部门的监督管理。</w:t>
            </w:r>
          </w:p>
          <w:p w14:paraId="2EF4230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3.【部门规章】《外国的组织或者个人来华测绘管理暂行办法》（2007年国土资源部令第38号公布，2019年自然资源部第5号令第二次修正）第十六条： 县级以上地方人民政府自然资源主管部门，应当加强对本行政区域内来华测绘的监督管理，定期对下列内容进行检查：（一）是否涉及国家安全和秘密；（二）是否在《测绘资质证书》载明的业务范围内进行；（三）是否按照国务院自然资源主管部门批准的内容进行；（四）是否按照《中华人民共和国测绘成果管理条例》的有关规定汇交测绘成果副本或者目录；（五）是否保证了中方测绘人员全程参与具体测绘活动。</w:t>
            </w:r>
          </w:p>
        </w:tc>
        <w:tc>
          <w:tcPr>
            <w:tcW w:w="3585" w:type="dxa"/>
            <w:vAlign w:val="center"/>
          </w:tcPr>
          <w:p w14:paraId="4D45A93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1.告知责任：自然资源主管部门告知检查内容。</w:t>
            </w:r>
          </w:p>
          <w:p w14:paraId="3E0B3A8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2.检查责任：被检外国的组织或者个人应配合监督检查；检查单位应当按照检查方案规定的程序，开展检查工作。</w:t>
            </w:r>
          </w:p>
          <w:p w14:paraId="02B4452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3.处理责任：通报本行政区域对外国组织或者个人来华测绘的监督检查情况。</w:t>
            </w:r>
          </w:p>
          <w:p w14:paraId="1B44D67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4．监管责任：强化测绘市场对外国的组织或者个人来华测绘的监督检查管理。</w:t>
            </w:r>
          </w:p>
          <w:p w14:paraId="463B810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72E2A08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1.【部门规章】《外国的组织或者个人来华测绘管理暂行办法》（2007年国土资源部令第38号公布，2019年自然资源部第5号令第二次修正））第十六条： 县级以上地方人民政府自然资源主管部门，应当加强对本行政区域内来华测绘的监督管理，定期对下列内容进行检查：（一）是否涉及国家安全和秘密；（二）是否在《测绘资质证书》载明的业务范围内进行；（三）是否按照国务院自然资源主管部门批准的内容进行；（四）是否按照《中华人民共和国测绘成果管理条例》的有关规定汇交测绘成果副本或者目录；（五）是否保证了中方测绘人员全程参与具体测绘活动。</w:t>
            </w:r>
          </w:p>
          <w:p w14:paraId="0E5E7DE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2.同1。</w:t>
            </w:r>
          </w:p>
          <w:p w14:paraId="541AE11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3.同1。</w:t>
            </w:r>
          </w:p>
          <w:p w14:paraId="4AE1E5C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4—1.【规范性文件】《国务院办公厅转发测绘局等部门关于整顿和规范地理信息市场秩序意见的通知》（国办发〔2009〕4号）二（四）加强对外国组织和个人来华测绘活动的监管。</w:t>
            </w:r>
          </w:p>
          <w:p w14:paraId="539A2B7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4—2.【部门规章】《外国的组织或者个人来华测绘管理暂行办法》（2007年国土资源部令第38号公布，2019年自然资源部第5号令第二次修正））第四条第二款 ： 县级以上各级人民政府自然资源主管部门依照法律、行政法规和规章的规定，对来华测绘履行监督管理职责。</w:t>
            </w:r>
          </w:p>
          <w:p w14:paraId="52EF7E3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3【地方性法规】《广西壮族自治区测绘管理条例》第四十九条：：外国的组织或者个人在本自治区行政区域从事测绘活动，必须持国务院测绘行政主管部门会同军队测绘主管部门的批准文件，报自治区人民政府测绘行政主管部门备案后，按照法律、行政法规的规定，在批准的区域和范围内从事测绘活动，并接受当地测绘行政主管部门的监督管理。</w:t>
            </w:r>
          </w:p>
        </w:tc>
        <w:tc>
          <w:tcPr>
            <w:tcW w:w="330" w:type="dxa"/>
            <w:vAlign w:val="center"/>
          </w:tcPr>
          <w:p w14:paraId="5C968290">
            <w:pPr>
              <w:snapToGrid w:val="0"/>
              <w:spacing w:line="240" w:lineRule="atLeast"/>
              <w:jc w:val="center"/>
              <w:rPr>
                <w:rFonts w:ascii="仿宋_GB2312" w:hAnsi="仿宋_GB2312" w:eastAsia="仿宋_GB2312" w:cs="仿宋_GB2312"/>
                <w:sz w:val="20"/>
                <w:szCs w:val="20"/>
              </w:rPr>
            </w:pPr>
          </w:p>
        </w:tc>
      </w:tr>
    </w:tbl>
    <w:p w14:paraId="0019E967"/>
    <w:p w14:paraId="5410FA85"/>
    <w:p w14:paraId="26D4FDA4"/>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1647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98417B3">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81AFC79">
            <w:pPr>
              <w:spacing w:line="240" w:lineRule="atLeast"/>
              <w:rPr>
                <w:rFonts w:asciiTheme="majorEastAsia" w:hAnsiTheme="majorEastAsia" w:eastAsiaTheme="majorEastAsia" w:cstheme="majorEastAsia"/>
                <w:spacing w:val="-20"/>
                <w:sz w:val="20"/>
                <w:szCs w:val="20"/>
              </w:rPr>
            </w:pPr>
          </w:p>
          <w:p w14:paraId="3E44225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18937D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45DE51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74364E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A16A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C63B353">
            <w:pPr>
              <w:spacing w:line="240" w:lineRule="atLeast"/>
              <w:jc w:val="left"/>
              <w:rPr>
                <w:rFonts w:ascii="仿宋_GB2312" w:hAnsi="仿宋_GB2312" w:eastAsia="仿宋_GB2312" w:cs="仿宋_GB2312"/>
                <w:sz w:val="20"/>
                <w:szCs w:val="20"/>
              </w:rPr>
            </w:pPr>
          </w:p>
        </w:tc>
        <w:tc>
          <w:tcPr>
            <w:tcW w:w="555" w:type="dxa"/>
            <w:vMerge w:val="continue"/>
          </w:tcPr>
          <w:p w14:paraId="70F2667A">
            <w:pPr>
              <w:spacing w:line="240" w:lineRule="atLeast"/>
              <w:jc w:val="left"/>
              <w:rPr>
                <w:rFonts w:ascii="仿宋_GB2312" w:hAnsi="仿宋_GB2312" w:eastAsia="仿宋_GB2312" w:cs="仿宋_GB2312"/>
                <w:sz w:val="20"/>
                <w:szCs w:val="20"/>
              </w:rPr>
            </w:pPr>
          </w:p>
        </w:tc>
        <w:tc>
          <w:tcPr>
            <w:tcW w:w="784" w:type="dxa"/>
            <w:vAlign w:val="center"/>
          </w:tcPr>
          <w:p w14:paraId="0D1E794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DCB1A9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58B3A7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067FCC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7FBE30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4A63F9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45AA9C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CEC097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C9DB97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135E993">
            <w:pPr>
              <w:spacing w:line="240" w:lineRule="atLeast"/>
              <w:jc w:val="left"/>
              <w:rPr>
                <w:rFonts w:ascii="仿宋_GB2312" w:hAnsi="仿宋_GB2312" w:eastAsia="仿宋_GB2312" w:cs="仿宋_GB2312"/>
                <w:sz w:val="20"/>
                <w:szCs w:val="20"/>
              </w:rPr>
            </w:pPr>
          </w:p>
        </w:tc>
      </w:tr>
      <w:tr w14:paraId="1E6F2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3E52CB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196</w:t>
            </w:r>
          </w:p>
        </w:tc>
        <w:tc>
          <w:tcPr>
            <w:tcW w:w="555" w:type="dxa"/>
            <w:vAlign w:val="center"/>
          </w:tcPr>
          <w:p w14:paraId="2EE2FA2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行政检查</w:t>
            </w:r>
          </w:p>
        </w:tc>
        <w:tc>
          <w:tcPr>
            <w:tcW w:w="784" w:type="dxa"/>
            <w:vAlign w:val="center"/>
          </w:tcPr>
          <w:p w14:paraId="15222E9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对地图编制、出版、展示、登载和互联网地图服务的监督检查</w:t>
            </w:r>
          </w:p>
        </w:tc>
        <w:tc>
          <w:tcPr>
            <w:tcW w:w="660" w:type="dxa"/>
            <w:vAlign w:val="center"/>
          </w:tcPr>
          <w:p w14:paraId="0F4FC27A">
            <w:pPr>
              <w:snapToGrid w:val="0"/>
              <w:spacing w:line="240" w:lineRule="atLeast"/>
              <w:jc w:val="center"/>
              <w:rPr>
                <w:rFonts w:ascii="仿宋_GB2312" w:hAnsi="仿宋_GB2312" w:eastAsia="仿宋_GB2312" w:cs="仿宋_GB2312"/>
                <w:sz w:val="20"/>
                <w:szCs w:val="20"/>
              </w:rPr>
            </w:pPr>
          </w:p>
        </w:tc>
        <w:tc>
          <w:tcPr>
            <w:tcW w:w="615" w:type="dxa"/>
            <w:vAlign w:val="center"/>
          </w:tcPr>
          <w:p w14:paraId="697B519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30AF7A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测绘地理信息管理科（测绘地理信息局）</w:t>
            </w:r>
          </w:p>
        </w:tc>
        <w:tc>
          <w:tcPr>
            <w:tcW w:w="4605" w:type="dxa"/>
            <w:vAlign w:val="center"/>
          </w:tcPr>
          <w:p w14:paraId="5917087F">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三十八条第三款：县级以上人民政府和测绘地理信息主管部门、网信部门等有关部门应当加强对地图编制、出版、展示、登载和互联网地图服务的监督管理，保证地图质量，维护国家主权、安全和利益。</w:t>
            </w:r>
          </w:p>
          <w:p w14:paraId="33315A69">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2.【行政法规】《地图管理条例》（2015年国务院令第664号公布，2016年施行）第二条：在中华人民共和国境内从事向社会公开的地图的编制、审核、出版和互联网地图服务以及监督检查活动，应当遵守本条例。</w:t>
            </w:r>
          </w:p>
          <w:p w14:paraId="5131F885">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第四十二条：县级以上人民政府及其有关部门应当依法加强对地图编制、出版、展示、登载、生产、销售、进口、出口等活动的监督检查。</w:t>
            </w:r>
          </w:p>
          <w:p w14:paraId="720C237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地方性法规】《广西壮族自治区测绘管理条例》（1995年自治区第八届人民代表大会常务委员会第14次会议通过，2019年修订）第二十九条：地图的编制、出版、展示、登载、更新和互联网地图服务等活动应当遵守国家和自治区有关地图管理的规定。</w:t>
            </w:r>
          </w:p>
        </w:tc>
        <w:tc>
          <w:tcPr>
            <w:tcW w:w="3585" w:type="dxa"/>
            <w:vAlign w:val="center"/>
          </w:tcPr>
          <w:p w14:paraId="02FB5553">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1.告知责任：发通知告知检查内容。</w:t>
            </w:r>
          </w:p>
          <w:p w14:paraId="40659A95">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2.检查责任：根据举报、调研等情况，确定被检查单位，被检单位或者个人应配合监督检查；检查单位应当按照检查方案规定的程序，开展检查工作。</w:t>
            </w:r>
          </w:p>
          <w:p w14:paraId="302C3E6B">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3.处理责任：被检单位或者个人对检查结果有异议的，应当在收到检查结果之日起15日内，向组织实施的测绘地理信息主管部门提出书面异议报告。</w:t>
            </w:r>
          </w:p>
          <w:p w14:paraId="6D6A07DB">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4．监管责任：强化地图市场的监督管理。</w:t>
            </w:r>
          </w:p>
          <w:p w14:paraId="06E7FFE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144D43D0">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法律】《中华人民共和国测绘法》第三十八条第三款：县级以上人民政府和测绘地理信息主管部门、网信部门等有关部门应当加强对地图编制、出版、展示、登载和互联网地图服务的监督管理，保证地图质量，维护国家主权、安全和利益。</w:t>
            </w:r>
          </w:p>
          <w:p w14:paraId="273F16BF">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行政法规】《地图管理条例》（2015年国务院令第664号）第二条：在中华人民共和国境内从事向社会公开的地图的编制、审核、出版和互联网地图服务以及监督检查活动，应当遵守本条例。第四十二条：县级以上人民政府及其有关部门应当依法加强对地图编制、出版、展示、登载、生产、销售、进口、出口等活动的监督检查。</w:t>
            </w:r>
          </w:p>
          <w:p w14:paraId="1F48FA73">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3.【地方性法规】《广西壮族自治区测绘管理条例》（1995年自治区第八届人民代表大会常务委员会第14次会议通过，2019年修订）第二十九条：地图的编制、出版、展示、登载、更新和互联网地图服务等活动应当遵守国家和自治区有关地图管理的规定。</w:t>
            </w:r>
          </w:p>
          <w:p w14:paraId="57B3B0F1">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2.【法律】同1。</w:t>
            </w:r>
          </w:p>
          <w:p w14:paraId="00DB5ACA">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3.【法律】《中华人民共和国行政诉讼法》第四十五条：公民、法人或者其他组织不服复议决定的，可以在收到复议决定书之日起十五日内向人民法院提起诉讼。</w:t>
            </w:r>
          </w:p>
          <w:p w14:paraId="03578E7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4．【法律】同1。</w:t>
            </w:r>
          </w:p>
        </w:tc>
        <w:tc>
          <w:tcPr>
            <w:tcW w:w="330" w:type="dxa"/>
            <w:vAlign w:val="center"/>
          </w:tcPr>
          <w:p w14:paraId="17CF5B80">
            <w:pPr>
              <w:snapToGrid w:val="0"/>
              <w:spacing w:line="240" w:lineRule="atLeast"/>
              <w:jc w:val="center"/>
              <w:rPr>
                <w:rFonts w:ascii="仿宋_GB2312" w:hAnsi="仿宋_GB2312" w:eastAsia="仿宋_GB2312" w:cs="仿宋_GB2312"/>
                <w:sz w:val="20"/>
                <w:szCs w:val="20"/>
              </w:rPr>
            </w:pPr>
          </w:p>
        </w:tc>
      </w:tr>
    </w:tbl>
    <w:p w14:paraId="338758A3"/>
    <w:p w14:paraId="66C0B306"/>
    <w:p w14:paraId="790C199C"/>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F613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10C5BE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538CDF9">
            <w:pPr>
              <w:spacing w:line="240" w:lineRule="atLeast"/>
              <w:rPr>
                <w:rFonts w:asciiTheme="majorEastAsia" w:hAnsiTheme="majorEastAsia" w:eastAsiaTheme="majorEastAsia" w:cstheme="majorEastAsia"/>
                <w:spacing w:val="-20"/>
                <w:sz w:val="20"/>
                <w:szCs w:val="20"/>
              </w:rPr>
            </w:pPr>
          </w:p>
          <w:p w14:paraId="1E65306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3F0094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11D3C8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7972128">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204C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8953DD3">
            <w:pPr>
              <w:spacing w:line="240" w:lineRule="atLeast"/>
              <w:jc w:val="left"/>
              <w:rPr>
                <w:rFonts w:ascii="仿宋_GB2312" w:hAnsi="仿宋_GB2312" w:eastAsia="仿宋_GB2312" w:cs="仿宋_GB2312"/>
                <w:sz w:val="20"/>
                <w:szCs w:val="20"/>
              </w:rPr>
            </w:pPr>
          </w:p>
        </w:tc>
        <w:tc>
          <w:tcPr>
            <w:tcW w:w="555" w:type="dxa"/>
            <w:vMerge w:val="continue"/>
          </w:tcPr>
          <w:p w14:paraId="1FF3E344">
            <w:pPr>
              <w:spacing w:line="240" w:lineRule="atLeast"/>
              <w:jc w:val="left"/>
              <w:rPr>
                <w:rFonts w:ascii="仿宋_GB2312" w:hAnsi="仿宋_GB2312" w:eastAsia="仿宋_GB2312" w:cs="仿宋_GB2312"/>
                <w:sz w:val="20"/>
                <w:szCs w:val="20"/>
              </w:rPr>
            </w:pPr>
          </w:p>
        </w:tc>
        <w:tc>
          <w:tcPr>
            <w:tcW w:w="784" w:type="dxa"/>
            <w:vAlign w:val="center"/>
          </w:tcPr>
          <w:p w14:paraId="08956C9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F34542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04CD32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B3EBB5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A03F01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6D2847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08BAC5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9639C3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96CF33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BD7B0AE">
            <w:pPr>
              <w:spacing w:line="240" w:lineRule="atLeast"/>
              <w:jc w:val="left"/>
              <w:rPr>
                <w:rFonts w:ascii="仿宋_GB2312" w:hAnsi="仿宋_GB2312" w:eastAsia="仿宋_GB2312" w:cs="仿宋_GB2312"/>
                <w:sz w:val="20"/>
                <w:szCs w:val="20"/>
              </w:rPr>
            </w:pPr>
          </w:p>
        </w:tc>
      </w:tr>
      <w:tr w14:paraId="6936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B3225B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197</w:t>
            </w:r>
          </w:p>
        </w:tc>
        <w:tc>
          <w:tcPr>
            <w:tcW w:w="555" w:type="dxa"/>
            <w:vAlign w:val="center"/>
          </w:tcPr>
          <w:p w14:paraId="278D765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行政检查</w:t>
            </w:r>
          </w:p>
        </w:tc>
        <w:tc>
          <w:tcPr>
            <w:tcW w:w="784" w:type="dxa"/>
            <w:vAlign w:val="center"/>
          </w:tcPr>
          <w:p w14:paraId="06705B3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城乡规划编制、审批、实施、修改的监督检查</w:t>
            </w:r>
          </w:p>
        </w:tc>
        <w:tc>
          <w:tcPr>
            <w:tcW w:w="660" w:type="dxa"/>
            <w:vAlign w:val="center"/>
          </w:tcPr>
          <w:p w14:paraId="4B541659">
            <w:pPr>
              <w:snapToGrid w:val="0"/>
              <w:spacing w:line="240" w:lineRule="atLeast"/>
              <w:jc w:val="center"/>
              <w:rPr>
                <w:rFonts w:ascii="仿宋_GB2312" w:hAnsi="仿宋_GB2312" w:eastAsia="仿宋_GB2312" w:cs="仿宋_GB2312"/>
                <w:sz w:val="20"/>
                <w:szCs w:val="20"/>
              </w:rPr>
            </w:pPr>
          </w:p>
        </w:tc>
        <w:tc>
          <w:tcPr>
            <w:tcW w:w="615" w:type="dxa"/>
            <w:vAlign w:val="center"/>
          </w:tcPr>
          <w:p w14:paraId="757A774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EDEDEDA">
            <w:pPr>
              <w:snapToGrid w:val="0"/>
              <w:spacing w:line="240" w:lineRule="atLeast"/>
              <w:rPr>
                <w:rFonts w:ascii="仿宋_GB2312" w:hAnsi="仿宋_GB2312" w:eastAsia="仿宋_GB2312" w:cs="仿宋_GB2312"/>
                <w:sz w:val="20"/>
                <w:szCs w:val="20"/>
              </w:rPr>
            </w:pPr>
            <w:r>
              <w:rPr>
                <w:rFonts w:hint="eastAsia" w:ascii="仿宋_GB2312" w:hAnsi="仿宋_GB2312" w:eastAsia="仿宋_GB2312" w:cs="仿宋_GB2312"/>
                <w:sz w:val="20"/>
                <w:szCs w:val="20"/>
              </w:rPr>
              <w:t>国土空间规划科</w:t>
            </w:r>
          </w:p>
        </w:tc>
        <w:tc>
          <w:tcPr>
            <w:tcW w:w="4605" w:type="dxa"/>
            <w:vAlign w:val="center"/>
          </w:tcPr>
          <w:p w14:paraId="3D9D4C4E">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1.【法律】《中华人民共和国城乡规划法》第五十一条：县级以上人民政府及其城乡规划主管部门应当加强对城乡规划编制、审批、实施、修改的监督检查。</w:t>
            </w:r>
          </w:p>
          <w:p w14:paraId="3C770E3A">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第五十三条：县级以上人民政府城乡规划主管部门对城乡规划的实施情况进行监督检查，有权采取以下措施：</w:t>
            </w:r>
          </w:p>
          <w:p w14:paraId="585FA5EC">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（一）要求有关单位和人员提供与监督事项有关的文件、资料，并进行复制；</w:t>
            </w:r>
          </w:p>
          <w:p w14:paraId="1A3E3436">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（二）要求有关单位和人员就监督事项涉及的问题作出解释和说明，并根据需要进入现场进行勘测；</w:t>
            </w:r>
          </w:p>
          <w:p w14:paraId="52F60E39">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（三）责令有关单位和人员停止违反有关城乡规划的法律、法规的行为。</w:t>
            </w:r>
          </w:p>
          <w:p w14:paraId="68582CF2">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城乡规划主管部门的工作人员履行前款规定的监督检查职责，应当出示执法证件。被监督检查的单位和人员应当予以配合，不得妨碍和阻挠依法进行的监督检查活动。</w:t>
            </w:r>
          </w:p>
          <w:p w14:paraId="6CB5BD4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 【地方性法规】《广西壮族自治区实施《中华人民共和国城乡规划法》办法》（2010年3月31日广西壮族自治区第十一届人民代表大会常务委员会第十四次会议通过，2016年11月30日广西壮族自治区第十二届人民代表大会常务委员会第二十六次会议修正）第五十一条：县级以上人民政府及其城乡规划主管部门应当依法加强对城乡规划编制、审查、审批、实施、修改的监督检查；自治区农垦主管部门及其建设规划管理机构应当加强对农垦管区各项规划实施的监督检查。</w:t>
            </w:r>
          </w:p>
        </w:tc>
        <w:tc>
          <w:tcPr>
            <w:tcW w:w="3585" w:type="dxa"/>
            <w:vAlign w:val="center"/>
          </w:tcPr>
          <w:p w14:paraId="0AFD8F81">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1.告知责任：制定检查督查方案，下发检查督查通知（暗访不发通知）。</w:t>
            </w:r>
          </w:p>
          <w:p w14:paraId="39140251">
            <w:pPr>
              <w:widowControl/>
              <w:adjustRightInd w:val="0"/>
              <w:snapToGrid w:val="0"/>
              <w:spacing w:line="272"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2.检查责任：检查督查时工作人员不得少于2人，应当持《检查督查通知书》或相关证件进行检查。</w:t>
            </w:r>
          </w:p>
          <w:p w14:paraId="5CDEC20A">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对检查督查中发现的一般性问题，应及时告知当地政府或有关部门；对违反城乡规划编制、审批、实施、修改工作要求及有关法规政策的重大问题，经报自治区政府同意后，由自治区自然资源厅进行挂牌督办，并向当地政府或有关部门发送《检查督查意见书》。所在地政府或有关部门对《检查督查意见书》指出的问题，及时向自治区督查组书面说明情况、提出整改措施，并逐项整改落实。造成重大损失和影响的案件，依法追究相关责任人责任。</w:t>
            </w:r>
          </w:p>
          <w:p w14:paraId="0A426AE6">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4．监管责任：对《检查督查意见书》指出问题的整改情况进行监管。</w:t>
            </w:r>
          </w:p>
          <w:p w14:paraId="74F82FB0">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建设用地和建设工程是否已办理规划许可；（2）城乡规划许可的执行情况；（3）规划控制情况；（4）建设工程竣工规划核实；（5）建（构）筑物的规划使用性质；（6）按照相关规定应当监督检查的其他内容。</w:t>
            </w:r>
          </w:p>
          <w:p w14:paraId="3569676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64107E88">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1—1.【法律】《中华人民共和国城乡规划法》第五十一条：县级以上人民政府及其城乡规划主管部门应当加强对城乡规划编制、审批、实施、修改的监督检查。</w:t>
            </w:r>
          </w:p>
          <w:p w14:paraId="09CC2923">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地方性法规】《广西壮族自治区实施《中华人民共和国城乡规划法》办法》（2010年3月31日广西壮族自治区第十一届人民代表大会常务委员会第十四次会议通过，2016年11月30日广西壮族自治区第十二届人民代表大会常务委员会第二十六次会议修正）第五十一条：县级以上人民政府及其城乡规划主管部门应当依法加强对城乡规划编制、审查、审批、实施、修改的监督检查；自治区农垦主管部门及其建设规划管理机构应当加强对农垦管区各项规划实施的监督检查。</w:t>
            </w:r>
          </w:p>
          <w:p w14:paraId="2BF172D9">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2.同1—1.1-2。</w:t>
            </w:r>
          </w:p>
          <w:p w14:paraId="2BD5734D">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3.同1—1.1-2。</w:t>
            </w:r>
          </w:p>
          <w:p w14:paraId="0C7FA78C">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地方性法规】《广西壮族自治区实施《中华人民共和国城乡规划法》办法》（2010年3月31日广西壮族自治区第十一届人民代表大会常务委员会第十四次会议通过，2016年11月30日广西壮族自治区第十二届人民代表大会常务委员会第二十六次会议修正）第五十六条：城乡规划主管部门和镇、乡人民政府应当重点加强以下城乡规划许可实施情况的监督检查：</w:t>
            </w:r>
          </w:p>
          <w:p w14:paraId="1D39FCF0">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（一）建设用地和建设工程是否已办理规划许可；</w:t>
            </w:r>
          </w:p>
          <w:p w14:paraId="0FDBD44E">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（二）城乡规划许可的执行情况；</w:t>
            </w:r>
          </w:p>
          <w:p w14:paraId="0741D761">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（三）规划控制情况；</w:t>
            </w:r>
          </w:p>
          <w:p w14:paraId="6F5CECA2">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（四）建设工程竣工规划核实；</w:t>
            </w:r>
          </w:p>
          <w:p w14:paraId="5A56161F">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（五）建（构）筑物的规划使用性质；</w:t>
            </w:r>
          </w:p>
          <w:p w14:paraId="227C382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（六）按照相关规定应当监督检查的其他内容。</w:t>
            </w:r>
          </w:p>
        </w:tc>
        <w:tc>
          <w:tcPr>
            <w:tcW w:w="330" w:type="dxa"/>
            <w:vAlign w:val="center"/>
          </w:tcPr>
          <w:p w14:paraId="7A2DD011">
            <w:pPr>
              <w:snapToGrid w:val="0"/>
              <w:spacing w:line="240" w:lineRule="atLeast"/>
              <w:jc w:val="center"/>
              <w:rPr>
                <w:rFonts w:ascii="仿宋_GB2312" w:hAnsi="仿宋_GB2312" w:eastAsia="仿宋_GB2312" w:cs="仿宋_GB2312"/>
                <w:sz w:val="20"/>
                <w:szCs w:val="20"/>
              </w:rPr>
            </w:pPr>
          </w:p>
        </w:tc>
      </w:tr>
    </w:tbl>
    <w:p w14:paraId="3A04E88D"/>
    <w:p w14:paraId="609BADB3"/>
    <w:p w14:paraId="35C96976"/>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ABBE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0FE4A1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38E13E1">
            <w:pPr>
              <w:spacing w:line="240" w:lineRule="atLeast"/>
              <w:rPr>
                <w:rFonts w:asciiTheme="majorEastAsia" w:hAnsiTheme="majorEastAsia" w:eastAsiaTheme="majorEastAsia" w:cstheme="majorEastAsia"/>
                <w:spacing w:val="-20"/>
                <w:sz w:val="20"/>
                <w:szCs w:val="20"/>
              </w:rPr>
            </w:pPr>
          </w:p>
          <w:p w14:paraId="51472D5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65A379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893378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CE6E61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120D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780C2E0">
            <w:pPr>
              <w:spacing w:line="240" w:lineRule="atLeast"/>
              <w:jc w:val="left"/>
              <w:rPr>
                <w:rFonts w:ascii="仿宋_GB2312" w:hAnsi="仿宋_GB2312" w:eastAsia="仿宋_GB2312" w:cs="仿宋_GB2312"/>
                <w:sz w:val="20"/>
                <w:szCs w:val="20"/>
              </w:rPr>
            </w:pPr>
          </w:p>
        </w:tc>
        <w:tc>
          <w:tcPr>
            <w:tcW w:w="555" w:type="dxa"/>
            <w:vMerge w:val="continue"/>
          </w:tcPr>
          <w:p w14:paraId="441CC642">
            <w:pPr>
              <w:spacing w:line="240" w:lineRule="atLeast"/>
              <w:jc w:val="left"/>
              <w:rPr>
                <w:rFonts w:ascii="仿宋_GB2312" w:hAnsi="仿宋_GB2312" w:eastAsia="仿宋_GB2312" w:cs="仿宋_GB2312"/>
                <w:sz w:val="20"/>
                <w:szCs w:val="20"/>
              </w:rPr>
            </w:pPr>
          </w:p>
        </w:tc>
        <w:tc>
          <w:tcPr>
            <w:tcW w:w="784" w:type="dxa"/>
            <w:vAlign w:val="center"/>
          </w:tcPr>
          <w:p w14:paraId="7B39EE5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C43AE6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A90F2C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373487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28DDBA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268655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76B3EA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4EA410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D0DB14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CCC4E8F">
            <w:pPr>
              <w:spacing w:line="240" w:lineRule="atLeast"/>
              <w:jc w:val="left"/>
              <w:rPr>
                <w:rFonts w:ascii="仿宋_GB2312" w:hAnsi="仿宋_GB2312" w:eastAsia="仿宋_GB2312" w:cs="仿宋_GB2312"/>
                <w:sz w:val="20"/>
                <w:szCs w:val="20"/>
              </w:rPr>
            </w:pPr>
          </w:p>
        </w:tc>
      </w:tr>
      <w:tr w14:paraId="40E7F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2AF29D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198</w:t>
            </w:r>
          </w:p>
        </w:tc>
        <w:tc>
          <w:tcPr>
            <w:tcW w:w="555" w:type="dxa"/>
            <w:vAlign w:val="center"/>
          </w:tcPr>
          <w:p w14:paraId="6706394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行政检查</w:t>
            </w:r>
          </w:p>
        </w:tc>
        <w:tc>
          <w:tcPr>
            <w:tcW w:w="784" w:type="dxa"/>
            <w:vAlign w:val="center"/>
          </w:tcPr>
          <w:p w14:paraId="2C4CC9E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对不动产测绘的监督检查</w:t>
            </w:r>
          </w:p>
        </w:tc>
        <w:tc>
          <w:tcPr>
            <w:tcW w:w="660" w:type="dxa"/>
            <w:vAlign w:val="center"/>
          </w:tcPr>
          <w:p w14:paraId="2D95BF9B">
            <w:pPr>
              <w:snapToGrid w:val="0"/>
              <w:spacing w:line="240" w:lineRule="atLeast"/>
              <w:jc w:val="center"/>
              <w:rPr>
                <w:rFonts w:ascii="仿宋_GB2312" w:hAnsi="仿宋_GB2312" w:eastAsia="仿宋_GB2312" w:cs="仿宋_GB2312"/>
                <w:sz w:val="20"/>
                <w:szCs w:val="20"/>
              </w:rPr>
            </w:pPr>
          </w:p>
        </w:tc>
        <w:tc>
          <w:tcPr>
            <w:tcW w:w="615" w:type="dxa"/>
            <w:vAlign w:val="center"/>
          </w:tcPr>
          <w:p w14:paraId="6C01493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CA7E93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测绘地理信息管理科（测绘地理信息局）</w:t>
            </w:r>
          </w:p>
        </w:tc>
        <w:tc>
          <w:tcPr>
            <w:tcW w:w="4605" w:type="dxa"/>
            <w:vAlign w:val="center"/>
          </w:tcPr>
          <w:p w14:paraId="560701B1">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【法律】《中华人民共和国测绘法》第二十二条第一款：县级以上人民政府测绘地理信息主管部门应当会同本级人民政府不动产登记主管部门，加强对不动产测绘的管理。</w:t>
            </w:r>
          </w:p>
          <w:p w14:paraId="29E35EA1">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第四十九条：县级以上人民政府测绘地理信息主管部门应当建立健全随机抽查机制，依法履行监督检查职责，发现涉嫌违反本法规定行为的，可以依法采取下列措施：</w:t>
            </w:r>
          </w:p>
          <w:p w14:paraId="5E5C3A14">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（一）查阅、复制有关合同、票据、账簿、登记台账以及其他有关文件、资料；</w:t>
            </w:r>
          </w:p>
          <w:p w14:paraId="1E773FBD">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（二）查封、扣押与涉嫌违法测绘行为直接相关的设备、工具、原材料、测绘成果资料等。</w:t>
            </w:r>
          </w:p>
          <w:p w14:paraId="177CE984">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被检查的单位和个人应当配合，如实提供有关文件、资料，不得隐瞒、拒绝和阻碍。</w:t>
            </w:r>
          </w:p>
          <w:p w14:paraId="0A31078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任何单位和个人对违反本法规定的行为，有权向县级以上人民政府测绘地理信息主管部门举报。接到举报的测绘地理信息主管部门应当及时依法处理。</w:t>
            </w:r>
          </w:p>
        </w:tc>
        <w:tc>
          <w:tcPr>
            <w:tcW w:w="3585" w:type="dxa"/>
            <w:vAlign w:val="center"/>
          </w:tcPr>
          <w:p w14:paraId="1943126C">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1.告知责任：测绘地理信息主管部门告知检查内容。</w:t>
            </w:r>
          </w:p>
          <w:p w14:paraId="790CCE80">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2.检查责任：被检单位应配合监督检查；检查单位应当按照检查方案规定的程序，开展检查工作。</w:t>
            </w:r>
          </w:p>
          <w:p w14:paraId="397775D1">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3.处理责任：受检单位对监督检验结论有异议的，可以自收到检验结论之日起十五个工作日内向组织实施质量监督抽查的测绘行政主管部门提出书面异议报告。</w:t>
            </w:r>
          </w:p>
          <w:p w14:paraId="39D00936">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4．监管责任：制定措施，强化不动产测绘的监督管理工作。</w:t>
            </w:r>
          </w:p>
          <w:p w14:paraId="1006F97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4BD41400">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 【法律】《中华人民共和国测绘法》第二十二条第一款：县级以上人民政府测绘地理信息主管部门应当会同本级人民政府不动产登记主管部门，加强对不动产测绘的管理。</w:t>
            </w:r>
          </w:p>
          <w:p w14:paraId="153E36FB">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 【法律】《中华人民共和国测绘法》第四十九条：县级以上人民政府测绘地理信息主管部门应当建立健全随机抽查机制，依法履行监督检查职责，发现涉嫌违反本法规定行为的，可以依法采取下列措施：（一）查阅、复制有关合同、票据、账簿、登记台账以及其他有关文件、资料；（二）查封、扣押与涉嫌违法测绘行为直接相关的设备、工具、原材料、测绘成果资料等。</w:t>
            </w:r>
          </w:p>
          <w:p w14:paraId="6505E4CE">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被检查的单位和个人应当配合，如实提供有关文件、资料，不得隐瞒、拒绝和阻碍。</w:t>
            </w:r>
          </w:p>
          <w:p w14:paraId="1E6EAA70">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任何单位和个人对违反本法规定的行为，有权向县级以上人民政府测绘地理信息主管部门举报。接到举报的测绘地理信息主管部门应当及时依法处理。</w:t>
            </w:r>
          </w:p>
          <w:p w14:paraId="00DD10AD">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2—1.同1。</w:t>
            </w:r>
          </w:p>
          <w:p w14:paraId="181ADAAF">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规范性文件】《测绘成果质量监督抽查管理办法》（国测国发〔2010〕9号）第十一条：检验单位应当制定技术方案，技术方案经测绘行政主管部门批准后，检验单位组织具备相应专业知识和技术能力的检验人员，开展检验工作。</w:t>
            </w:r>
          </w:p>
          <w:p w14:paraId="400183D0">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测绘成果质量监督抽查管理办法》（国测国发〔2010〕9号）第十七条：受检单位对监督检验结论有异议的，可以自收到检验结论之日起十五个工作日内向组织实施质量监督抽查的测绘行政主管部门提出书面异议报告，并抄送检验单位。逾期未提出异议的，视为认可检验结论。。</w:t>
            </w:r>
          </w:p>
          <w:p w14:paraId="55738657">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4—1.【法律】《中华人民共和国测绘法》第四条第二款 ：县级以上地方人民政府测绘地理信息主管部门负责本行政区域测绘工作的统一监督管理。县级以上地方人民政府其他有关部门按照本级人民政府规定的职责分工，负责本部门有关的测绘工作。</w:t>
            </w:r>
          </w:p>
          <w:p w14:paraId="26BAB82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2.【地方性法规】《广西壮族自治区测绘管理条例》（1995年自治区第八届人民代表大会常务委员会第14次会议通过，2019年7月25日广西壮族自治区第十三届人民代表大会常务委员会第十次会议第二次修订）第三条：自治区人民政府测绘地理信息主管部门负责本自治区测绘工作的统一监督管理。设区的市、县级人民政府测绘地理信息主管部门，负责本行政区域内测绘工作的统一监督管理。县级以上人民政府其他有关部门按照本级人民政府规定的职责分工，负责本部门有关的测绘工作。</w:t>
            </w:r>
          </w:p>
        </w:tc>
        <w:tc>
          <w:tcPr>
            <w:tcW w:w="330" w:type="dxa"/>
            <w:vAlign w:val="center"/>
          </w:tcPr>
          <w:p w14:paraId="28BC7878">
            <w:pPr>
              <w:snapToGrid w:val="0"/>
              <w:spacing w:line="240" w:lineRule="atLeast"/>
              <w:jc w:val="center"/>
              <w:rPr>
                <w:rFonts w:ascii="仿宋_GB2312" w:hAnsi="仿宋_GB2312" w:eastAsia="仿宋_GB2312" w:cs="仿宋_GB2312"/>
                <w:sz w:val="20"/>
                <w:szCs w:val="20"/>
              </w:rPr>
            </w:pPr>
          </w:p>
        </w:tc>
      </w:tr>
    </w:tbl>
    <w:p w14:paraId="19684D2F"/>
    <w:p w14:paraId="61E8C2E1"/>
    <w:p w14:paraId="67FFAE2B"/>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07DA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157CD37">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64E0D00">
            <w:pPr>
              <w:spacing w:line="240" w:lineRule="atLeast"/>
              <w:rPr>
                <w:rFonts w:asciiTheme="majorEastAsia" w:hAnsiTheme="majorEastAsia" w:eastAsiaTheme="majorEastAsia" w:cstheme="majorEastAsia"/>
                <w:spacing w:val="-20"/>
                <w:sz w:val="20"/>
                <w:szCs w:val="20"/>
              </w:rPr>
            </w:pPr>
          </w:p>
          <w:p w14:paraId="7863311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83BB9C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C60CC3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DB0A52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FB7D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A0AB388">
            <w:pPr>
              <w:spacing w:line="240" w:lineRule="atLeast"/>
              <w:jc w:val="left"/>
              <w:rPr>
                <w:rFonts w:ascii="仿宋_GB2312" w:hAnsi="仿宋_GB2312" w:eastAsia="仿宋_GB2312" w:cs="仿宋_GB2312"/>
                <w:sz w:val="20"/>
                <w:szCs w:val="20"/>
              </w:rPr>
            </w:pPr>
          </w:p>
        </w:tc>
        <w:tc>
          <w:tcPr>
            <w:tcW w:w="555" w:type="dxa"/>
            <w:vMerge w:val="continue"/>
          </w:tcPr>
          <w:p w14:paraId="4F729B85">
            <w:pPr>
              <w:spacing w:line="240" w:lineRule="atLeast"/>
              <w:jc w:val="left"/>
              <w:rPr>
                <w:rFonts w:ascii="仿宋_GB2312" w:hAnsi="仿宋_GB2312" w:eastAsia="仿宋_GB2312" w:cs="仿宋_GB2312"/>
                <w:sz w:val="20"/>
                <w:szCs w:val="20"/>
              </w:rPr>
            </w:pPr>
          </w:p>
        </w:tc>
        <w:tc>
          <w:tcPr>
            <w:tcW w:w="784" w:type="dxa"/>
            <w:vAlign w:val="center"/>
          </w:tcPr>
          <w:p w14:paraId="699429C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7665E9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6CE42F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2869E2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F0BD2F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E99968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E46E41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D11A8B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CEA364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FC4D4C1">
            <w:pPr>
              <w:spacing w:line="240" w:lineRule="atLeast"/>
              <w:jc w:val="left"/>
              <w:rPr>
                <w:rFonts w:ascii="仿宋_GB2312" w:hAnsi="仿宋_GB2312" w:eastAsia="仿宋_GB2312" w:cs="仿宋_GB2312"/>
                <w:sz w:val="20"/>
                <w:szCs w:val="20"/>
              </w:rPr>
            </w:pPr>
          </w:p>
        </w:tc>
      </w:tr>
      <w:tr w14:paraId="4A8F5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D95FF2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199</w:t>
            </w:r>
          </w:p>
        </w:tc>
        <w:tc>
          <w:tcPr>
            <w:tcW w:w="555" w:type="dxa"/>
            <w:vAlign w:val="center"/>
          </w:tcPr>
          <w:p w14:paraId="0C30DA3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行政检查</w:t>
            </w:r>
          </w:p>
        </w:tc>
        <w:tc>
          <w:tcPr>
            <w:tcW w:w="784" w:type="dxa"/>
            <w:vAlign w:val="center"/>
          </w:tcPr>
          <w:p w14:paraId="03F887A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对地理信息安全的监督检查</w:t>
            </w:r>
          </w:p>
        </w:tc>
        <w:tc>
          <w:tcPr>
            <w:tcW w:w="660" w:type="dxa"/>
            <w:vAlign w:val="center"/>
          </w:tcPr>
          <w:p w14:paraId="167255F8">
            <w:pPr>
              <w:snapToGrid w:val="0"/>
              <w:spacing w:line="240" w:lineRule="atLeast"/>
              <w:jc w:val="center"/>
              <w:rPr>
                <w:rFonts w:ascii="仿宋_GB2312" w:hAnsi="仿宋_GB2312" w:eastAsia="仿宋_GB2312" w:cs="仿宋_GB2312"/>
                <w:sz w:val="20"/>
                <w:szCs w:val="20"/>
              </w:rPr>
            </w:pPr>
          </w:p>
        </w:tc>
        <w:tc>
          <w:tcPr>
            <w:tcW w:w="615" w:type="dxa"/>
            <w:vAlign w:val="center"/>
          </w:tcPr>
          <w:p w14:paraId="7FCFEB3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82A262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测绘地理信息管理科（测绘地理信息局）</w:t>
            </w:r>
          </w:p>
        </w:tc>
        <w:tc>
          <w:tcPr>
            <w:tcW w:w="4605" w:type="dxa"/>
            <w:vAlign w:val="center"/>
          </w:tcPr>
          <w:p w14:paraId="28B88DF6">
            <w:pPr>
              <w:widowControl/>
              <w:adjustRightInd w:val="0"/>
              <w:snapToGrid w:val="0"/>
              <w:spacing w:line="300" w:lineRule="exact"/>
              <w:ind w:firstLine="400" w:firstLineChars="200"/>
              <w:jc w:val="left"/>
              <w:rPr>
                <w:rFonts w:ascii="宋体" w:hAnsi="宋体" w:cs="宋体"/>
                <w:snapToGrid w:val="0"/>
                <w:sz w:val="20"/>
                <w:szCs w:val="20"/>
              </w:rPr>
            </w:pPr>
            <w:r>
              <w:rPr>
                <w:rFonts w:hint="eastAsia" w:ascii="宋体" w:hAnsi="宋体" w:cs="宋体"/>
                <w:snapToGrid w:val="0"/>
                <w:sz w:val="20"/>
                <w:szCs w:val="20"/>
              </w:rPr>
              <w:t>【法律】《中华人民共和国测绘法》第四十六条　县级以上人民政府测绘地理信息主管部门应当会同本级人民政府其他有关部门建立地理信息安全管理制度和技术防控体系，并加强对地理信息安全的监督管理。</w:t>
            </w:r>
          </w:p>
          <w:p w14:paraId="3B191992">
            <w:pPr>
              <w:widowControl/>
              <w:adjustRightInd w:val="0"/>
              <w:snapToGrid w:val="0"/>
              <w:spacing w:line="300" w:lineRule="exact"/>
              <w:ind w:firstLine="400" w:firstLineChars="200"/>
              <w:jc w:val="left"/>
              <w:rPr>
                <w:rFonts w:ascii="宋体" w:hAnsi="宋体" w:cs="宋体"/>
                <w:snapToGrid w:val="0"/>
                <w:sz w:val="20"/>
                <w:szCs w:val="20"/>
              </w:rPr>
            </w:pPr>
          </w:p>
          <w:p w14:paraId="798052D3">
            <w:pPr>
              <w:widowControl/>
              <w:adjustRightInd w:val="0"/>
              <w:snapToGrid w:val="0"/>
              <w:spacing w:line="300" w:lineRule="exact"/>
              <w:ind w:firstLine="400" w:firstLineChars="200"/>
              <w:jc w:val="left"/>
              <w:rPr>
                <w:rFonts w:ascii="宋体" w:hAnsi="宋体" w:cs="宋体"/>
                <w:snapToGrid w:val="0"/>
                <w:sz w:val="20"/>
                <w:szCs w:val="20"/>
              </w:rPr>
            </w:pPr>
            <w:r>
              <w:rPr>
                <w:rFonts w:hint="eastAsia" w:ascii="宋体" w:hAnsi="宋体" w:cs="宋体"/>
                <w:snapToGrid w:val="0"/>
                <w:sz w:val="20"/>
                <w:szCs w:val="20"/>
              </w:rPr>
              <w:t>第四十七条：地理信息生产、保管、利用单位应当对属于国家秘密的地理信息的获取、持有、提供、利用情况进行登记并长期保存，实行可追溯管理。从事测绘活动涉及获取、持有、提供、利用属于国家秘密的地理信息，应当遵守保密法律、行政法规和国家有关规定。</w:t>
            </w:r>
          </w:p>
          <w:p w14:paraId="115764CB">
            <w:pPr>
              <w:widowControl/>
              <w:adjustRightInd w:val="0"/>
              <w:snapToGrid w:val="0"/>
              <w:spacing w:line="300" w:lineRule="exact"/>
              <w:ind w:firstLine="400" w:firstLineChars="200"/>
              <w:jc w:val="left"/>
              <w:rPr>
                <w:rFonts w:ascii="宋体" w:hAnsi="宋体" w:cs="宋体"/>
                <w:snapToGrid w:val="0"/>
                <w:sz w:val="20"/>
                <w:szCs w:val="20"/>
              </w:rPr>
            </w:pPr>
            <w:r>
              <w:rPr>
                <w:rFonts w:hint="eastAsia" w:ascii="宋体" w:hAnsi="宋体" w:cs="宋体"/>
                <w:snapToGrid w:val="0"/>
                <w:sz w:val="20"/>
                <w:szCs w:val="20"/>
              </w:rPr>
              <w:t>第四十九条：县级以上人民政府测绘地理信息主管部门应当建立健全随机抽查机制，依法履行监督检查职责，发现涉嫌违反本法规定行为的，可以依法采取下列措施：</w:t>
            </w:r>
          </w:p>
          <w:p w14:paraId="45E2450F">
            <w:pPr>
              <w:widowControl/>
              <w:adjustRightInd w:val="0"/>
              <w:snapToGrid w:val="0"/>
              <w:spacing w:line="300" w:lineRule="exact"/>
              <w:ind w:firstLine="400" w:firstLineChars="200"/>
              <w:jc w:val="left"/>
              <w:rPr>
                <w:rFonts w:ascii="宋体" w:hAnsi="宋体" w:cs="宋体"/>
                <w:snapToGrid w:val="0"/>
                <w:sz w:val="20"/>
                <w:szCs w:val="20"/>
              </w:rPr>
            </w:pPr>
            <w:r>
              <w:rPr>
                <w:rFonts w:hint="eastAsia" w:ascii="宋体" w:hAnsi="宋体" w:cs="宋体"/>
                <w:snapToGrid w:val="0"/>
                <w:sz w:val="20"/>
                <w:szCs w:val="20"/>
              </w:rPr>
              <w:t>（一）查阅、复制有关合同、票据、账簿、登记台账以及其他有关文件、资料；</w:t>
            </w:r>
          </w:p>
          <w:p w14:paraId="6E358034">
            <w:pPr>
              <w:widowControl/>
              <w:adjustRightInd w:val="0"/>
              <w:snapToGrid w:val="0"/>
              <w:spacing w:line="300" w:lineRule="exact"/>
              <w:ind w:firstLine="400" w:firstLineChars="200"/>
              <w:jc w:val="left"/>
              <w:rPr>
                <w:rFonts w:ascii="宋体" w:hAnsi="宋体" w:cs="宋体"/>
                <w:snapToGrid w:val="0"/>
                <w:sz w:val="20"/>
                <w:szCs w:val="20"/>
              </w:rPr>
            </w:pPr>
            <w:r>
              <w:rPr>
                <w:rFonts w:hint="eastAsia" w:ascii="宋体" w:hAnsi="宋体" w:cs="宋体"/>
                <w:snapToGrid w:val="0"/>
                <w:sz w:val="20"/>
                <w:szCs w:val="20"/>
              </w:rPr>
              <w:t>（二）查封、扣押与涉嫌违法测绘行为直接相关的设备、工具、原材料、测绘成果资料等。</w:t>
            </w:r>
          </w:p>
          <w:p w14:paraId="5E27AA8D">
            <w:pPr>
              <w:widowControl/>
              <w:adjustRightInd w:val="0"/>
              <w:snapToGrid w:val="0"/>
              <w:spacing w:line="300" w:lineRule="exact"/>
              <w:ind w:firstLine="400" w:firstLineChars="200"/>
              <w:jc w:val="left"/>
              <w:rPr>
                <w:rFonts w:ascii="宋体" w:hAnsi="宋体" w:cs="宋体"/>
                <w:snapToGrid w:val="0"/>
                <w:sz w:val="20"/>
                <w:szCs w:val="20"/>
              </w:rPr>
            </w:pPr>
            <w:r>
              <w:rPr>
                <w:rFonts w:hint="eastAsia" w:ascii="宋体" w:hAnsi="宋体" w:cs="宋体"/>
                <w:snapToGrid w:val="0"/>
                <w:sz w:val="20"/>
                <w:szCs w:val="20"/>
              </w:rPr>
              <w:t>被检查的单位和个人应当配合，如实提供有关文件、资料，不得隐瞒、拒绝和阻碍。</w:t>
            </w:r>
          </w:p>
          <w:p w14:paraId="5D7A0899">
            <w:pPr>
              <w:snapToGrid w:val="0"/>
              <w:spacing w:line="240" w:lineRule="atLeast"/>
              <w:ind w:firstLine="400" w:firstLineChars="200"/>
              <w:rPr>
                <w:rFonts w:ascii="仿宋_GB2312" w:hAnsi="仿宋_GB2312" w:eastAsia="仿宋_GB2312" w:cs="仿宋_GB2312"/>
                <w:sz w:val="20"/>
                <w:szCs w:val="20"/>
              </w:rPr>
            </w:pPr>
            <w:r>
              <w:rPr>
                <w:rFonts w:hint="eastAsia" w:ascii="宋体" w:hAnsi="宋体" w:cs="宋体"/>
                <w:snapToGrid w:val="0"/>
                <w:sz w:val="20"/>
                <w:szCs w:val="20"/>
              </w:rPr>
              <w:t>任何单位和个人对违反本法规定的行为，有权向县级以上人民政府测绘地理信息主管部门举报。接到举报的测绘地理信息主管部门应当及时依法处理。</w:t>
            </w:r>
          </w:p>
        </w:tc>
        <w:tc>
          <w:tcPr>
            <w:tcW w:w="3585" w:type="dxa"/>
            <w:vAlign w:val="center"/>
          </w:tcPr>
          <w:p w14:paraId="2D40CFAA">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1.告知责任：测绘地理信息主管部门告知检查内容。</w:t>
            </w:r>
          </w:p>
          <w:p w14:paraId="31A07BA9">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2.检查责任：被检单位或个人应配合监督检查；检查单位应当按照检查方案规定的程序，开展检查工作。</w:t>
            </w:r>
          </w:p>
          <w:p w14:paraId="16BDB092">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3.处理责任：被检单位或个人对检查结果有异议的，应当在收到检查结果之日起15日内，向组织实施的测绘地理信息主管部门提出书面异议报告。</w:t>
            </w:r>
          </w:p>
          <w:p w14:paraId="03FA5795">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4.监管责任：制定措施，强化地理信息安全的监督管理工作。</w:t>
            </w:r>
          </w:p>
          <w:p w14:paraId="0A5579A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5D9AFB15">
            <w:pPr>
              <w:widowControl/>
              <w:adjustRightInd w:val="0"/>
              <w:snapToGrid w:val="0"/>
              <w:spacing w:line="294" w:lineRule="exact"/>
              <w:ind w:firstLine="400" w:firstLineChars="200"/>
            </w:pPr>
            <w:r>
              <w:rPr>
                <w:rFonts w:hint="eastAsia" w:eastAsia="仿宋_GB2312"/>
                <w:snapToGrid w:val="0"/>
                <w:color w:val="000000"/>
                <w:sz w:val="20"/>
                <w:szCs w:val="20"/>
              </w:rPr>
              <w:t>1—1. 【法律】《中华人民共和国测绘法》第四十六条：县级以上人民政府测绘地理信息主管部门应当会同本级人民政府其他有关部门建立地理信息安全管理制度和技术防控体系，并加强对地理信息安全的监督管理。</w:t>
            </w:r>
          </w:p>
          <w:p w14:paraId="09C46B86">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 【法律】《中华人民共和国测绘法》第四十九条：县级以上人民政府测绘地理信息主管部门应当建立健全随机抽查机制，依法履行监督检查职责，发现涉嫌违反本法规定行为的，可以依法采取下列措施：（一）查阅、复制有关合同、票据、账簿、登记台账以及其他有关文件、资料；（二）查封、扣押与涉嫌违法测绘行为直接相关的设备、工具、原材料、测绘成果资料等。</w:t>
            </w:r>
          </w:p>
          <w:p w14:paraId="587F5BEE">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被检查的单位和个人应当配合，如实提供有关文件、资料，不得隐瞒、拒绝和阻碍。</w:t>
            </w:r>
          </w:p>
          <w:p w14:paraId="786FFC77">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任何单位和个人对违反本法规定的行为，有权向县级以上人民政府测绘地理信息主管部门举报。接到举报的测绘地理信息主管部门应当及时依法处理。</w:t>
            </w:r>
          </w:p>
          <w:p w14:paraId="55199D99">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2.同1。</w:t>
            </w:r>
          </w:p>
          <w:p w14:paraId="432E4989">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3.同1。</w:t>
            </w:r>
          </w:p>
          <w:p w14:paraId="60918B79">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4—1.【法律】《中华人民共和国测绘法》第四条第二款 ：县级以上地方人民政府测绘地理信息主管部门负责本行政区域测绘工作的统一监督管理。县级以上地方人民政府其他有关部门按照本级人民政府规定的职责分工，负责本部门有关的测绘工作。</w:t>
            </w:r>
          </w:p>
          <w:p w14:paraId="6281156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2.【地方性法规】《广西壮族自治区测绘管理条例》（1995年自治区第八届人民代表大会常务委员会第14次会议通过，2019年7月25日广西壮族自治区第十三届人民代表大会常务委员会第十次会议第二次修订）第三条：自治区人民政府测绘地理信息主管部门负责本自治区测绘工作的统一监督管理。设区的市、县级人民政府测绘地理信息主管部门，负责本行政区域内测绘工作的统一监督管理。县级以上人民政府其他有关部门按照本级人民政府规定的职责分工，负责本部门有关的测绘工作。</w:t>
            </w:r>
          </w:p>
        </w:tc>
        <w:tc>
          <w:tcPr>
            <w:tcW w:w="330" w:type="dxa"/>
            <w:vAlign w:val="center"/>
          </w:tcPr>
          <w:p w14:paraId="2F13C532">
            <w:pPr>
              <w:snapToGrid w:val="0"/>
              <w:spacing w:line="240" w:lineRule="atLeast"/>
              <w:jc w:val="center"/>
              <w:rPr>
                <w:rFonts w:ascii="仿宋_GB2312" w:hAnsi="仿宋_GB2312" w:eastAsia="仿宋_GB2312" w:cs="仿宋_GB2312"/>
                <w:sz w:val="20"/>
                <w:szCs w:val="20"/>
              </w:rPr>
            </w:pPr>
          </w:p>
        </w:tc>
      </w:tr>
    </w:tbl>
    <w:p w14:paraId="5EE0FC65"/>
    <w:p w14:paraId="096CDB3A"/>
    <w:p w14:paraId="5A0864A3"/>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7170"/>
        <w:gridCol w:w="3255"/>
        <w:gridCol w:w="7280"/>
        <w:gridCol w:w="330"/>
      </w:tblGrid>
      <w:tr w14:paraId="15ADB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3667BC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C991F89">
            <w:pPr>
              <w:spacing w:line="240" w:lineRule="atLeast"/>
              <w:rPr>
                <w:rFonts w:asciiTheme="majorEastAsia" w:hAnsiTheme="majorEastAsia" w:eastAsiaTheme="majorEastAsia" w:cstheme="majorEastAsia"/>
                <w:spacing w:val="-20"/>
                <w:sz w:val="20"/>
                <w:szCs w:val="20"/>
              </w:rPr>
            </w:pPr>
          </w:p>
          <w:p w14:paraId="072369D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10339" w:type="dxa"/>
            <w:gridSpan w:val="5"/>
            <w:vAlign w:val="center"/>
          </w:tcPr>
          <w:p w14:paraId="2E9111D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0535" w:type="dxa"/>
            <w:gridSpan w:val="2"/>
            <w:vAlign w:val="center"/>
          </w:tcPr>
          <w:p w14:paraId="0E5EC18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76CD4A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8143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CCD8A07">
            <w:pPr>
              <w:spacing w:line="240" w:lineRule="atLeast"/>
              <w:jc w:val="left"/>
              <w:rPr>
                <w:rFonts w:ascii="仿宋_GB2312" w:hAnsi="仿宋_GB2312" w:eastAsia="仿宋_GB2312" w:cs="仿宋_GB2312"/>
                <w:sz w:val="20"/>
                <w:szCs w:val="20"/>
              </w:rPr>
            </w:pPr>
          </w:p>
        </w:tc>
        <w:tc>
          <w:tcPr>
            <w:tcW w:w="555" w:type="dxa"/>
            <w:vMerge w:val="continue"/>
          </w:tcPr>
          <w:p w14:paraId="48B3D32B">
            <w:pPr>
              <w:spacing w:line="240" w:lineRule="atLeast"/>
              <w:jc w:val="left"/>
              <w:rPr>
                <w:rFonts w:ascii="仿宋_GB2312" w:hAnsi="仿宋_GB2312" w:eastAsia="仿宋_GB2312" w:cs="仿宋_GB2312"/>
                <w:sz w:val="20"/>
                <w:szCs w:val="20"/>
              </w:rPr>
            </w:pPr>
          </w:p>
        </w:tc>
        <w:tc>
          <w:tcPr>
            <w:tcW w:w="784" w:type="dxa"/>
            <w:vAlign w:val="center"/>
          </w:tcPr>
          <w:p w14:paraId="5E7C7B0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1B9B99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14C8FF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BC5DCE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E611E4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7170" w:type="dxa"/>
            <w:vAlign w:val="center"/>
          </w:tcPr>
          <w:p w14:paraId="3BA5FDB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255" w:type="dxa"/>
            <w:vAlign w:val="center"/>
          </w:tcPr>
          <w:p w14:paraId="70F9395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3EDA1D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280" w:type="dxa"/>
            <w:vAlign w:val="center"/>
          </w:tcPr>
          <w:p w14:paraId="05A7E4A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92566D7">
            <w:pPr>
              <w:spacing w:line="240" w:lineRule="atLeast"/>
              <w:jc w:val="left"/>
              <w:rPr>
                <w:rFonts w:ascii="仿宋_GB2312" w:hAnsi="仿宋_GB2312" w:eastAsia="仿宋_GB2312" w:cs="仿宋_GB2312"/>
                <w:sz w:val="20"/>
                <w:szCs w:val="20"/>
              </w:rPr>
            </w:pPr>
          </w:p>
        </w:tc>
      </w:tr>
      <w:tr w14:paraId="0112A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7D4F88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200</w:t>
            </w:r>
          </w:p>
        </w:tc>
        <w:tc>
          <w:tcPr>
            <w:tcW w:w="555" w:type="dxa"/>
            <w:vAlign w:val="center"/>
          </w:tcPr>
          <w:p w14:paraId="1335D4F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行政检查</w:t>
            </w:r>
          </w:p>
        </w:tc>
        <w:tc>
          <w:tcPr>
            <w:tcW w:w="784" w:type="dxa"/>
            <w:vAlign w:val="center"/>
          </w:tcPr>
          <w:p w14:paraId="5EDC8B6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对测绘资质的监督检查</w:t>
            </w:r>
          </w:p>
        </w:tc>
        <w:tc>
          <w:tcPr>
            <w:tcW w:w="660" w:type="dxa"/>
            <w:vAlign w:val="center"/>
          </w:tcPr>
          <w:p w14:paraId="73715B09">
            <w:pPr>
              <w:snapToGrid w:val="0"/>
              <w:spacing w:line="240" w:lineRule="atLeast"/>
              <w:jc w:val="center"/>
              <w:rPr>
                <w:rFonts w:ascii="仿宋_GB2312" w:hAnsi="仿宋_GB2312" w:eastAsia="仿宋_GB2312" w:cs="仿宋_GB2312"/>
                <w:sz w:val="20"/>
                <w:szCs w:val="20"/>
              </w:rPr>
            </w:pPr>
          </w:p>
        </w:tc>
        <w:tc>
          <w:tcPr>
            <w:tcW w:w="615" w:type="dxa"/>
            <w:vAlign w:val="center"/>
          </w:tcPr>
          <w:p w14:paraId="071A91A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5B7E20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测绘地理信息管理科（测绘地理信息局）</w:t>
            </w:r>
          </w:p>
        </w:tc>
        <w:tc>
          <w:tcPr>
            <w:tcW w:w="7170" w:type="dxa"/>
            <w:vAlign w:val="center"/>
          </w:tcPr>
          <w:p w14:paraId="642C9F0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1.【法律】《中华人民共和国测绘法》第四条：国务院测绘地理信息主管部门负责全国测绘工作的统一监督管理。国务院其他有关部门按照国务院规定的职责分工，负责本部门有关的测绘工作。</w:t>
            </w:r>
          </w:p>
          <w:p w14:paraId="7C42499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县级以上地方人民政府测绘地理信息主管部门负责本行政区域测绘工作的统一监督管理。县级以上地方人民政府其他有关部门按照本级人民政府规定的职责分工，负责本部门有关的测绘工作。</w:t>
            </w:r>
          </w:p>
          <w:p w14:paraId="7A925AF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军队测绘部门负责管理军事部门的测绘工作，并按照国务院、中央军事委员会规定的职责分工负责管理海洋基础测绘工作。</w:t>
            </w:r>
          </w:p>
          <w:p w14:paraId="0FBB914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国务院测绘地理信息主管部门和省、自治区、直辖市人民政府测绘地理信息主管部门按照各自的职责负责测绘资质审查、发放测绘资质证书。具体办法由国务院测绘地理信息主管部门商国务院其他有关部门规定。</w:t>
            </w:r>
          </w:p>
          <w:p w14:paraId="3DAA37F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军队测绘部门负责军事测绘单位的测绘资质审查。</w:t>
            </w:r>
          </w:p>
          <w:p w14:paraId="26197E9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地方性法规】《广西壮族自治区测绘管理条例》（1995年自治区第八届人民代表大会常务委员会第14次会议通过，2019年修订）第三条：自治区人民政府测绘地理信息主管部门负责本自治区测绘工作的统一监督管理。设区的市、县级人民政府测绘地理信息主管部门，负责本行政区域内测绘工作的统一监督管理。县级以上人民政府其他有关部门按照本级人民政府规定的职责分工，负责本部门有关的测绘工作。</w:t>
            </w:r>
          </w:p>
          <w:p w14:paraId="3197012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第四十四条： 县级以上人民政府测绘地理信息主管部门应当加强测绘地理信息市场统一监督管理，设置举报电话、举报信箱等。任何单位和个人都有权对测绘地理信息违法行为进行举报，接到举报的测绘地理信息主管部门应当依法处理。</w:t>
            </w:r>
          </w:p>
          <w:p w14:paraId="2D2FE96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3.【规范性文件】《测绘资质管理规定》（国测管发〔2014〕31号）第三条第二款 ： 县级以上地方人民政府测绘地理信息行政主管部门负责本行政区域内测绘资质的监督管理工作。</w:t>
            </w:r>
          </w:p>
          <w:p w14:paraId="72CD138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第二十四条：实行测绘资质巡查制度。各级测绘地理信息行政主管部门应当有计划地对测绘资质单位执行《测绘资质管理规定》和《测绘资质分级标准》的有关情况进行巡查。</w:t>
            </w:r>
          </w:p>
          <w:p w14:paraId="7FF07AE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国家测绘地理信息局负责指导全国测绘资质巡查工作，并对省级测绘地理信息行政主管部门开展的巡查工作进行抽查。</w:t>
            </w:r>
          </w:p>
          <w:p w14:paraId="5D834AC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省级测绘地理信息行政主管部门负责制定本行政区域内测绘资质巡查工作计划，并组织实施。每年巡查比例不少于本行政区域内各等级测绘资质单位总数的5%。</w:t>
            </w:r>
          </w:p>
          <w:p w14:paraId="4E23002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各级测绘地理信息行政主管部门组织开展测绘资质巡查工作，应当事先向被巡查单位发出书面通知，告知巡查时间、巡查内容和具体要求。巡查结束后，应当向被巡查单位书面反馈意见。</w:t>
            </w:r>
          </w:p>
        </w:tc>
        <w:tc>
          <w:tcPr>
            <w:tcW w:w="3255" w:type="dxa"/>
            <w:vAlign w:val="center"/>
          </w:tcPr>
          <w:p w14:paraId="7513113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1.告知责任：测绘地理信息主管部门告知巡查时间、巡查内容和具体要求。</w:t>
            </w:r>
          </w:p>
          <w:p w14:paraId="0ECF54F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2.检查责任：被检单位应配合监督检查；检查单位应当按照检查方案规定的程序，开展检查工作。</w:t>
            </w:r>
          </w:p>
          <w:p w14:paraId="0A1DC7B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3.处理责任：测绘资质单位违法从事测绘活动的，依照《中华人民共和国测绘法》及有关法律、法规的规定予以处罚。</w:t>
            </w:r>
          </w:p>
          <w:p w14:paraId="50BEE16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4.监管责任：制定措施，强化测绘资质的监督管理工作。</w:t>
            </w:r>
          </w:p>
          <w:p w14:paraId="5B30506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7280" w:type="dxa"/>
            <w:vAlign w:val="center"/>
          </w:tcPr>
          <w:p w14:paraId="248B2C4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1.【规范性文件】《测绘成果质量监督抽查管理办法》（国测国发〔2010〕9号）第七条：测绘行政主管部门组织实施质量监督抽查时，应当制定工作方案，发布通告，开具通知单，审批技术方案。</w:t>
            </w:r>
          </w:p>
          <w:p w14:paraId="150F260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第十三条：检验开始时，检验单位应当组织召开首次会，向受检单位出示测绘行政主管部门开具的监督抽查通知单，并告知检验依据、方法、程序等。</w:t>
            </w:r>
          </w:p>
          <w:p w14:paraId="0195283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检验过程中，检验单位应当按照技术方案规定的程序，开展检验工作。检验单位可根据需要，向测绘项目出资人、设计单位、施测单位、质检单位等调查、了解项目相关情况，实施现场检验。</w:t>
            </w:r>
          </w:p>
          <w:p w14:paraId="548B640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检验完成后，检验单位应当组织召开末次会，通报检验中发现的问题，提出改进意见和建议。</w:t>
            </w:r>
          </w:p>
          <w:p w14:paraId="52C4CFC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规范性文件】《测绘成果质量监督抽查管理办法》（国测国发〔2010〕9号）第十四条：受检单位应当配合监督检验工作，提供与受检项目相关的合同、质量文件、成果资料、仪器检定资料等，对检验所需的仪器、设备等给予配合和协助。</w:t>
            </w:r>
          </w:p>
          <w:p w14:paraId="753CD32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第十三条：检验开始时，检验单位应当组织召开首次会，向受检单位出示测绘行政主管部门开具的监督抽查通知单，并告知检验依据、方法、程序等。</w:t>
            </w:r>
          </w:p>
          <w:p w14:paraId="4FE8844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检验过程中，检验单位应当按照技术方案规定的程序，开展检验工作。检验单位可根据需要，向测绘项目出资人、设计单位、施测单位、质检单位等调查、了解项目相关情况，实施现场检验。</w:t>
            </w:r>
          </w:p>
          <w:p w14:paraId="6DA43DB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检验完成后，检验单位应当组织召开末次会，通报检验中发现的问题，提出改进意见和建议。</w:t>
            </w:r>
          </w:p>
          <w:p w14:paraId="2C2A84F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3.【法律】《中华人民共和国测绘法》第四十九条：县级以上人民政府测绘地理信息主管部门应当建立健全随机抽查机制，依法履行监督检查职责，发现涉嫌违反本法规定行为的，可以依法采取下列措施：</w:t>
            </w:r>
          </w:p>
          <w:p w14:paraId="34D12F0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（一）查阅、复制有关合同、票据、账簿、登记台账以及其他有关文件、资料；</w:t>
            </w:r>
          </w:p>
          <w:p w14:paraId="1C746A4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（二）查封、扣押与涉嫌违法测绘行为直接相关的设备、工具、原材料、测绘成果资料等。</w:t>
            </w:r>
          </w:p>
          <w:p w14:paraId="0F6BDEC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被检查的单位和个人应当配合，如实提供有关文件、资料，不得隐瞒、拒绝和阻碍。</w:t>
            </w:r>
          </w:p>
          <w:p w14:paraId="1AD54C4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任何单位和个人对违反本法规定的行为，有权向县级以上人民政府测绘地理信息主管部门举报。接到举报的测绘地理信息主管部门应当及时依法处理。</w:t>
            </w:r>
          </w:p>
          <w:p w14:paraId="3CF554E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规范性文件】《测绘成果质量监督抽查管理办法》（国测国发〔2010〕9号）第一条：为规范测绘成果质量监督抽查（以下简称“质量监督抽查”）工作，加强测绘质量的监督管理，根据《中华人民共和国测绘法》等有关法律、法规，制定本办法。</w:t>
            </w:r>
          </w:p>
        </w:tc>
        <w:tc>
          <w:tcPr>
            <w:tcW w:w="330" w:type="dxa"/>
            <w:vAlign w:val="center"/>
          </w:tcPr>
          <w:p w14:paraId="2F3D63EA">
            <w:pPr>
              <w:snapToGrid w:val="0"/>
              <w:spacing w:line="240" w:lineRule="atLeast"/>
              <w:jc w:val="center"/>
              <w:rPr>
                <w:rFonts w:ascii="仿宋_GB2312" w:hAnsi="仿宋_GB2312" w:eastAsia="仿宋_GB2312" w:cs="仿宋_GB2312"/>
                <w:sz w:val="20"/>
                <w:szCs w:val="20"/>
              </w:rPr>
            </w:pPr>
          </w:p>
        </w:tc>
      </w:tr>
    </w:tbl>
    <w:p w14:paraId="6A60521B"/>
    <w:p w14:paraId="7E986574">
      <w:pPr>
        <w:pStyle w:val="2"/>
      </w:pPr>
    </w:p>
    <w:p w14:paraId="2A6CB5CB"/>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E970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4FC4F0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E1D16E3">
            <w:pPr>
              <w:spacing w:line="240" w:lineRule="atLeast"/>
              <w:rPr>
                <w:rFonts w:asciiTheme="majorEastAsia" w:hAnsiTheme="majorEastAsia" w:eastAsiaTheme="majorEastAsia" w:cstheme="majorEastAsia"/>
                <w:spacing w:val="-20"/>
                <w:sz w:val="20"/>
                <w:szCs w:val="20"/>
              </w:rPr>
            </w:pPr>
          </w:p>
          <w:p w14:paraId="32E699E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7FF360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F46B47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3386FB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136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CFF61E9">
            <w:pPr>
              <w:spacing w:line="240" w:lineRule="atLeast"/>
              <w:jc w:val="left"/>
              <w:rPr>
                <w:rFonts w:ascii="仿宋_GB2312" w:hAnsi="仿宋_GB2312" w:eastAsia="仿宋_GB2312" w:cs="仿宋_GB2312"/>
                <w:sz w:val="20"/>
                <w:szCs w:val="20"/>
              </w:rPr>
            </w:pPr>
          </w:p>
        </w:tc>
        <w:tc>
          <w:tcPr>
            <w:tcW w:w="555" w:type="dxa"/>
            <w:vMerge w:val="continue"/>
          </w:tcPr>
          <w:p w14:paraId="6408FFDD">
            <w:pPr>
              <w:spacing w:line="240" w:lineRule="atLeast"/>
              <w:jc w:val="left"/>
              <w:rPr>
                <w:rFonts w:ascii="仿宋_GB2312" w:hAnsi="仿宋_GB2312" w:eastAsia="仿宋_GB2312" w:cs="仿宋_GB2312"/>
                <w:sz w:val="20"/>
                <w:szCs w:val="20"/>
              </w:rPr>
            </w:pPr>
          </w:p>
        </w:tc>
        <w:tc>
          <w:tcPr>
            <w:tcW w:w="784" w:type="dxa"/>
            <w:vAlign w:val="center"/>
          </w:tcPr>
          <w:p w14:paraId="0E64C46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88C989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EC496F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F27BBD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84EAE6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992766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F2B47B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D665EB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AE1DA9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D573C05">
            <w:pPr>
              <w:spacing w:line="240" w:lineRule="atLeast"/>
              <w:jc w:val="left"/>
              <w:rPr>
                <w:rFonts w:ascii="仿宋_GB2312" w:hAnsi="仿宋_GB2312" w:eastAsia="仿宋_GB2312" w:cs="仿宋_GB2312"/>
                <w:sz w:val="20"/>
                <w:szCs w:val="20"/>
              </w:rPr>
            </w:pPr>
          </w:p>
        </w:tc>
      </w:tr>
      <w:tr w14:paraId="3DD8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DE6103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201</w:t>
            </w:r>
          </w:p>
        </w:tc>
        <w:tc>
          <w:tcPr>
            <w:tcW w:w="555" w:type="dxa"/>
            <w:vAlign w:val="center"/>
          </w:tcPr>
          <w:p w14:paraId="43FFC4D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行政检查</w:t>
            </w:r>
          </w:p>
        </w:tc>
        <w:tc>
          <w:tcPr>
            <w:tcW w:w="784" w:type="dxa"/>
            <w:vAlign w:val="center"/>
          </w:tcPr>
          <w:p w14:paraId="225C2A0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对测绘市场的监督检查</w:t>
            </w:r>
          </w:p>
        </w:tc>
        <w:tc>
          <w:tcPr>
            <w:tcW w:w="660" w:type="dxa"/>
            <w:vAlign w:val="center"/>
          </w:tcPr>
          <w:p w14:paraId="7881F937">
            <w:pPr>
              <w:snapToGrid w:val="0"/>
              <w:spacing w:line="240" w:lineRule="atLeast"/>
              <w:jc w:val="center"/>
              <w:rPr>
                <w:rFonts w:ascii="仿宋_GB2312" w:hAnsi="仿宋_GB2312" w:eastAsia="仿宋_GB2312" w:cs="仿宋_GB2312"/>
                <w:sz w:val="20"/>
                <w:szCs w:val="20"/>
              </w:rPr>
            </w:pPr>
          </w:p>
        </w:tc>
        <w:tc>
          <w:tcPr>
            <w:tcW w:w="615" w:type="dxa"/>
            <w:vAlign w:val="center"/>
          </w:tcPr>
          <w:p w14:paraId="4E931D4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45FDE7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测绘地理信息管理科（测绘地理信息局）</w:t>
            </w:r>
          </w:p>
        </w:tc>
        <w:tc>
          <w:tcPr>
            <w:tcW w:w="4605" w:type="dxa"/>
            <w:vAlign w:val="center"/>
          </w:tcPr>
          <w:p w14:paraId="04A448CF">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四十九条：县级以上人民政府测绘地理信息主管部门应当建立健全随机抽查机制，依法履行监督检查职责，发现涉嫌违反本法规定行为的，可以依法采取下列措施：（一）查阅、复制有关合同、票据、账簿、登记台账以及其他有关文件、资料；（二）查封、扣押与涉嫌违法测绘行为直接相关的设备、工具、原材料、测绘成果资料等。</w:t>
            </w:r>
          </w:p>
          <w:p w14:paraId="63F44ED6">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被检查的单位和个人应当配合，如实提供有关文件、资料，不得隐瞒、拒绝和阻碍。</w:t>
            </w:r>
          </w:p>
          <w:p w14:paraId="57C9B264">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任何单位和个人对违反本法规定的行为，有权向县级以上人民政府测绘地理信息主管部门举报。接到举报的测绘地理信息主管部门应当及时依法处理</w:t>
            </w:r>
          </w:p>
          <w:p w14:paraId="563D410F">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地方性法规】《广西壮族自治区测绘管理条例》（1995年自治区第八届人民代表大会常务委员会第14次会议通过，2019年修订）第三条：自治区人民政府测绘地理信息主管部门负责本自治区测绘工作的统一监督管理。设区的市、县级人民政府测绘地理信息主管部门，负责本行政区域内测绘工作的统一监督管理。县级以上人民政府其他有关部门按照本级人民政府规定的职责分工，负责本部门有关的测绘工作。</w:t>
            </w:r>
          </w:p>
          <w:p w14:paraId="5AD93984">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四条：：县级以上人民政府测绘地理信息主管部门应当加强测绘地理信息市场统一监督管理，设置举报电话、举报信箱等。任何单位和个人都有权对测绘地理信息违法行为进行举报，接到举报的测绘地理信息主管部门应当依法处理。</w:t>
            </w:r>
          </w:p>
          <w:p w14:paraId="307B67B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3.【规范性文件】《测绘市场管理暂行办法》（1995年6月6日国家测绘局、国家工商行政管理局发布）第三条：县级以上人民政府测绘主管部门和工商行政管理部门负责监督管理本行政区域内的测绘市场。</w:t>
            </w:r>
          </w:p>
        </w:tc>
        <w:tc>
          <w:tcPr>
            <w:tcW w:w="3585" w:type="dxa"/>
            <w:vAlign w:val="center"/>
          </w:tcPr>
          <w:p w14:paraId="67C8BF4A">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1.告知责任：测绘地理信息主管部门告知检查内容。</w:t>
            </w:r>
          </w:p>
          <w:p w14:paraId="40245586">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2.检查责任：被检单位或个人应配合监督检查；检查单位应当按照检查方案规定的程序，开展检查工作。</w:t>
            </w:r>
          </w:p>
          <w:p w14:paraId="24312175">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3.处理责任：被检单位或个人对检查结果有异议的，应当在收到检查结果之日起15日内，向组织实施的测绘地理信息主管部门提出书面异议报告。</w:t>
            </w:r>
          </w:p>
          <w:p w14:paraId="4BFEEB35">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4.监管责任：制定措施，强化测绘市场的监督管理工作。</w:t>
            </w:r>
          </w:p>
          <w:p w14:paraId="0926A2D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1B0770FB">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 【法律】《中华人民共和国测绘法》第四十九条：县级以上人民政府测绘地理信息主管部门应当建立健全随机抽查机制，依法履行监督检查职责，发现涉嫌违反本法规定行为的，可以依法采取下列措施：（一）查阅、复制有关合同、票据、账簿、登记台账以及其他有关文件、资料；（二）查封、扣押与涉嫌违法测绘行为直接相关的设备、工具、原材料、测绘成果资料等。</w:t>
            </w:r>
          </w:p>
          <w:p w14:paraId="03CA75BD">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被检查的单位和个人应当配合，如实提供有关文件、资料，不得隐瞒、拒绝和阻碍。</w:t>
            </w:r>
          </w:p>
          <w:p w14:paraId="22C13751">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任何单位和个人对违反本法规定的行为，有权向县级以上人民政府测绘地理信息主管部门举报。接到举报的测绘地理信息主管部门应当及时依法处理。</w:t>
            </w:r>
          </w:p>
          <w:p w14:paraId="026A5021">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 【规范性文件】《测绘市场管理暂行办法》（1995年6月6日国家测绘局、国家工商行政管理局发布）第三条：县级以上人民政府测绘主管部门和工商行政管理部门负责监督管理本行政区域内的测绘市场。</w:t>
            </w:r>
          </w:p>
          <w:p w14:paraId="3129F321">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2.同1。</w:t>
            </w:r>
          </w:p>
          <w:p w14:paraId="6034D665">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3.【规范性文件】《测绘市场管理暂行办法》（1995年6月6日国家测绘局、国家工商行政管理局发布）第三十三条：违反本办法规定，有一列行为之一的，依照《中华人民共和国测绘法》第八章有关规定处罚。</w:t>
            </w:r>
          </w:p>
          <w:p w14:paraId="06210039">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4—1.【法律】《中华人民共和国测绘法》第四条第二款 ：县级以上地方人民政府测绘地理信息主管部门负责本行政区域测绘工作的统一监督管理。县级以上地方人民政府其他有关部门按照本级人民政府规定的职责分工，负责本部门有关的测绘工作。</w:t>
            </w:r>
          </w:p>
          <w:p w14:paraId="1ADC7B6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2.【地方性法规】《广西壮族自治区测绘管理条例》（1995年自治区第八届人民代表大会常务委员会第14次会议通过，2019年7月25日广西壮族自治区第十三届人民代表大会常务委员会第十次会议第二次修订）第三条：自治区人民政府测绘地理信息主管部门负责本自治区测绘工作的统一监督管理。设区的市、县级人民政府测绘地理信息主管部门，负责本行政区域内测绘工作的统一监督管理。县级以上人民政府其他有关部门按照本级人民政府规定的职责分工，负责本部门有关的测绘工作。</w:t>
            </w:r>
          </w:p>
        </w:tc>
        <w:tc>
          <w:tcPr>
            <w:tcW w:w="330" w:type="dxa"/>
            <w:vAlign w:val="center"/>
          </w:tcPr>
          <w:p w14:paraId="60DEBC23">
            <w:pPr>
              <w:snapToGrid w:val="0"/>
              <w:spacing w:line="240" w:lineRule="atLeast"/>
              <w:jc w:val="center"/>
              <w:rPr>
                <w:rFonts w:ascii="仿宋_GB2312" w:hAnsi="仿宋_GB2312" w:eastAsia="仿宋_GB2312" w:cs="仿宋_GB2312"/>
                <w:sz w:val="20"/>
                <w:szCs w:val="20"/>
              </w:rPr>
            </w:pPr>
          </w:p>
        </w:tc>
      </w:tr>
    </w:tbl>
    <w:p w14:paraId="69B70556"/>
    <w:p w14:paraId="69878315"/>
    <w:p w14:paraId="320D7147"/>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F51E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66C97E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4F9BE4E">
            <w:pPr>
              <w:spacing w:line="240" w:lineRule="atLeast"/>
              <w:rPr>
                <w:rFonts w:asciiTheme="majorEastAsia" w:hAnsiTheme="majorEastAsia" w:eastAsiaTheme="majorEastAsia" w:cstheme="majorEastAsia"/>
                <w:spacing w:val="-20"/>
                <w:sz w:val="20"/>
                <w:szCs w:val="20"/>
              </w:rPr>
            </w:pPr>
          </w:p>
          <w:p w14:paraId="17038AA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389967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22FD9D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5484A5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0DC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1F61ED4">
            <w:pPr>
              <w:spacing w:line="240" w:lineRule="atLeast"/>
              <w:jc w:val="left"/>
              <w:rPr>
                <w:rFonts w:ascii="仿宋_GB2312" w:hAnsi="仿宋_GB2312" w:eastAsia="仿宋_GB2312" w:cs="仿宋_GB2312"/>
                <w:sz w:val="20"/>
                <w:szCs w:val="20"/>
              </w:rPr>
            </w:pPr>
          </w:p>
        </w:tc>
        <w:tc>
          <w:tcPr>
            <w:tcW w:w="555" w:type="dxa"/>
            <w:vMerge w:val="continue"/>
          </w:tcPr>
          <w:p w14:paraId="3D506AF3">
            <w:pPr>
              <w:spacing w:line="240" w:lineRule="atLeast"/>
              <w:jc w:val="left"/>
              <w:rPr>
                <w:rFonts w:ascii="仿宋_GB2312" w:hAnsi="仿宋_GB2312" w:eastAsia="仿宋_GB2312" w:cs="仿宋_GB2312"/>
                <w:sz w:val="20"/>
                <w:szCs w:val="20"/>
              </w:rPr>
            </w:pPr>
          </w:p>
        </w:tc>
        <w:tc>
          <w:tcPr>
            <w:tcW w:w="784" w:type="dxa"/>
            <w:vAlign w:val="center"/>
          </w:tcPr>
          <w:p w14:paraId="4715DBF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5F31CF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18603D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E127CC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CC5D74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348ABD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C4F52F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6A1221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A43F11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60E978A">
            <w:pPr>
              <w:spacing w:line="240" w:lineRule="atLeast"/>
              <w:jc w:val="left"/>
              <w:rPr>
                <w:rFonts w:ascii="仿宋_GB2312" w:hAnsi="仿宋_GB2312" w:eastAsia="仿宋_GB2312" w:cs="仿宋_GB2312"/>
                <w:sz w:val="20"/>
                <w:szCs w:val="20"/>
              </w:rPr>
            </w:pPr>
          </w:p>
        </w:tc>
      </w:tr>
      <w:tr w14:paraId="7D7BD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53A5A1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202</w:t>
            </w:r>
          </w:p>
        </w:tc>
        <w:tc>
          <w:tcPr>
            <w:tcW w:w="555" w:type="dxa"/>
            <w:vAlign w:val="center"/>
          </w:tcPr>
          <w:p w14:paraId="545B6B7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行政检查</w:t>
            </w:r>
          </w:p>
        </w:tc>
        <w:tc>
          <w:tcPr>
            <w:tcW w:w="784" w:type="dxa"/>
            <w:vAlign w:val="center"/>
          </w:tcPr>
          <w:p w14:paraId="19FB1C1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对测绘项目招、投标的监督检查</w:t>
            </w:r>
          </w:p>
        </w:tc>
        <w:tc>
          <w:tcPr>
            <w:tcW w:w="660" w:type="dxa"/>
            <w:vAlign w:val="center"/>
          </w:tcPr>
          <w:p w14:paraId="2B852160">
            <w:pPr>
              <w:snapToGrid w:val="0"/>
              <w:spacing w:line="240" w:lineRule="atLeast"/>
              <w:jc w:val="center"/>
              <w:rPr>
                <w:rFonts w:ascii="仿宋_GB2312" w:hAnsi="仿宋_GB2312" w:eastAsia="仿宋_GB2312" w:cs="仿宋_GB2312"/>
                <w:sz w:val="20"/>
                <w:szCs w:val="20"/>
              </w:rPr>
            </w:pPr>
          </w:p>
        </w:tc>
        <w:tc>
          <w:tcPr>
            <w:tcW w:w="615" w:type="dxa"/>
            <w:vAlign w:val="center"/>
          </w:tcPr>
          <w:p w14:paraId="5B3E4BE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A69F93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测绘地理信息管理科（测绘地理信息局）</w:t>
            </w:r>
          </w:p>
        </w:tc>
        <w:tc>
          <w:tcPr>
            <w:tcW w:w="4605" w:type="dxa"/>
            <w:vAlign w:val="center"/>
          </w:tcPr>
          <w:p w14:paraId="1AA2A659">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地方性法规】《广西壮族自治区测绘管理条例》（1995年自治区第八届人民代表大会常务委员会第14次会议通过，2019年第二次修订）第四十六条：测绘项目招标投标和政府采购活动应当接受县级以上人民政府测绘地理信息主管部门和有关部门的监督管理。</w:t>
            </w:r>
          </w:p>
          <w:p w14:paraId="0C7A026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2.【规范性文件】《测绘市场管理暂行办法》（1995年国家测绘局、国家工商行政管理局发布）第十六条：第二款　测绘主管部门和工商行政管理部门负责测绘项目招、投标的监督管理。</w:t>
            </w:r>
          </w:p>
        </w:tc>
        <w:tc>
          <w:tcPr>
            <w:tcW w:w="3585" w:type="dxa"/>
            <w:vAlign w:val="center"/>
          </w:tcPr>
          <w:p w14:paraId="43B08270">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1.告知责任：测绘地理信息主管部门告知检查内容。</w:t>
            </w:r>
          </w:p>
          <w:p w14:paraId="48521977">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2.检查责任：被检单位应配合监督检查；检查单位应当按照检查方案规定的程序，开展检查工作。</w:t>
            </w:r>
          </w:p>
          <w:p w14:paraId="5572A971">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3.处理责任：被检单位对检查结果有异议的，应当在收到检查结果之日起15日内，向组织实施的测绘地理信息主管部门提出书面异议报告。</w:t>
            </w:r>
          </w:p>
          <w:p w14:paraId="33CCCEAF">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4.监管责任：制定措施，强化测绘项目招、投标的监督管理工作。</w:t>
            </w:r>
          </w:p>
          <w:p w14:paraId="6662E41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20429A3C">
            <w:pPr>
              <w:widowControl/>
              <w:adjustRightInd w:val="0"/>
              <w:snapToGrid w:val="0"/>
              <w:spacing w:line="25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 【法律】《中华人民共和国测绘法》第四十九条：县级以上人民政府测绘地理信息主管部门应当建立健全随机抽查机制，依法履行监督检查职责，发现涉嫌违反本法规定行为的，可以依法采取下列措施：（一）查阅、复制有关合同、票据、账簿、登记台账以及其他有关文件、资料；（二）查封、扣押与涉嫌违法测绘行为直接相关的设备、工具、原材料、测绘成果资料等。被检查的单位和个人应当配合，如实提供有关文件、资料，不得隐瞒、拒绝和阻碍。</w:t>
            </w:r>
          </w:p>
          <w:p w14:paraId="35E51881">
            <w:pPr>
              <w:widowControl/>
              <w:adjustRightInd w:val="0"/>
              <w:snapToGrid w:val="0"/>
              <w:spacing w:line="25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任何单位和个人对违反本法规定的行为，有权向县级以上人民政府测绘地理信息主管部门举报。接到举报的测绘地理信息主管部门应当及时依法处理。</w:t>
            </w:r>
          </w:p>
          <w:p w14:paraId="3E87E9B1">
            <w:pPr>
              <w:widowControl/>
              <w:adjustRightInd w:val="0"/>
              <w:snapToGrid w:val="0"/>
              <w:spacing w:line="25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 【地方性法规】《广西壮族自治区测绘管理条例（1995年自治区第八届人民代表大会常务委员会第14次会议通过，2019年7月25日广西壮族自治区第十三届人民代表大会常务委员会第十次会议第二次修订）第四十六条第一款　测绘项目招标投标和政府采购活动应当接受县级以上人民政府测绘地理信息主管部门和有关部门的监督管理。</w:t>
            </w:r>
          </w:p>
          <w:p w14:paraId="35C93B2A">
            <w:pPr>
              <w:widowControl/>
              <w:adjustRightInd w:val="0"/>
              <w:snapToGrid w:val="0"/>
              <w:spacing w:line="25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1—3. 【规范性文件】《测绘市场管理暂行办法》（1995年6月6日国家测绘局、国家工商行政管理局发布）第十六条：第二款　测绘主管部门和工商行政管理部门负责测绘项目招、投标的监督管理。</w:t>
            </w:r>
          </w:p>
          <w:p w14:paraId="385B1577">
            <w:pPr>
              <w:widowControl/>
              <w:adjustRightInd w:val="0"/>
              <w:snapToGrid w:val="0"/>
              <w:spacing w:line="25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2.同1。</w:t>
            </w:r>
          </w:p>
          <w:p w14:paraId="555856E9">
            <w:pPr>
              <w:widowControl/>
              <w:adjustRightInd w:val="0"/>
              <w:snapToGrid w:val="0"/>
              <w:spacing w:line="25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3.同1。</w:t>
            </w:r>
          </w:p>
          <w:p w14:paraId="0610FB7D">
            <w:pPr>
              <w:widowControl/>
              <w:adjustRightInd w:val="0"/>
              <w:snapToGrid w:val="0"/>
              <w:spacing w:line="25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4—1.【法律】《中华人民共和国测绘法》第四条第二款 ：县级以上地方人民政府测绘地理信息主管部门负责本行政区域测绘工作的统一监督管理。县级以上地方人民政府其他有关部门按照本级人民政府规定的职责分工，负责本部门有关的测绘工作。</w:t>
            </w:r>
          </w:p>
          <w:p w14:paraId="34C3B80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2.【地方性法规】《广西壮族自治区测绘管理条例》（1995年自治区第八届人民代表大会常务委员会第14次会议通过，2019年7月25日广西壮族自治区第十三届人民代表大会常务委员会第十次会议第二次修订）第三条：自治区人民政府测绘地理信息主管部门负责本自治区测绘工作的统一监督管理。设区的市、县级人民政府测绘地理信息主管部门，负责本行政区域内测绘工作的统一监督管理。县级以上人民政府其他有关部门按照本级人民政府规定的职责分工，负责本部门有关的测绘工作。</w:t>
            </w:r>
          </w:p>
        </w:tc>
        <w:tc>
          <w:tcPr>
            <w:tcW w:w="330" w:type="dxa"/>
            <w:vAlign w:val="center"/>
          </w:tcPr>
          <w:p w14:paraId="0FB940C7">
            <w:pPr>
              <w:snapToGrid w:val="0"/>
              <w:spacing w:line="240" w:lineRule="atLeast"/>
              <w:jc w:val="center"/>
              <w:rPr>
                <w:rFonts w:ascii="仿宋_GB2312" w:hAnsi="仿宋_GB2312" w:eastAsia="仿宋_GB2312" w:cs="仿宋_GB2312"/>
                <w:sz w:val="20"/>
                <w:szCs w:val="20"/>
              </w:rPr>
            </w:pPr>
          </w:p>
        </w:tc>
      </w:tr>
    </w:tbl>
    <w:p w14:paraId="6DEBC5D1"/>
    <w:p w14:paraId="5E739B14">
      <w:pPr>
        <w:pStyle w:val="2"/>
      </w:pPr>
    </w:p>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1564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964EDB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7BCF879">
            <w:pPr>
              <w:spacing w:line="240" w:lineRule="atLeast"/>
              <w:rPr>
                <w:rFonts w:asciiTheme="majorEastAsia" w:hAnsiTheme="majorEastAsia" w:eastAsiaTheme="majorEastAsia" w:cstheme="majorEastAsia"/>
                <w:spacing w:val="-20"/>
                <w:sz w:val="20"/>
                <w:szCs w:val="20"/>
              </w:rPr>
            </w:pPr>
          </w:p>
          <w:p w14:paraId="21B5FAB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54425E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89F7DD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9A456F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C3EC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2493CBA">
            <w:pPr>
              <w:spacing w:line="240" w:lineRule="atLeast"/>
              <w:jc w:val="left"/>
              <w:rPr>
                <w:rFonts w:ascii="仿宋_GB2312" w:hAnsi="仿宋_GB2312" w:eastAsia="仿宋_GB2312" w:cs="仿宋_GB2312"/>
                <w:sz w:val="20"/>
                <w:szCs w:val="20"/>
              </w:rPr>
            </w:pPr>
          </w:p>
        </w:tc>
        <w:tc>
          <w:tcPr>
            <w:tcW w:w="555" w:type="dxa"/>
            <w:vMerge w:val="continue"/>
          </w:tcPr>
          <w:p w14:paraId="734A0874">
            <w:pPr>
              <w:spacing w:line="240" w:lineRule="atLeast"/>
              <w:jc w:val="left"/>
              <w:rPr>
                <w:rFonts w:ascii="仿宋_GB2312" w:hAnsi="仿宋_GB2312" w:eastAsia="仿宋_GB2312" w:cs="仿宋_GB2312"/>
                <w:sz w:val="20"/>
                <w:szCs w:val="20"/>
              </w:rPr>
            </w:pPr>
          </w:p>
        </w:tc>
        <w:tc>
          <w:tcPr>
            <w:tcW w:w="784" w:type="dxa"/>
            <w:vAlign w:val="center"/>
          </w:tcPr>
          <w:p w14:paraId="36D8915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81C25E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E801C9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127A8D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AF3231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2F7D97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809B5B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E42637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5BB39F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43FECA8">
            <w:pPr>
              <w:spacing w:line="240" w:lineRule="atLeast"/>
              <w:jc w:val="left"/>
              <w:rPr>
                <w:rFonts w:ascii="仿宋_GB2312" w:hAnsi="仿宋_GB2312" w:eastAsia="仿宋_GB2312" w:cs="仿宋_GB2312"/>
                <w:sz w:val="20"/>
                <w:szCs w:val="20"/>
              </w:rPr>
            </w:pPr>
          </w:p>
        </w:tc>
      </w:tr>
      <w:tr w14:paraId="7337B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58A87D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203</w:t>
            </w:r>
          </w:p>
        </w:tc>
        <w:tc>
          <w:tcPr>
            <w:tcW w:w="555" w:type="dxa"/>
            <w:vAlign w:val="center"/>
          </w:tcPr>
          <w:p w14:paraId="7078A9D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行政检查</w:t>
            </w:r>
          </w:p>
        </w:tc>
        <w:tc>
          <w:tcPr>
            <w:tcW w:w="784" w:type="dxa"/>
            <w:vAlign w:val="center"/>
          </w:tcPr>
          <w:p w14:paraId="6AFC873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对基础测绘成果使用情况的监督检查</w:t>
            </w:r>
          </w:p>
        </w:tc>
        <w:tc>
          <w:tcPr>
            <w:tcW w:w="660" w:type="dxa"/>
            <w:vAlign w:val="center"/>
          </w:tcPr>
          <w:p w14:paraId="291B8740">
            <w:pPr>
              <w:snapToGrid w:val="0"/>
              <w:spacing w:line="240" w:lineRule="atLeast"/>
              <w:jc w:val="center"/>
              <w:rPr>
                <w:rFonts w:ascii="仿宋_GB2312" w:hAnsi="仿宋_GB2312" w:eastAsia="仿宋_GB2312" w:cs="仿宋_GB2312"/>
                <w:sz w:val="20"/>
                <w:szCs w:val="20"/>
              </w:rPr>
            </w:pPr>
          </w:p>
        </w:tc>
        <w:tc>
          <w:tcPr>
            <w:tcW w:w="615" w:type="dxa"/>
            <w:vAlign w:val="center"/>
          </w:tcPr>
          <w:p w14:paraId="5F31D04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5AEDD8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测绘地理信息管理科（测绘地理信息局）</w:t>
            </w:r>
          </w:p>
        </w:tc>
        <w:tc>
          <w:tcPr>
            <w:tcW w:w="4605" w:type="dxa"/>
            <w:vAlign w:val="center"/>
          </w:tcPr>
          <w:p w14:paraId="2BAC5A6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1.【行政法规】《基础测绘条例》（2009年国务院第556号令公布）第五条第二款：县级以上地方人民政府负责管理测绘工作的行政部门（以下简称测绘行政主管部门）负责本行政区域基础测绘工作的统一监督管理。</w:t>
            </w:r>
          </w:p>
          <w:p w14:paraId="7470B0B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2.【规范性文件】《基础测绘成果提供使用管理暂行办法》（2006年国测法字[2006]13号印发实施）第十六条第二款 ：测绘行政主管部门应当依法对基础测绘成果的使用情况进行跟踪检查。</w:t>
            </w:r>
          </w:p>
          <w:p w14:paraId="6006F44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第十七条：任何单位和个人发现违法使用基础测绘成果的，应当向测绘行政主管部门举报，测绘行政主管部门应当及时核实、处理。</w:t>
            </w:r>
          </w:p>
        </w:tc>
        <w:tc>
          <w:tcPr>
            <w:tcW w:w="3585" w:type="dxa"/>
            <w:vAlign w:val="center"/>
          </w:tcPr>
          <w:p w14:paraId="33B255A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1.告知责任：测绘地理信息主管部门告知检查内容。</w:t>
            </w:r>
          </w:p>
          <w:p w14:paraId="3EFEE25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2.检查责任：被检单位应配合监督检查；检查单位应当按照检查方案规定的程序，开展检查工作。</w:t>
            </w:r>
          </w:p>
          <w:p w14:paraId="39A08D0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3.处理责任：被检单位对检查结果有异议的，应当在收到检查结果之日起15日内，向组织实施的测绘地理信息主管部门提出书面异议报告。</w:t>
            </w:r>
          </w:p>
          <w:p w14:paraId="62DD364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4.监管责任：制定措施，强化基础测绘成果使用情况的监督管理工作。</w:t>
            </w:r>
          </w:p>
          <w:p w14:paraId="55E875E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4003283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 【规范性文件】《基础测绘成果提供使用管理暂行办法》（国测法字〔2006〕13号）第十六条第二款测绘行政主管部门应当依法对基础测绘成果的使用情况进行跟踪检查。</w:t>
            </w:r>
          </w:p>
          <w:p w14:paraId="757B913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 【规范性文件】《基础测绘成果提供使用管理暂行办法》（国测法字〔2006〕13号）第十七条：任何单位和个人发现违法使用基础测绘成果的，应当向测绘行政主管部门举报，测绘行政主管部门应当及时核实、处理。</w:t>
            </w:r>
          </w:p>
          <w:p w14:paraId="5266F07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2.同1。</w:t>
            </w:r>
          </w:p>
          <w:p w14:paraId="26AF46F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3.同1。</w:t>
            </w:r>
          </w:p>
          <w:p w14:paraId="316CE3B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4—1.【法律】《中华人民共和国测绘法》第四条第二款 ：县级以上地方人民政府测绘地理信息主管部门负责本行政区域测绘工作的统一监督管理。县级以上地方人民政府其他有关部门按照本级人民政府规定的职责分工，负责本部门有关的测绘工作。</w:t>
            </w:r>
          </w:p>
          <w:p w14:paraId="7F23F3C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2.【地方性法规】《广西壮族自治区测绘管理条例》（1995年自治区第八届人民代表大会常务委员会第14次会议通过，2019年7月25日广西壮族自治区第十三届人民代表大会常务委员会第十次会议第二次修订）第三条：自治区人民政府测绘地理信息主管部门负责本自治区测绘工作的统一监督管理。设区的市、县级人民政府测绘地理信息主管部门，负责本行政区域内测绘工作的统一监督管理。县级以上人民政府其他有关部门按照本级人民政府规定的职责分工，负责本部门有关的测绘工作。</w:t>
            </w:r>
          </w:p>
        </w:tc>
        <w:tc>
          <w:tcPr>
            <w:tcW w:w="330" w:type="dxa"/>
            <w:vAlign w:val="center"/>
          </w:tcPr>
          <w:p w14:paraId="694F1FAA">
            <w:pPr>
              <w:snapToGrid w:val="0"/>
              <w:spacing w:line="240" w:lineRule="atLeast"/>
              <w:jc w:val="center"/>
              <w:rPr>
                <w:rFonts w:ascii="仿宋_GB2312" w:hAnsi="仿宋_GB2312" w:eastAsia="仿宋_GB2312" w:cs="仿宋_GB2312"/>
                <w:sz w:val="20"/>
                <w:szCs w:val="20"/>
              </w:rPr>
            </w:pPr>
          </w:p>
        </w:tc>
      </w:tr>
    </w:tbl>
    <w:p w14:paraId="290F7264"/>
    <w:p w14:paraId="6967A99B"/>
    <w:p w14:paraId="384DE28C"/>
    <w:p w14:paraId="243533AF">
      <w:pPr>
        <w:pStyle w:val="2"/>
      </w:pPr>
    </w:p>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DE33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A13304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D5E5F3C">
            <w:pPr>
              <w:spacing w:line="240" w:lineRule="atLeast"/>
              <w:rPr>
                <w:rFonts w:asciiTheme="majorEastAsia" w:hAnsiTheme="majorEastAsia" w:eastAsiaTheme="majorEastAsia" w:cstheme="majorEastAsia"/>
                <w:spacing w:val="-20"/>
                <w:sz w:val="20"/>
                <w:szCs w:val="20"/>
              </w:rPr>
            </w:pPr>
          </w:p>
          <w:p w14:paraId="7405819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5E0AA9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9D3433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363390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0364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A36E513">
            <w:pPr>
              <w:spacing w:line="240" w:lineRule="atLeast"/>
              <w:jc w:val="left"/>
              <w:rPr>
                <w:rFonts w:ascii="仿宋_GB2312" w:hAnsi="仿宋_GB2312" w:eastAsia="仿宋_GB2312" w:cs="仿宋_GB2312"/>
                <w:sz w:val="20"/>
                <w:szCs w:val="20"/>
              </w:rPr>
            </w:pPr>
          </w:p>
        </w:tc>
        <w:tc>
          <w:tcPr>
            <w:tcW w:w="555" w:type="dxa"/>
            <w:vMerge w:val="continue"/>
          </w:tcPr>
          <w:p w14:paraId="3EF06671">
            <w:pPr>
              <w:spacing w:line="240" w:lineRule="atLeast"/>
              <w:jc w:val="left"/>
              <w:rPr>
                <w:rFonts w:ascii="仿宋_GB2312" w:hAnsi="仿宋_GB2312" w:eastAsia="仿宋_GB2312" w:cs="仿宋_GB2312"/>
                <w:sz w:val="20"/>
                <w:szCs w:val="20"/>
              </w:rPr>
            </w:pPr>
          </w:p>
        </w:tc>
        <w:tc>
          <w:tcPr>
            <w:tcW w:w="784" w:type="dxa"/>
            <w:vAlign w:val="center"/>
          </w:tcPr>
          <w:p w14:paraId="2409C59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B980BA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9512DB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EC946D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6A63E7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24862D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F8A619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F2A52B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8753CB6">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D1CFFB2">
            <w:pPr>
              <w:spacing w:line="240" w:lineRule="atLeast"/>
              <w:jc w:val="left"/>
              <w:rPr>
                <w:rFonts w:ascii="仿宋_GB2312" w:hAnsi="仿宋_GB2312" w:eastAsia="仿宋_GB2312" w:cs="仿宋_GB2312"/>
                <w:sz w:val="20"/>
                <w:szCs w:val="20"/>
              </w:rPr>
            </w:pPr>
          </w:p>
        </w:tc>
      </w:tr>
      <w:tr w14:paraId="2735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5DC249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204</w:t>
            </w:r>
          </w:p>
        </w:tc>
        <w:tc>
          <w:tcPr>
            <w:tcW w:w="555" w:type="dxa"/>
            <w:vAlign w:val="center"/>
          </w:tcPr>
          <w:p w14:paraId="1625DD5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行政检查</w:t>
            </w:r>
          </w:p>
        </w:tc>
        <w:tc>
          <w:tcPr>
            <w:tcW w:w="784" w:type="dxa"/>
            <w:vAlign w:val="center"/>
          </w:tcPr>
          <w:p w14:paraId="34D5C79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本行政区域内的土地复垦活动的监督检查</w:t>
            </w:r>
          </w:p>
        </w:tc>
        <w:tc>
          <w:tcPr>
            <w:tcW w:w="660" w:type="dxa"/>
            <w:vAlign w:val="center"/>
          </w:tcPr>
          <w:p w14:paraId="2AF89589">
            <w:pPr>
              <w:snapToGrid w:val="0"/>
              <w:spacing w:line="240" w:lineRule="atLeast"/>
              <w:jc w:val="center"/>
              <w:rPr>
                <w:rFonts w:ascii="仿宋_GB2312" w:hAnsi="仿宋_GB2312" w:eastAsia="仿宋_GB2312" w:cs="仿宋_GB2312"/>
                <w:sz w:val="20"/>
                <w:szCs w:val="20"/>
              </w:rPr>
            </w:pPr>
          </w:p>
        </w:tc>
        <w:tc>
          <w:tcPr>
            <w:tcW w:w="615" w:type="dxa"/>
            <w:vAlign w:val="center"/>
          </w:tcPr>
          <w:p w14:paraId="21DE6D7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A1317F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国土空间生态修复科</w:t>
            </w:r>
          </w:p>
        </w:tc>
        <w:tc>
          <w:tcPr>
            <w:tcW w:w="4605" w:type="dxa"/>
            <w:vAlign w:val="center"/>
          </w:tcPr>
          <w:p w14:paraId="25FE515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法规】《土地复垦条例》（2011年3月5日国务院令第592号公布，自公布之日起施行）第五条：国务院国土资源主管部门负责全国土地复垦的监督管理工作，县级以上地方人民政府国土资源主管部门负责本行政区域土地复垦的监督管理工作。</w:t>
            </w:r>
          </w:p>
          <w:p w14:paraId="7D1C385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2．【规章】《土地复垦条例实施办法》（2012年12月27日国土资源部第56号令公布，根据2019年7月16日自然资源部第2次部务会议《自然资源部关于第一批废止和修改的部门规章的决定》修正）第四十四条： 县级以上自然资源主管部门应当采取年度检查、专项核查、例行稽查、在线监管等形式，对本行政区域内的土地复垦活动进行监督检查，并可以采取下列措施：（一）要求被检查当事人如实反映情况和提供相关的文件、资料和电子数据；（二）要求被检查当事人就土地复垦有关问题做出说明；（三）进入土地复垦现场进行勘查；（四）责令被检查当事人停止违反条例的行为。</w:t>
            </w:r>
          </w:p>
          <w:p w14:paraId="185BCC9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 【规章】《矿山地质环境保护规定》（2009年3月2日国土资源部令第44号公布，根据2019年7月16日自然资源部第2次部务会议《自然资源部关于第一批废止修改的部门规章的决定》第三次修正）第二十二条　县级以上自然资源行政主管部门对采矿权人履行矿山地质环境保护与土地复垦义务的情况进行监督检查。</w:t>
            </w:r>
          </w:p>
        </w:tc>
        <w:tc>
          <w:tcPr>
            <w:tcW w:w="3585" w:type="dxa"/>
            <w:vAlign w:val="center"/>
          </w:tcPr>
          <w:p w14:paraId="0444DC5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1.检查责任：检查时，工作人员不得少于2人，应当持《土地复垦检查工作方案》或相关文件进行检查。检查工作人员应当有详细的检查记录，严禁弄虚作假。</w:t>
            </w:r>
          </w:p>
          <w:p w14:paraId="6C2F5D1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2.告知责任：制定检查方案，确定对象和方式，通知被检查单位。</w:t>
            </w:r>
          </w:p>
          <w:p w14:paraId="309AECA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3.处理责任：汇总相关数据和情况；通报本行政区域土地复垦检查情况。</w:t>
            </w:r>
          </w:p>
          <w:p w14:paraId="6640920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4.其他法律法规规章文件规定应履行的责任。</w:t>
            </w:r>
          </w:p>
        </w:tc>
        <w:tc>
          <w:tcPr>
            <w:tcW w:w="9515" w:type="dxa"/>
            <w:vAlign w:val="center"/>
          </w:tcPr>
          <w:p w14:paraId="3B29DAE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法规】《土地复垦条例》（2011年3月5日国务院令第592号公布，自公布之日起施行）第五条：国务院国土资源主管部门负责全国土地复垦的监督管理工作，县级以上地方人民政府国土资源主管部门负责本行政区域土地复垦的监督管理工作。</w:t>
            </w:r>
          </w:p>
          <w:p w14:paraId="361A93A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2．【规章】《土地复垦条例实施办法》（2012年12月27日国土资源部第56号令公布，根据2019年7月16日自然资源部第2次部务会议《自然资源部关于第一批废止和修改的部门规章的决定》修正）第四十四条： 县级以上自然资源主管部门应当采取年度检查、专项核查、例行稽查、在线监管等形式，对本行政区域内的土地复垦活动进行监督检查，并可以采取下列措施：（一）要求被检查当事人如实反映情况和提供相关的文件、资料和电子数据；（二）要求被检查当事人就土地复垦有关问题做出说明；（三）进入土地复垦现场进行勘查；（四）责令被检查当事人停止违反条例的行为。</w:t>
            </w:r>
          </w:p>
          <w:p w14:paraId="0DEE2C9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 【规章】《矿山地质环境保护规定》（2009年3月2日国土资源部令第44号公布，根据2019年7月16日自然资源部第2次部务会议《自然资源部关于第一批废止修改的部门规章的决定》第三次修正）第二十二条　县级以上自然资源行政主管部门对采矿权人履行矿山地质环境保护与土地复垦义务的情况进行监督检查。</w:t>
            </w:r>
          </w:p>
        </w:tc>
        <w:tc>
          <w:tcPr>
            <w:tcW w:w="330" w:type="dxa"/>
            <w:vAlign w:val="center"/>
          </w:tcPr>
          <w:p w14:paraId="39698DCF">
            <w:pPr>
              <w:snapToGrid w:val="0"/>
              <w:spacing w:line="240" w:lineRule="atLeast"/>
              <w:jc w:val="center"/>
              <w:rPr>
                <w:rFonts w:ascii="仿宋_GB2312" w:hAnsi="仿宋_GB2312" w:eastAsia="仿宋_GB2312" w:cs="仿宋_GB2312"/>
                <w:sz w:val="20"/>
                <w:szCs w:val="20"/>
              </w:rPr>
            </w:pPr>
          </w:p>
        </w:tc>
      </w:tr>
    </w:tbl>
    <w:p w14:paraId="2C69DE1E">
      <w:pPr>
        <w:pStyle w:val="3"/>
        <w:jc w:val="both"/>
      </w:pPr>
    </w:p>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2820"/>
        <w:gridCol w:w="780"/>
        <w:gridCol w:w="1230"/>
        <w:gridCol w:w="5220"/>
        <w:gridCol w:w="3360"/>
        <w:gridCol w:w="6680"/>
        <w:gridCol w:w="330"/>
      </w:tblGrid>
      <w:tr w14:paraId="66633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52C487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F9A8831">
            <w:pPr>
              <w:spacing w:line="240" w:lineRule="atLeast"/>
              <w:rPr>
                <w:rFonts w:asciiTheme="majorEastAsia" w:hAnsiTheme="majorEastAsia" w:eastAsiaTheme="majorEastAsia" w:cstheme="majorEastAsia"/>
                <w:spacing w:val="-20"/>
                <w:sz w:val="20"/>
                <w:szCs w:val="20"/>
              </w:rPr>
            </w:pPr>
          </w:p>
          <w:p w14:paraId="311C628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10834" w:type="dxa"/>
            <w:gridSpan w:val="5"/>
            <w:vAlign w:val="center"/>
          </w:tcPr>
          <w:p w14:paraId="54D1AB6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0040" w:type="dxa"/>
            <w:gridSpan w:val="2"/>
            <w:vAlign w:val="center"/>
          </w:tcPr>
          <w:p w14:paraId="3472FA1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19E0AE8">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4737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F017889">
            <w:pPr>
              <w:spacing w:line="240" w:lineRule="atLeast"/>
              <w:jc w:val="left"/>
              <w:rPr>
                <w:rFonts w:ascii="仿宋_GB2312" w:hAnsi="仿宋_GB2312" w:eastAsia="仿宋_GB2312" w:cs="仿宋_GB2312"/>
                <w:sz w:val="20"/>
                <w:szCs w:val="20"/>
              </w:rPr>
            </w:pPr>
          </w:p>
        </w:tc>
        <w:tc>
          <w:tcPr>
            <w:tcW w:w="555" w:type="dxa"/>
            <w:vMerge w:val="continue"/>
          </w:tcPr>
          <w:p w14:paraId="6ECEB468">
            <w:pPr>
              <w:spacing w:line="240" w:lineRule="atLeast"/>
              <w:jc w:val="left"/>
              <w:rPr>
                <w:rFonts w:ascii="仿宋_GB2312" w:hAnsi="仿宋_GB2312" w:eastAsia="仿宋_GB2312" w:cs="仿宋_GB2312"/>
                <w:sz w:val="20"/>
                <w:szCs w:val="20"/>
              </w:rPr>
            </w:pPr>
          </w:p>
        </w:tc>
        <w:tc>
          <w:tcPr>
            <w:tcW w:w="784" w:type="dxa"/>
            <w:vAlign w:val="center"/>
          </w:tcPr>
          <w:p w14:paraId="309D13B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28D7A6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2820" w:type="dxa"/>
            <w:vAlign w:val="center"/>
          </w:tcPr>
          <w:p w14:paraId="52B90B5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780" w:type="dxa"/>
            <w:vAlign w:val="center"/>
          </w:tcPr>
          <w:p w14:paraId="4204759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230" w:type="dxa"/>
            <w:vAlign w:val="center"/>
          </w:tcPr>
          <w:p w14:paraId="7DF3C3D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5220" w:type="dxa"/>
            <w:vAlign w:val="center"/>
          </w:tcPr>
          <w:p w14:paraId="0C31903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360" w:type="dxa"/>
            <w:vAlign w:val="center"/>
          </w:tcPr>
          <w:p w14:paraId="1CC6A79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1F6C0D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6680" w:type="dxa"/>
            <w:vAlign w:val="center"/>
          </w:tcPr>
          <w:p w14:paraId="7B6F8BA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368D849">
            <w:pPr>
              <w:spacing w:line="240" w:lineRule="atLeast"/>
              <w:jc w:val="left"/>
              <w:rPr>
                <w:rFonts w:ascii="仿宋_GB2312" w:hAnsi="仿宋_GB2312" w:eastAsia="仿宋_GB2312" w:cs="仿宋_GB2312"/>
                <w:sz w:val="20"/>
                <w:szCs w:val="20"/>
              </w:rPr>
            </w:pPr>
          </w:p>
        </w:tc>
      </w:tr>
      <w:tr w14:paraId="7968B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restart"/>
            <w:vAlign w:val="center"/>
          </w:tcPr>
          <w:p w14:paraId="6C0A8E2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205</w:t>
            </w:r>
          </w:p>
        </w:tc>
        <w:tc>
          <w:tcPr>
            <w:tcW w:w="555" w:type="dxa"/>
            <w:vMerge w:val="restart"/>
            <w:vAlign w:val="center"/>
          </w:tcPr>
          <w:p w14:paraId="34793A5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行政确认</w:t>
            </w:r>
          </w:p>
        </w:tc>
        <w:tc>
          <w:tcPr>
            <w:tcW w:w="784" w:type="dxa"/>
            <w:vMerge w:val="restart"/>
            <w:vAlign w:val="center"/>
          </w:tcPr>
          <w:p w14:paraId="28CA173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不动产登记</w:t>
            </w:r>
          </w:p>
        </w:tc>
        <w:tc>
          <w:tcPr>
            <w:tcW w:w="2820" w:type="dxa"/>
            <w:vAlign w:val="center"/>
          </w:tcPr>
          <w:p w14:paraId="04264077">
            <w:pPr>
              <w:snapToGrid w:val="0"/>
              <w:spacing w:line="240" w:lineRule="atLeast"/>
              <w:jc w:val="center"/>
              <w:rPr>
                <w:rFonts w:ascii="仿宋_GB2312" w:hAnsi="仿宋_GB2312" w:eastAsia="仿宋_GB2312" w:cs="仿宋_GB2312"/>
                <w:sz w:val="20"/>
                <w:szCs w:val="20"/>
              </w:rPr>
            </w:pPr>
            <w:r>
              <w:rPr>
                <w:rFonts w:hint="eastAsia" w:eastAsia="仿宋_GB2312"/>
                <w:snapToGrid w:val="0"/>
                <w:color w:val="000000"/>
                <w:sz w:val="20"/>
                <w:szCs w:val="20"/>
              </w:rPr>
              <w:t>1.集体土地所有权登记</w:t>
            </w:r>
          </w:p>
        </w:tc>
        <w:tc>
          <w:tcPr>
            <w:tcW w:w="780" w:type="dxa"/>
            <w:vMerge w:val="restart"/>
            <w:vAlign w:val="center"/>
          </w:tcPr>
          <w:p w14:paraId="0C7D08F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230" w:type="dxa"/>
            <w:vMerge w:val="restart"/>
            <w:vAlign w:val="center"/>
          </w:tcPr>
          <w:p w14:paraId="583A410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不动产登记中心</w:t>
            </w:r>
          </w:p>
        </w:tc>
        <w:tc>
          <w:tcPr>
            <w:tcW w:w="5220" w:type="dxa"/>
            <w:vMerge w:val="restart"/>
            <w:vAlign w:val="center"/>
          </w:tcPr>
          <w:p w14:paraId="0F9CE6F7">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1.【法律】《中华人民共和国民法典》第二百一十条：不动产登记，由不动产所在地的登记机构办理。国家对不动产实行统一登记制度。统一登记的范围、登记机构和登记办法，由法律、行政法规规定。</w:t>
            </w:r>
          </w:p>
          <w:p w14:paraId="0DC33587">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不动产登记暂行条例》（2014年国务院令第656号公布，2019年国务院令第710号修订）第三条：不动产首次登记、变更登记、转移登记、注销登记、更正登记、异议登记、预告登记、查封登记等，适用本条例。</w:t>
            </w:r>
          </w:p>
          <w:p w14:paraId="1018698A">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第四条：国家实行不动产统一登记制度。</w:t>
            </w:r>
          </w:p>
          <w:p w14:paraId="1FF4BC42">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不动产登记遵循严格管理、稳定连续、方便群众的原则。</w:t>
            </w:r>
          </w:p>
          <w:p w14:paraId="74798B27">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不动产权利人已经依法享有的不动产权利，不因登记机构和登记程序的改变而受到影响。</w:t>
            </w:r>
          </w:p>
          <w:p w14:paraId="4609C8C6">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条：下列不动产权利，依照本条例的规定办理登记：（一）集体土地所有权；（二）房屋等建筑物、构筑物所有权；（三）森林、林木所有权；（四）耕地、林地、草地等土地承包经营权；（五）建设用地使用权；（六）宅基地使用权；（七）海域使用权；（八）地役权；（九）抵押权；（十）法律规定需要登记的其他不动产权利。</w:t>
            </w:r>
          </w:p>
          <w:p w14:paraId="1125B2F6">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第六条：国务院国土资源主管部门负责指导、监督全国不动产登记工作。</w:t>
            </w:r>
          </w:p>
          <w:p w14:paraId="3FE88C1A">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县级以上地方人民政府应当确定一个部门为本行政区域的不动产登记机构，负责不动产登记工作，并接受上级人民政府不动产登记主管部门的指导、监督。</w:t>
            </w:r>
          </w:p>
          <w:p w14:paraId="3721C735">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第七条：不动产登记由不动产所在地的县级人民政府不动产登记机构办理；直辖市、设区的市人民政府可以确定本级不动产登记机构统一办理所属各区的不动产登记。</w:t>
            </w:r>
          </w:p>
          <w:p w14:paraId="6AADAD6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跨县级行政区域的不动产登记，由所跨县级行政区域的不动产登记机构分别办理。不能分别办理的，由所跨县级行政区域的不动产登记机构协商办理；协商不成的，由共同的上一级人民政府不动产登记主管部门指定办理。</w:t>
            </w:r>
          </w:p>
        </w:tc>
        <w:tc>
          <w:tcPr>
            <w:tcW w:w="3360" w:type="dxa"/>
            <w:vMerge w:val="restart"/>
            <w:vAlign w:val="center"/>
          </w:tcPr>
          <w:p w14:paraId="647B85AF">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37E38D21">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2.审核责任：按照政策规定对书面材料进行审查，提出是否同意审批的初步意见。</w:t>
            </w:r>
          </w:p>
          <w:p w14:paraId="70401A8F">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3.登簿责任：将申请登记事项记载于不动产登记簿。</w:t>
            </w:r>
          </w:p>
          <w:p w14:paraId="3B9981E5">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4.缮证阶段责任：颁发不动产登记证。</w:t>
            </w:r>
          </w:p>
          <w:p w14:paraId="210B007C">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5.其他法律法规规章文件规定应履行的责任。</w:t>
            </w:r>
          </w:p>
          <w:p w14:paraId="027C9CC5">
            <w:pPr>
              <w:snapToGrid w:val="0"/>
              <w:spacing w:line="240" w:lineRule="atLeast"/>
              <w:ind w:firstLine="400" w:firstLineChars="200"/>
              <w:rPr>
                <w:rFonts w:ascii="仿宋_GB2312" w:hAnsi="仿宋_GB2312" w:eastAsia="仿宋_GB2312" w:cs="仿宋_GB2312"/>
                <w:sz w:val="20"/>
                <w:szCs w:val="20"/>
              </w:rPr>
            </w:pPr>
          </w:p>
        </w:tc>
        <w:tc>
          <w:tcPr>
            <w:tcW w:w="6680" w:type="dxa"/>
            <w:vMerge w:val="restart"/>
            <w:vAlign w:val="center"/>
          </w:tcPr>
          <w:p w14:paraId="4DCBA0AC">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不动产登记暂行条例》（2014年国务院令第656号公布，2019年修订）第十七条：不动产登记机构收到不动产登记申请材料，应当分别按照下列情况办理：（一）属于登记职责范围，申请材料齐全、符合法定形式，或者申请人按照要求提交全部补正申请材料的，应当受理并书面告知申请人；（二）申请材料存在可以当场更正的错误的，应当告知申请人当场更正，申请人当场更正后，应当受理并书面告知申请人；（三）申请材料不齐全或者不符合法定形式的，应当当场书面告知申请人不予受理并一次性告知需要补正的全部内容；（四）申请登记的不动产不属于本机构登记范围的，应当当场书面告知申请人不予受理并告知申请人向有登记权的机构申请。不动产登记机构未当场书面告知申请人不予受理的，视为受理。</w:t>
            </w:r>
          </w:p>
          <w:p w14:paraId="0102CC45">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不动产登记暂行条例》（2014年国务院令第656号公布，2019年修订）第十八条：不动产登记机构受理不动产登记申请的，应当按照下列要求进行查验：（一）不动产界址、空间界限、面积等材料与申请登记的不动产状况是否一致；（二）有关证明材料、文件与申请登记的内容是否一致；（三）登记申请是否违反法律、行政法规规定。</w:t>
            </w:r>
          </w:p>
          <w:p w14:paraId="56E40A27">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行政法规】《不动产登记暂行条例》（2014年国务院令第656号公布，2019年修订）第二十一条：登记事项自记载于不动产登记簿时完成登记。不动产登记机构完成登记，应当依法向申请人核发不动产权属证书或者登记证明。</w:t>
            </w:r>
          </w:p>
          <w:p w14:paraId="198ECEED">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4.同3。</w:t>
            </w:r>
          </w:p>
          <w:p w14:paraId="37530E57">
            <w:pPr>
              <w:snapToGrid w:val="0"/>
              <w:spacing w:line="240" w:lineRule="atLeast"/>
              <w:ind w:firstLine="400" w:firstLineChars="200"/>
              <w:rPr>
                <w:rFonts w:ascii="仿宋_GB2312" w:hAnsi="仿宋_GB2312" w:eastAsia="仿宋_GB2312" w:cs="仿宋_GB2312"/>
                <w:sz w:val="20"/>
                <w:szCs w:val="20"/>
              </w:rPr>
            </w:pPr>
          </w:p>
        </w:tc>
        <w:tc>
          <w:tcPr>
            <w:tcW w:w="330" w:type="dxa"/>
            <w:vMerge w:val="restart"/>
            <w:vAlign w:val="center"/>
          </w:tcPr>
          <w:p w14:paraId="28B6612D">
            <w:pPr>
              <w:snapToGrid w:val="0"/>
              <w:spacing w:line="240" w:lineRule="atLeast"/>
              <w:jc w:val="center"/>
              <w:rPr>
                <w:rFonts w:ascii="仿宋_GB2312" w:hAnsi="仿宋_GB2312" w:eastAsia="仿宋_GB2312" w:cs="仿宋_GB2312"/>
                <w:sz w:val="20"/>
                <w:szCs w:val="20"/>
              </w:rPr>
            </w:pPr>
          </w:p>
        </w:tc>
      </w:tr>
      <w:tr w14:paraId="6254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2131007D">
            <w:pPr>
              <w:snapToGrid w:val="0"/>
              <w:spacing w:line="240" w:lineRule="atLeast"/>
              <w:jc w:val="center"/>
            </w:pPr>
          </w:p>
        </w:tc>
        <w:tc>
          <w:tcPr>
            <w:tcW w:w="555" w:type="dxa"/>
            <w:vMerge w:val="continue"/>
            <w:vAlign w:val="center"/>
          </w:tcPr>
          <w:p w14:paraId="678C913F">
            <w:pPr>
              <w:snapToGrid w:val="0"/>
              <w:spacing w:line="240" w:lineRule="atLeast"/>
              <w:jc w:val="center"/>
            </w:pPr>
          </w:p>
        </w:tc>
        <w:tc>
          <w:tcPr>
            <w:tcW w:w="784" w:type="dxa"/>
            <w:vMerge w:val="continue"/>
            <w:vAlign w:val="center"/>
          </w:tcPr>
          <w:p w14:paraId="76DCE22F">
            <w:pPr>
              <w:snapToGrid w:val="0"/>
              <w:spacing w:line="240" w:lineRule="atLeast"/>
              <w:jc w:val="center"/>
            </w:pPr>
          </w:p>
        </w:tc>
        <w:tc>
          <w:tcPr>
            <w:tcW w:w="2820" w:type="dxa"/>
            <w:vAlign w:val="center"/>
          </w:tcPr>
          <w:p w14:paraId="65F9BD3F">
            <w:pPr>
              <w:snapToGrid w:val="0"/>
              <w:spacing w:line="240" w:lineRule="atLeast"/>
              <w:jc w:val="center"/>
              <w:rPr>
                <w:rFonts w:ascii="仿宋_GB2312" w:hAnsi="仿宋_GB2312" w:eastAsia="仿宋_GB2312" w:cs="仿宋_GB2312"/>
                <w:sz w:val="20"/>
                <w:szCs w:val="20"/>
              </w:rPr>
            </w:pPr>
            <w:r>
              <w:rPr>
                <w:rFonts w:hint="eastAsia" w:eastAsia="仿宋_GB2312"/>
                <w:snapToGrid w:val="0"/>
                <w:color w:val="000000"/>
                <w:sz w:val="20"/>
                <w:szCs w:val="20"/>
              </w:rPr>
              <w:t>2.建设用地使用权</w:t>
            </w:r>
          </w:p>
        </w:tc>
        <w:tc>
          <w:tcPr>
            <w:tcW w:w="780" w:type="dxa"/>
            <w:vMerge w:val="continue"/>
            <w:vAlign w:val="center"/>
          </w:tcPr>
          <w:p w14:paraId="26E6C9B5">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642322EB">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75A3D687">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32D893BB">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21A562E9">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55E519E4">
            <w:pPr>
              <w:snapToGrid w:val="0"/>
              <w:spacing w:line="240" w:lineRule="atLeast"/>
              <w:jc w:val="center"/>
              <w:rPr>
                <w:rFonts w:ascii="仿宋_GB2312" w:hAnsi="仿宋_GB2312" w:eastAsia="仿宋_GB2312" w:cs="仿宋_GB2312"/>
                <w:sz w:val="20"/>
                <w:szCs w:val="20"/>
              </w:rPr>
            </w:pPr>
          </w:p>
        </w:tc>
      </w:tr>
      <w:tr w14:paraId="48F48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72758AF1">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64ADE0D2">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6BFD5797">
            <w:pPr>
              <w:snapToGrid w:val="0"/>
              <w:spacing w:line="240" w:lineRule="atLeast"/>
              <w:jc w:val="center"/>
              <w:rPr>
                <w:rFonts w:ascii="仿宋_GB2312" w:hAnsi="仿宋_GB2312" w:eastAsia="仿宋_GB2312" w:cs="仿宋_GB2312"/>
                <w:sz w:val="20"/>
                <w:szCs w:val="20"/>
              </w:rPr>
            </w:pPr>
          </w:p>
        </w:tc>
        <w:tc>
          <w:tcPr>
            <w:tcW w:w="2820" w:type="dxa"/>
            <w:vAlign w:val="center"/>
          </w:tcPr>
          <w:p w14:paraId="5785D23C">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3.房屋等建筑物、构筑物所有权登记</w:t>
            </w:r>
          </w:p>
        </w:tc>
        <w:tc>
          <w:tcPr>
            <w:tcW w:w="780" w:type="dxa"/>
            <w:vMerge w:val="continue"/>
            <w:vAlign w:val="center"/>
          </w:tcPr>
          <w:p w14:paraId="24E5C778">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380147F7">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3FBAF08E">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0D8B159B">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48F8D048">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0A924A28">
            <w:pPr>
              <w:snapToGrid w:val="0"/>
              <w:spacing w:line="240" w:lineRule="atLeast"/>
              <w:jc w:val="center"/>
              <w:rPr>
                <w:rFonts w:ascii="仿宋_GB2312" w:hAnsi="仿宋_GB2312" w:eastAsia="仿宋_GB2312" w:cs="仿宋_GB2312"/>
                <w:sz w:val="20"/>
                <w:szCs w:val="20"/>
              </w:rPr>
            </w:pPr>
          </w:p>
        </w:tc>
      </w:tr>
      <w:tr w14:paraId="1E47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33C2B0B4">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4C4CD46B">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6F0C40F2">
            <w:pPr>
              <w:snapToGrid w:val="0"/>
              <w:spacing w:line="240" w:lineRule="atLeast"/>
              <w:jc w:val="center"/>
              <w:rPr>
                <w:rFonts w:ascii="仿宋_GB2312" w:hAnsi="仿宋_GB2312" w:eastAsia="仿宋_GB2312" w:cs="仿宋_GB2312"/>
                <w:sz w:val="20"/>
                <w:szCs w:val="20"/>
              </w:rPr>
            </w:pPr>
          </w:p>
        </w:tc>
        <w:tc>
          <w:tcPr>
            <w:tcW w:w="2820" w:type="dxa"/>
            <w:vAlign w:val="center"/>
          </w:tcPr>
          <w:p w14:paraId="2AD461C3">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4．宅基地使用权</w:t>
            </w:r>
          </w:p>
        </w:tc>
        <w:tc>
          <w:tcPr>
            <w:tcW w:w="780" w:type="dxa"/>
            <w:vMerge w:val="continue"/>
            <w:vAlign w:val="center"/>
          </w:tcPr>
          <w:p w14:paraId="58706547">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1D96DEC1">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2EB3D57C">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67679B63">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39231A3B">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51D0DEA9">
            <w:pPr>
              <w:snapToGrid w:val="0"/>
              <w:spacing w:line="240" w:lineRule="atLeast"/>
              <w:jc w:val="center"/>
              <w:rPr>
                <w:rFonts w:ascii="仿宋_GB2312" w:hAnsi="仿宋_GB2312" w:eastAsia="仿宋_GB2312" w:cs="仿宋_GB2312"/>
                <w:sz w:val="20"/>
                <w:szCs w:val="20"/>
              </w:rPr>
            </w:pPr>
          </w:p>
        </w:tc>
      </w:tr>
      <w:tr w14:paraId="337FC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0304E311">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30691D99">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708BAF13">
            <w:pPr>
              <w:snapToGrid w:val="0"/>
              <w:spacing w:line="240" w:lineRule="atLeast"/>
              <w:jc w:val="center"/>
              <w:rPr>
                <w:rFonts w:ascii="仿宋_GB2312" w:hAnsi="仿宋_GB2312" w:eastAsia="仿宋_GB2312" w:cs="仿宋_GB2312"/>
                <w:sz w:val="20"/>
                <w:szCs w:val="20"/>
              </w:rPr>
            </w:pPr>
          </w:p>
        </w:tc>
        <w:tc>
          <w:tcPr>
            <w:tcW w:w="2820" w:type="dxa"/>
            <w:vAlign w:val="center"/>
          </w:tcPr>
          <w:p w14:paraId="4AD96DA0">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5．海域使用权登记以及其他法定需要的不动产权利登记</w:t>
            </w:r>
          </w:p>
        </w:tc>
        <w:tc>
          <w:tcPr>
            <w:tcW w:w="780" w:type="dxa"/>
            <w:vMerge w:val="continue"/>
            <w:vAlign w:val="center"/>
          </w:tcPr>
          <w:p w14:paraId="7886B545">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3D580E1F">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7E198B00">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681FEDE3">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7868A075">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0224A118">
            <w:pPr>
              <w:snapToGrid w:val="0"/>
              <w:spacing w:line="240" w:lineRule="atLeast"/>
              <w:jc w:val="center"/>
              <w:rPr>
                <w:rFonts w:ascii="仿宋_GB2312" w:hAnsi="仿宋_GB2312" w:eastAsia="仿宋_GB2312" w:cs="仿宋_GB2312"/>
                <w:sz w:val="20"/>
                <w:szCs w:val="20"/>
              </w:rPr>
            </w:pPr>
          </w:p>
        </w:tc>
      </w:tr>
      <w:tr w14:paraId="7130D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0090E74E">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6912103D">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69135E6C">
            <w:pPr>
              <w:snapToGrid w:val="0"/>
              <w:spacing w:line="240" w:lineRule="atLeast"/>
              <w:jc w:val="center"/>
              <w:rPr>
                <w:rFonts w:ascii="仿宋_GB2312" w:hAnsi="仿宋_GB2312" w:eastAsia="仿宋_GB2312" w:cs="仿宋_GB2312"/>
                <w:sz w:val="20"/>
                <w:szCs w:val="20"/>
              </w:rPr>
            </w:pPr>
          </w:p>
        </w:tc>
        <w:tc>
          <w:tcPr>
            <w:tcW w:w="2820" w:type="dxa"/>
            <w:vAlign w:val="center"/>
          </w:tcPr>
          <w:p w14:paraId="130BB85B">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6．地役权登记</w:t>
            </w:r>
          </w:p>
        </w:tc>
        <w:tc>
          <w:tcPr>
            <w:tcW w:w="780" w:type="dxa"/>
            <w:vMerge w:val="continue"/>
            <w:vAlign w:val="center"/>
          </w:tcPr>
          <w:p w14:paraId="3248BD30">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3ADA3AF6">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670E2265">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19419EE1">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67AF9AEA">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7344C7E7">
            <w:pPr>
              <w:snapToGrid w:val="0"/>
              <w:spacing w:line="240" w:lineRule="atLeast"/>
              <w:jc w:val="center"/>
              <w:rPr>
                <w:rFonts w:ascii="仿宋_GB2312" w:hAnsi="仿宋_GB2312" w:eastAsia="仿宋_GB2312" w:cs="仿宋_GB2312"/>
                <w:sz w:val="20"/>
                <w:szCs w:val="20"/>
              </w:rPr>
            </w:pPr>
          </w:p>
        </w:tc>
      </w:tr>
      <w:tr w14:paraId="59008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281E1160">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76D853E4">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096AE7D3">
            <w:pPr>
              <w:snapToGrid w:val="0"/>
              <w:spacing w:line="240" w:lineRule="atLeast"/>
              <w:jc w:val="center"/>
              <w:rPr>
                <w:rFonts w:ascii="仿宋_GB2312" w:hAnsi="仿宋_GB2312" w:eastAsia="仿宋_GB2312" w:cs="仿宋_GB2312"/>
                <w:sz w:val="20"/>
                <w:szCs w:val="20"/>
              </w:rPr>
            </w:pPr>
          </w:p>
        </w:tc>
        <w:tc>
          <w:tcPr>
            <w:tcW w:w="2820" w:type="dxa"/>
            <w:vAlign w:val="center"/>
          </w:tcPr>
          <w:p w14:paraId="64FBC043">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7．预告登记</w:t>
            </w:r>
          </w:p>
        </w:tc>
        <w:tc>
          <w:tcPr>
            <w:tcW w:w="780" w:type="dxa"/>
            <w:vMerge w:val="continue"/>
            <w:vAlign w:val="center"/>
          </w:tcPr>
          <w:p w14:paraId="361BA16F">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6AE554A3">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097E7D43">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17D4EC00">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24C2911A">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38D65DBB">
            <w:pPr>
              <w:snapToGrid w:val="0"/>
              <w:spacing w:line="240" w:lineRule="atLeast"/>
              <w:jc w:val="center"/>
              <w:rPr>
                <w:rFonts w:ascii="仿宋_GB2312" w:hAnsi="仿宋_GB2312" w:eastAsia="仿宋_GB2312" w:cs="仿宋_GB2312"/>
                <w:sz w:val="20"/>
                <w:szCs w:val="20"/>
              </w:rPr>
            </w:pPr>
          </w:p>
        </w:tc>
      </w:tr>
      <w:tr w14:paraId="3E06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3AD50E5C">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443C7789">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11E795F0">
            <w:pPr>
              <w:snapToGrid w:val="0"/>
              <w:spacing w:line="240" w:lineRule="atLeast"/>
              <w:jc w:val="center"/>
              <w:rPr>
                <w:rFonts w:ascii="仿宋_GB2312" w:hAnsi="仿宋_GB2312" w:eastAsia="仿宋_GB2312" w:cs="仿宋_GB2312"/>
                <w:sz w:val="20"/>
                <w:szCs w:val="20"/>
              </w:rPr>
            </w:pPr>
          </w:p>
        </w:tc>
        <w:tc>
          <w:tcPr>
            <w:tcW w:w="2820" w:type="dxa"/>
            <w:vAlign w:val="center"/>
          </w:tcPr>
          <w:p w14:paraId="35495C29">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8．更正登记</w:t>
            </w:r>
          </w:p>
        </w:tc>
        <w:tc>
          <w:tcPr>
            <w:tcW w:w="780" w:type="dxa"/>
            <w:vMerge w:val="continue"/>
            <w:vAlign w:val="center"/>
          </w:tcPr>
          <w:p w14:paraId="48FD22FB">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5C6B7C45">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7A98781A">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65F17515">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193EC30E">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4B05B4CD">
            <w:pPr>
              <w:snapToGrid w:val="0"/>
              <w:spacing w:line="240" w:lineRule="atLeast"/>
              <w:jc w:val="center"/>
              <w:rPr>
                <w:rFonts w:ascii="仿宋_GB2312" w:hAnsi="仿宋_GB2312" w:eastAsia="仿宋_GB2312" w:cs="仿宋_GB2312"/>
                <w:sz w:val="20"/>
                <w:szCs w:val="20"/>
              </w:rPr>
            </w:pPr>
          </w:p>
        </w:tc>
      </w:tr>
      <w:tr w14:paraId="30321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5671BC22">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0990B0FB">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238D04E2">
            <w:pPr>
              <w:snapToGrid w:val="0"/>
              <w:spacing w:line="240" w:lineRule="atLeast"/>
              <w:jc w:val="center"/>
              <w:rPr>
                <w:rFonts w:ascii="仿宋_GB2312" w:hAnsi="仿宋_GB2312" w:eastAsia="仿宋_GB2312" w:cs="仿宋_GB2312"/>
                <w:sz w:val="20"/>
                <w:szCs w:val="20"/>
              </w:rPr>
            </w:pPr>
          </w:p>
        </w:tc>
        <w:tc>
          <w:tcPr>
            <w:tcW w:w="2820" w:type="dxa"/>
            <w:vAlign w:val="center"/>
          </w:tcPr>
          <w:p w14:paraId="1515562D">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9.异议登记</w:t>
            </w:r>
          </w:p>
        </w:tc>
        <w:tc>
          <w:tcPr>
            <w:tcW w:w="780" w:type="dxa"/>
            <w:vMerge w:val="continue"/>
            <w:vAlign w:val="center"/>
          </w:tcPr>
          <w:p w14:paraId="19126A81">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5C421DE0">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77ED990C">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27CE422C">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6802103D">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6EC044C2">
            <w:pPr>
              <w:snapToGrid w:val="0"/>
              <w:spacing w:line="240" w:lineRule="atLeast"/>
              <w:jc w:val="center"/>
              <w:rPr>
                <w:rFonts w:ascii="仿宋_GB2312" w:hAnsi="仿宋_GB2312" w:eastAsia="仿宋_GB2312" w:cs="仿宋_GB2312"/>
                <w:sz w:val="20"/>
                <w:szCs w:val="20"/>
              </w:rPr>
            </w:pPr>
          </w:p>
        </w:tc>
      </w:tr>
      <w:tr w14:paraId="6E6E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3935B678">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1A213024">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16F5D6E0">
            <w:pPr>
              <w:snapToGrid w:val="0"/>
              <w:spacing w:line="240" w:lineRule="atLeast"/>
              <w:jc w:val="center"/>
              <w:rPr>
                <w:rFonts w:ascii="仿宋_GB2312" w:hAnsi="仿宋_GB2312" w:eastAsia="仿宋_GB2312" w:cs="仿宋_GB2312"/>
                <w:sz w:val="20"/>
                <w:szCs w:val="20"/>
              </w:rPr>
            </w:pPr>
          </w:p>
        </w:tc>
        <w:tc>
          <w:tcPr>
            <w:tcW w:w="2820" w:type="dxa"/>
            <w:vAlign w:val="center"/>
          </w:tcPr>
          <w:p w14:paraId="18752DCC">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10.查封登记</w:t>
            </w:r>
          </w:p>
        </w:tc>
        <w:tc>
          <w:tcPr>
            <w:tcW w:w="780" w:type="dxa"/>
            <w:vMerge w:val="continue"/>
            <w:vAlign w:val="center"/>
          </w:tcPr>
          <w:p w14:paraId="21F04F51">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61AA8855">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28E368D5">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14DB0CB0">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344EEC93">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3A678682">
            <w:pPr>
              <w:snapToGrid w:val="0"/>
              <w:spacing w:line="240" w:lineRule="atLeast"/>
              <w:jc w:val="center"/>
              <w:rPr>
                <w:rFonts w:ascii="仿宋_GB2312" w:hAnsi="仿宋_GB2312" w:eastAsia="仿宋_GB2312" w:cs="仿宋_GB2312"/>
                <w:sz w:val="20"/>
                <w:szCs w:val="20"/>
              </w:rPr>
            </w:pPr>
          </w:p>
        </w:tc>
      </w:tr>
      <w:tr w14:paraId="62C65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08C70DA2">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7E163D5D">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6886CEA5">
            <w:pPr>
              <w:snapToGrid w:val="0"/>
              <w:spacing w:line="240" w:lineRule="atLeast"/>
              <w:jc w:val="center"/>
              <w:rPr>
                <w:rFonts w:ascii="仿宋_GB2312" w:hAnsi="仿宋_GB2312" w:eastAsia="仿宋_GB2312" w:cs="仿宋_GB2312"/>
                <w:sz w:val="20"/>
                <w:szCs w:val="20"/>
              </w:rPr>
            </w:pPr>
          </w:p>
        </w:tc>
        <w:tc>
          <w:tcPr>
            <w:tcW w:w="2820" w:type="dxa"/>
            <w:vAlign w:val="center"/>
          </w:tcPr>
          <w:p w14:paraId="191CD9A6">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11.抵押权登记</w:t>
            </w:r>
          </w:p>
        </w:tc>
        <w:tc>
          <w:tcPr>
            <w:tcW w:w="780" w:type="dxa"/>
            <w:vMerge w:val="continue"/>
            <w:vAlign w:val="center"/>
          </w:tcPr>
          <w:p w14:paraId="22CE8CE0">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62FCA37A">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17EC164B">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714E19CB">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7F7F192C">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4F5248E9">
            <w:pPr>
              <w:snapToGrid w:val="0"/>
              <w:spacing w:line="240" w:lineRule="atLeast"/>
              <w:jc w:val="center"/>
              <w:rPr>
                <w:rFonts w:ascii="仿宋_GB2312" w:hAnsi="仿宋_GB2312" w:eastAsia="仿宋_GB2312" w:cs="仿宋_GB2312"/>
                <w:sz w:val="20"/>
                <w:szCs w:val="20"/>
              </w:rPr>
            </w:pPr>
          </w:p>
        </w:tc>
      </w:tr>
      <w:tr w14:paraId="10B1A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1AD8F5AB">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05C77AAE">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451D982A">
            <w:pPr>
              <w:snapToGrid w:val="0"/>
              <w:spacing w:line="240" w:lineRule="atLeast"/>
              <w:jc w:val="center"/>
              <w:rPr>
                <w:rFonts w:ascii="仿宋_GB2312" w:hAnsi="仿宋_GB2312" w:eastAsia="仿宋_GB2312" w:cs="仿宋_GB2312"/>
                <w:sz w:val="20"/>
                <w:szCs w:val="20"/>
              </w:rPr>
            </w:pPr>
          </w:p>
        </w:tc>
        <w:tc>
          <w:tcPr>
            <w:tcW w:w="2820" w:type="dxa"/>
            <w:vAlign w:val="center"/>
          </w:tcPr>
          <w:p w14:paraId="6847EB32">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12.森林、林木所有权登记</w:t>
            </w:r>
          </w:p>
        </w:tc>
        <w:tc>
          <w:tcPr>
            <w:tcW w:w="780" w:type="dxa"/>
            <w:vMerge w:val="continue"/>
            <w:vAlign w:val="center"/>
          </w:tcPr>
          <w:p w14:paraId="54602979">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6AC44D7C">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0BFFB2DD">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2717FB8E">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43CE3C3B">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7DB0847F">
            <w:pPr>
              <w:snapToGrid w:val="0"/>
              <w:spacing w:line="240" w:lineRule="atLeast"/>
              <w:jc w:val="center"/>
              <w:rPr>
                <w:rFonts w:ascii="仿宋_GB2312" w:hAnsi="仿宋_GB2312" w:eastAsia="仿宋_GB2312" w:cs="仿宋_GB2312"/>
                <w:sz w:val="20"/>
                <w:szCs w:val="20"/>
              </w:rPr>
            </w:pPr>
          </w:p>
        </w:tc>
      </w:tr>
      <w:tr w14:paraId="43DCC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3D10EFF4">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45E04969">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3F59A6B4">
            <w:pPr>
              <w:snapToGrid w:val="0"/>
              <w:spacing w:line="240" w:lineRule="atLeast"/>
              <w:jc w:val="center"/>
              <w:rPr>
                <w:rFonts w:ascii="仿宋_GB2312" w:hAnsi="仿宋_GB2312" w:eastAsia="仿宋_GB2312" w:cs="仿宋_GB2312"/>
                <w:sz w:val="20"/>
                <w:szCs w:val="20"/>
              </w:rPr>
            </w:pPr>
          </w:p>
        </w:tc>
        <w:tc>
          <w:tcPr>
            <w:tcW w:w="2820" w:type="dxa"/>
            <w:vAlign w:val="center"/>
          </w:tcPr>
          <w:p w14:paraId="1160DF9D">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13.国有林地使用权登记</w:t>
            </w:r>
          </w:p>
        </w:tc>
        <w:tc>
          <w:tcPr>
            <w:tcW w:w="780" w:type="dxa"/>
            <w:vMerge w:val="continue"/>
            <w:vAlign w:val="center"/>
          </w:tcPr>
          <w:p w14:paraId="68AAD759">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43D02208">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200DD8AE">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27B87830">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18006703">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4F33C90C">
            <w:pPr>
              <w:snapToGrid w:val="0"/>
              <w:spacing w:line="240" w:lineRule="atLeast"/>
              <w:jc w:val="center"/>
              <w:rPr>
                <w:rFonts w:ascii="仿宋_GB2312" w:hAnsi="仿宋_GB2312" w:eastAsia="仿宋_GB2312" w:cs="仿宋_GB2312"/>
                <w:sz w:val="20"/>
                <w:szCs w:val="20"/>
              </w:rPr>
            </w:pPr>
          </w:p>
        </w:tc>
      </w:tr>
      <w:tr w14:paraId="68E4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77662D14">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68E445A7">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1F63A9CD">
            <w:pPr>
              <w:snapToGrid w:val="0"/>
              <w:spacing w:line="240" w:lineRule="atLeast"/>
              <w:jc w:val="center"/>
              <w:rPr>
                <w:rFonts w:ascii="仿宋_GB2312" w:hAnsi="仿宋_GB2312" w:eastAsia="仿宋_GB2312" w:cs="仿宋_GB2312"/>
                <w:sz w:val="20"/>
                <w:szCs w:val="20"/>
              </w:rPr>
            </w:pPr>
          </w:p>
        </w:tc>
        <w:tc>
          <w:tcPr>
            <w:tcW w:w="2820" w:type="dxa"/>
            <w:vAlign w:val="center"/>
          </w:tcPr>
          <w:p w14:paraId="1B149C83">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14．国有农用地使用权登记</w:t>
            </w:r>
          </w:p>
        </w:tc>
        <w:tc>
          <w:tcPr>
            <w:tcW w:w="780" w:type="dxa"/>
            <w:vMerge w:val="continue"/>
            <w:vAlign w:val="center"/>
          </w:tcPr>
          <w:p w14:paraId="020D85FD">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3374098F">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437E18B3">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523D21B1">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086BB419">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232C2E43">
            <w:pPr>
              <w:snapToGrid w:val="0"/>
              <w:spacing w:line="240" w:lineRule="atLeast"/>
              <w:jc w:val="center"/>
              <w:rPr>
                <w:rFonts w:ascii="仿宋_GB2312" w:hAnsi="仿宋_GB2312" w:eastAsia="仿宋_GB2312" w:cs="仿宋_GB2312"/>
                <w:sz w:val="20"/>
                <w:szCs w:val="20"/>
              </w:rPr>
            </w:pPr>
          </w:p>
        </w:tc>
      </w:tr>
      <w:tr w14:paraId="68669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7527C3F5">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2B55D167">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75C323E4">
            <w:pPr>
              <w:snapToGrid w:val="0"/>
              <w:spacing w:line="240" w:lineRule="atLeast"/>
              <w:jc w:val="center"/>
              <w:rPr>
                <w:rFonts w:ascii="仿宋_GB2312" w:hAnsi="仿宋_GB2312" w:eastAsia="仿宋_GB2312" w:cs="仿宋_GB2312"/>
                <w:sz w:val="20"/>
                <w:szCs w:val="20"/>
              </w:rPr>
            </w:pPr>
          </w:p>
        </w:tc>
        <w:tc>
          <w:tcPr>
            <w:tcW w:w="2820" w:type="dxa"/>
            <w:vAlign w:val="center"/>
          </w:tcPr>
          <w:p w14:paraId="18E9B25E">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15．耕地、林地、草原等土地承包经营权登记</w:t>
            </w:r>
          </w:p>
        </w:tc>
        <w:tc>
          <w:tcPr>
            <w:tcW w:w="780" w:type="dxa"/>
            <w:vMerge w:val="continue"/>
            <w:vAlign w:val="center"/>
          </w:tcPr>
          <w:p w14:paraId="2AEEE3C1">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6AAB9A9E">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7081D85C">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584DB93A">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5459D5B3">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5483B1F4">
            <w:pPr>
              <w:snapToGrid w:val="0"/>
              <w:spacing w:line="240" w:lineRule="atLeast"/>
              <w:jc w:val="center"/>
              <w:rPr>
                <w:rFonts w:ascii="仿宋_GB2312" w:hAnsi="仿宋_GB2312" w:eastAsia="仿宋_GB2312" w:cs="仿宋_GB2312"/>
                <w:sz w:val="20"/>
                <w:szCs w:val="20"/>
              </w:rPr>
            </w:pPr>
          </w:p>
        </w:tc>
      </w:tr>
    </w:tbl>
    <w:p w14:paraId="2DB23302"/>
    <w:p w14:paraId="6E4631DF">
      <w:pPr>
        <w:pStyle w:val="2"/>
      </w:pPr>
    </w:p>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58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D7E04C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C468542">
            <w:pPr>
              <w:spacing w:line="240" w:lineRule="atLeast"/>
              <w:rPr>
                <w:rFonts w:asciiTheme="majorEastAsia" w:hAnsiTheme="majorEastAsia" w:eastAsiaTheme="majorEastAsia" w:cstheme="majorEastAsia"/>
                <w:spacing w:val="-20"/>
                <w:sz w:val="20"/>
                <w:szCs w:val="20"/>
              </w:rPr>
            </w:pPr>
          </w:p>
          <w:p w14:paraId="75C87057">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73E79E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85CD48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98D64D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B954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60E6D57">
            <w:pPr>
              <w:spacing w:line="240" w:lineRule="atLeast"/>
              <w:jc w:val="left"/>
              <w:rPr>
                <w:rFonts w:ascii="仿宋_GB2312" w:hAnsi="仿宋_GB2312" w:eastAsia="仿宋_GB2312" w:cs="仿宋_GB2312"/>
                <w:sz w:val="20"/>
                <w:szCs w:val="20"/>
              </w:rPr>
            </w:pPr>
          </w:p>
        </w:tc>
        <w:tc>
          <w:tcPr>
            <w:tcW w:w="555" w:type="dxa"/>
            <w:vMerge w:val="continue"/>
          </w:tcPr>
          <w:p w14:paraId="71C139F9">
            <w:pPr>
              <w:spacing w:line="240" w:lineRule="atLeast"/>
              <w:jc w:val="left"/>
              <w:rPr>
                <w:rFonts w:ascii="仿宋_GB2312" w:hAnsi="仿宋_GB2312" w:eastAsia="仿宋_GB2312" w:cs="仿宋_GB2312"/>
                <w:sz w:val="20"/>
                <w:szCs w:val="20"/>
              </w:rPr>
            </w:pPr>
          </w:p>
        </w:tc>
        <w:tc>
          <w:tcPr>
            <w:tcW w:w="784" w:type="dxa"/>
            <w:vAlign w:val="center"/>
          </w:tcPr>
          <w:p w14:paraId="7090E49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C6109D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CBC281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A3B44C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929151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307B3B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DBF3DC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5273C1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D603E4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39A3AF8">
            <w:pPr>
              <w:spacing w:line="240" w:lineRule="atLeast"/>
              <w:jc w:val="left"/>
              <w:rPr>
                <w:rFonts w:ascii="仿宋_GB2312" w:hAnsi="仿宋_GB2312" w:eastAsia="仿宋_GB2312" w:cs="仿宋_GB2312"/>
                <w:sz w:val="20"/>
                <w:szCs w:val="20"/>
              </w:rPr>
            </w:pPr>
          </w:p>
        </w:tc>
      </w:tr>
      <w:tr w14:paraId="67BAF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0E311B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206</w:t>
            </w:r>
          </w:p>
        </w:tc>
        <w:tc>
          <w:tcPr>
            <w:tcW w:w="555" w:type="dxa"/>
            <w:vAlign w:val="center"/>
          </w:tcPr>
          <w:p w14:paraId="2A10944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行政确认</w:t>
            </w:r>
          </w:p>
        </w:tc>
        <w:tc>
          <w:tcPr>
            <w:tcW w:w="784" w:type="dxa"/>
            <w:vAlign w:val="center"/>
          </w:tcPr>
          <w:p w14:paraId="6E9A78A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矿产资源储量评审备案</w:t>
            </w:r>
          </w:p>
        </w:tc>
        <w:tc>
          <w:tcPr>
            <w:tcW w:w="660" w:type="dxa"/>
            <w:vAlign w:val="center"/>
          </w:tcPr>
          <w:p w14:paraId="4F70231A">
            <w:pPr>
              <w:snapToGrid w:val="0"/>
              <w:spacing w:line="240" w:lineRule="atLeast"/>
              <w:jc w:val="center"/>
              <w:rPr>
                <w:rFonts w:ascii="仿宋_GB2312" w:hAnsi="仿宋_GB2312" w:eastAsia="仿宋_GB2312" w:cs="仿宋_GB2312"/>
                <w:sz w:val="20"/>
                <w:szCs w:val="20"/>
              </w:rPr>
            </w:pPr>
          </w:p>
        </w:tc>
        <w:tc>
          <w:tcPr>
            <w:tcW w:w="615" w:type="dxa"/>
            <w:vAlign w:val="center"/>
          </w:tcPr>
          <w:p w14:paraId="7DA7537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B9A0C3C">
            <w:pPr>
              <w:snapToGrid w:val="0"/>
              <w:spacing w:line="240" w:lineRule="atLeast"/>
              <w:jc w:val="center"/>
              <w:rPr>
                <w:rFonts w:ascii="仿宋_GB2312" w:hAnsi="仿宋_GB2312" w:eastAsia="仿宋_GB2312" w:cs="仿宋_GB2312"/>
                <w:color w:val="FF0000"/>
                <w:sz w:val="20"/>
                <w:szCs w:val="20"/>
              </w:rPr>
            </w:pPr>
            <w:r>
              <w:rPr>
                <w:rFonts w:hint="eastAsia" w:ascii="仿宋_GB2312" w:hAnsi="仿宋_GB2312" w:eastAsia="仿宋_GB2312" w:cs="仿宋_GB2312"/>
                <w:color w:val="FF0000"/>
                <w:sz w:val="20"/>
                <w:szCs w:val="20"/>
              </w:rPr>
              <w:t>地质勘查和矿产资源保护监督科</w:t>
            </w:r>
          </w:p>
        </w:tc>
        <w:tc>
          <w:tcPr>
            <w:tcW w:w="4605" w:type="dxa"/>
            <w:vAlign w:val="center"/>
          </w:tcPr>
          <w:p w14:paraId="1C5D4A9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第十三条：国务院矿产储量审批机构或者省、自治区、直辖市矿产储量审批机构负责审查批准供矿山建设设计使用的勘探报告，并在规定的期限内批复报送单位。勘探报告未经批准，不得作为矿山建设设计的依据。</w:t>
            </w:r>
          </w:p>
          <w:p w14:paraId="4F97848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 《中华人民共和国矿产资源法实施细则》（1994年国务院令第152号）第十九条：矿产资源勘查报告按照下列规定审批：（一）供矿山建设使用的重要大型矿床勘查报告和供大型水源地建设使用的地下水勘查报告，由国务院矿产储量审批机构审批；（二）供矿山建设使用的一般大型、中型、小型矿床勘查报告和供中型、小型水源地建设使用的地下水勘查报告，由省、自治区、直辖市矿产储量审批机构审批；矿产储量审批机构和勘查单位的主管部门应当自收到矿产资源勘查报告之日起六个月内作出批复。</w:t>
            </w:r>
          </w:p>
          <w:p w14:paraId="051B2BF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3.【规范性文件】《自然资源部关于推进矿产资源管理改革若干事项的意见》（自然资规〔2019〕7号）第四条：实行同一矿种探矿权采矿权出让登记统计管理，其他矿种由省级及以下自然资源主管部门负责。</w:t>
            </w:r>
          </w:p>
          <w:p w14:paraId="6F44026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第九条：自然资源主管部门可委托矿产资源储量评审机构根据评审备案范围和权限组织开展评审备案工作。</w:t>
            </w:r>
          </w:p>
          <w:p w14:paraId="5A31D80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第十条：自然资源部负责本级已颁发矿业权证的矿产资源储量评审备案工作，其他由省级自然资源主管部门负责。</w:t>
            </w:r>
          </w:p>
          <w:p w14:paraId="78FD9D5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规范性文件】《广西壮族自治区自然资源厅关于加强矿产资源储量评审备案管理有关事项的通知》（桂自然资规〔2020〕6号）第二条：自治区自然资源厅负责能源矿产、金属矿产、水气矿产中除自然资源部出让登记权限之外的矿产、自治区和设区市自然资源部门已颁发勘查许可证的矿产和海砂、磷、萤石矿产以及建设项目压覆重要矿产资源（油气和放射性矿产资源除外）的储量评审备案工作；设区市自然资源主管部门负责除自然资源部、自然资源厅出让、登记矿种外的矿产资源储量评审备案工作。</w:t>
            </w:r>
          </w:p>
        </w:tc>
        <w:tc>
          <w:tcPr>
            <w:tcW w:w="3585" w:type="dxa"/>
            <w:vAlign w:val="center"/>
          </w:tcPr>
          <w:p w14:paraId="08D9A76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1.受理责任：审查评审备案材料是否齐全，是否在规定的时间内提交评审备案。评审备案材料不全的，通知申请人一次性补齐。</w:t>
            </w:r>
          </w:p>
          <w:p w14:paraId="7F2DE05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2.审查责任：对矿产资源储量评审备案范围、权限、评审机构评审专家资格，评审标准、和程序是合规等进行审查。</w:t>
            </w:r>
          </w:p>
          <w:p w14:paraId="7C1B3CC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3.决定责任：作出同意通过评审、不予通过评审或同意备案、不予以备案决定（不予通过评审、不予备案的应当告知理由）。</w:t>
            </w:r>
          </w:p>
          <w:p w14:paraId="295D7BE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4．送达责任：出具评审意见书或备案证明并送达。</w:t>
            </w:r>
          </w:p>
          <w:p w14:paraId="707A164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36754E3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第十三条：国务院矿产储量审批机构或者省、自治区、直辖市矿产储量审批机构负责审查批准供矿山建设设计使用的勘探报告，并在规定的期限内批复报送单位。勘探报告未经批准，不得作为矿山建设设计的依据。</w:t>
            </w:r>
          </w:p>
          <w:p w14:paraId="4EB5748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2—1.【规范性文件】《自然资源部关于推进矿产资源管理改革若干事项的意见》（自然资规〔2019〕7号）第四条：实行同一矿种探矿权采矿权出让登记统计管理，其他矿种由省级及以下自然资源主管部门负责。</w:t>
            </w:r>
          </w:p>
          <w:p w14:paraId="5302CAD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第九条：自然资源主管部门可委托矿产资源储量评审机构根据评审备案范围和权限组织开展评审备案工作。</w:t>
            </w:r>
          </w:p>
          <w:p w14:paraId="79D1C1C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第十条：自然资源部负责本级已颁发矿业权证的矿产资源储量评审备案工作，其他由省级自然资源主管部门负责。</w:t>
            </w:r>
          </w:p>
          <w:p w14:paraId="5C2D51C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规范性文件】《广西壮族自治区自然资源厅关于加强矿产资源储量评审备案管理有关事项的通知》（桂自然资规〔2020〕6号）第二条：实行储量评审备案分级分类管理。自治区自然资源厅负责能源矿产、金属矿产、水气矿产中除自然资源部出让登记权限之外的矿产、自治区和设区市自然资源部门已颁发勘查许可证的矿产和海砂、磷、萤石矿产以及建设项目压覆重要矿产资源（油气和放射性矿产资源除外）的储量评审备案工作；设区市自然资源主管部门负责除自然资源部、自然资源厅出让、登记矿种外的矿产资源储量评审备案工作。</w:t>
            </w:r>
          </w:p>
          <w:p w14:paraId="55D183D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条：调整储量评审备案范围。自然资源主管部门负责评审备案的范围包括探矿权转采矿权、采矿权变更矿种或范围、非油气矿产在采矿期间累计查明矿产资源量发生重大变化的（变化量超过30%或达到中型规模以上）、建设项目压覆重要矿产资源等情形的矿产资源储量报告。自然资源主管部门负责评审的范围包括财政出资查明的矿产资源储量报告、作为矿业权出让、出让收益评估处置的矿产资源储量报告。</w:t>
            </w:r>
          </w:p>
          <w:p w14:paraId="7E7D281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3.同2</w:t>
            </w:r>
          </w:p>
          <w:p w14:paraId="6F5F467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规范性文件】《广西壮族自治区自然资源厅关于加强矿产资源储量评审备案管理有关事项的通知》（桂自然资规〔2020〕6号）第五条：提高储量评审备案服务水平。评审终止通知书、评审意见书、备案告知书由评审机构负责邮寄申请人。</w:t>
            </w:r>
          </w:p>
        </w:tc>
        <w:tc>
          <w:tcPr>
            <w:tcW w:w="330" w:type="dxa"/>
            <w:vAlign w:val="center"/>
          </w:tcPr>
          <w:p w14:paraId="3E1EE0E3">
            <w:pPr>
              <w:snapToGrid w:val="0"/>
              <w:spacing w:line="240" w:lineRule="atLeast"/>
              <w:jc w:val="center"/>
              <w:rPr>
                <w:rFonts w:ascii="仿宋_GB2312" w:hAnsi="仿宋_GB2312" w:eastAsia="仿宋_GB2312" w:cs="仿宋_GB2312"/>
                <w:sz w:val="20"/>
                <w:szCs w:val="20"/>
              </w:rPr>
            </w:pPr>
          </w:p>
        </w:tc>
      </w:tr>
    </w:tbl>
    <w:p w14:paraId="5F98B6A3"/>
    <w:p w14:paraId="1D5AF540"/>
    <w:p w14:paraId="19C28A53"/>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77A9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BC1A53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6DE64F8">
            <w:pPr>
              <w:spacing w:line="240" w:lineRule="atLeast"/>
              <w:rPr>
                <w:rFonts w:asciiTheme="majorEastAsia" w:hAnsiTheme="majorEastAsia" w:eastAsiaTheme="majorEastAsia" w:cstheme="majorEastAsia"/>
                <w:spacing w:val="-20"/>
                <w:sz w:val="20"/>
                <w:szCs w:val="20"/>
              </w:rPr>
            </w:pPr>
          </w:p>
          <w:p w14:paraId="556B07D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A75F35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D1F8FC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78F837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A65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3FE2767">
            <w:pPr>
              <w:spacing w:line="240" w:lineRule="atLeast"/>
              <w:jc w:val="left"/>
              <w:rPr>
                <w:rFonts w:ascii="仿宋_GB2312" w:hAnsi="仿宋_GB2312" w:eastAsia="仿宋_GB2312" w:cs="仿宋_GB2312"/>
                <w:sz w:val="20"/>
                <w:szCs w:val="20"/>
              </w:rPr>
            </w:pPr>
          </w:p>
        </w:tc>
        <w:tc>
          <w:tcPr>
            <w:tcW w:w="555" w:type="dxa"/>
            <w:vMerge w:val="continue"/>
          </w:tcPr>
          <w:p w14:paraId="0C96924F">
            <w:pPr>
              <w:spacing w:line="240" w:lineRule="atLeast"/>
              <w:jc w:val="left"/>
              <w:rPr>
                <w:rFonts w:ascii="仿宋_GB2312" w:hAnsi="仿宋_GB2312" w:eastAsia="仿宋_GB2312" w:cs="仿宋_GB2312"/>
                <w:sz w:val="20"/>
                <w:szCs w:val="20"/>
              </w:rPr>
            </w:pPr>
          </w:p>
        </w:tc>
        <w:tc>
          <w:tcPr>
            <w:tcW w:w="784" w:type="dxa"/>
            <w:vAlign w:val="center"/>
          </w:tcPr>
          <w:p w14:paraId="7B2FD9C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4E850D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250CC4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1D059E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DA7622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F84890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3E2CAE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67F174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845C5B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C40C453">
            <w:pPr>
              <w:spacing w:line="240" w:lineRule="atLeast"/>
              <w:jc w:val="left"/>
              <w:rPr>
                <w:rFonts w:ascii="仿宋_GB2312" w:hAnsi="仿宋_GB2312" w:eastAsia="仿宋_GB2312" w:cs="仿宋_GB2312"/>
                <w:sz w:val="20"/>
                <w:szCs w:val="20"/>
              </w:rPr>
            </w:pPr>
          </w:p>
        </w:tc>
      </w:tr>
      <w:tr w14:paraId="3E860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2E08AA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207</w:t>
            </w:r>
          </w:p>
        </w:tc>
        <w:tc>
          <w:tcPr>
            <w:tcW w:w="555" w:type="dxa"/>
            <w:vAlign w:val="center"/>
          </w:tcPr>
          <w:p w14:paraId="563F480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行政确认</w:t>
            </w:r>
          </w:p>
        </w:tc>
        <w:tc>
          <w:tcPr>
            <w:tcW w:w="784" w:type="dxa"/>
            <w:vAlign w:val="center"/>
          </w:tcPr>
          <w:p w14:paraId="08DE498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地质灾害治理责任认定</w:t>
            </w:r>
          </w:p>
        </w:tc>
        <w:tc>
          <w:tcPr>
            <w:tcW w:w="660" w:type="dxa"/>
            <w:vAlign w:val="center"/>
          </w:tcPr>
          <w:p w14:paraId="7B117F79">
            <w:pPr>
              <w:snapToGrid w:val="0"/>
              <w:spacing w:line="240" w:lineRule="atLeast"/>
              <w:jc w:val="center"/>
              <w:rPr>
                <w:rFonts w:ascii="仿宋_GB2312" w:hAnsi="仿宋_GB2312" w:eastAsia="仿宋_GB2312" w:cs="仿宋_GB2312"/>
                <w:sz w:val="20"/>
                <w:szCs w:val="20"/>
              </w:rPr>
            </w:pPr>
          </w:p>
        </w:tc>
        <w:tc>
          <w:tcPr>
            <w:tcW w:w="615" w:type="dxa"/>
            <w:vAlign w:val="center"/>
          </w:tcPr>
          <w:p w14:paraId="08B45CA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709C6A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地质勘查和矿产资源保护监督科</w:t>
            </w:r>
          </w:p>
        </w:tc>
        <w:tc>
          <w:tcPr>
            <w:tcW w:w="4605" w:type="dxa"/>
            <w:vAlign w:val="center"/>
          </w:tcPr>
          <w:p w14:paraId="0BA8C8F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地质灾害防治条例》（2003年国务院令第394号公布）第七条：国务院国土资源主管部门负责全国地质灾害防治的组织、协调、指导和监督工作。国务院其他有关部门按照各自的职责负责有关的地质灾害防治工作。</w:t>
            </w:r>
          </w:p>
          <w:p w14:paraId="3357A6F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县级以上地方人民政府国土资源主管部门负责本行政区域内地质灾害防治的组织、协调、指导和监督工作。县级以上地方人民政府其他有关部门按照各自的职责负责有关的地质灾害防治工作。</w:t>
            </w:r>
          </w:p>
          <w:p w14:paraId="4FD6DBA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第三十五条：因工程建设等人为活动引发的地质灾害，由责任单位承担治理责任。</w:t>
            </w:r>
          </w:p>
          <w:p w14:paraId="35F6440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责任单位由地质灾害发生地的县级以上人民政府国土资源主管部门负责组织专家对地质灾害的成因进行分析论证后认定。</w:t>
            </w:r>
          </w:p>
          <w:p w14:paraId="4238903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对地质灾害的治理责任认定结果有异议的，可以依法申请行政复议或者提起行政诉讼。</w:t>
            </w:r>
          </w:p>
        </w:tc>
        <w:tc>
          <w:tcPr>
            <w:tcW w:w="3585" w:type="dxa"/>
            <w:vAlign w:val="center"/>
          </w:tcPr>
          <w:p w14:paraId="74AB63A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1.受理责任：审查责任认定申请材料是否齐全。材料不全的，通知申请人一次性补齐。</w:t>
            </w:r>
          </w:p>
          <w:p w14:paraId="2A9AC10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2.审查责任：对地质灾害治理责任进行论证并审查。</w:t>
            </w:r>
          </w:p>
          <w:p w14:paraId="2A26A6B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3.决定责任：作出地质灾害治理责任决定并送达。</w:t>
            </w:r>
          </w:p>
          <w:p w14:paraId="4D78601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9515" w:type="dxa"/>
            <w:vAlign w:val="center"/>
          </w:tcPr>
          <w:p w14:paraId="554A3FE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行政法规】《地质灾害防治条例》（中华人民共和国国务院令第394号）第七条：国务院国土资源主管部门负责全国地质灾害防治的组织、协调、指导和监督工作。国务院其他有关部门按照各自的职责负责有关的地质灾害防治工作。县级以上地方人民政府国土资源主管部门负责本行政区域内地质灾害防治的组织、协调、指导和监督工作。县级以上地方人民政府其他有关部门按照各自的职责负责有关的地质灾害防治工作。</w:t>
            </w:r>
          </w:p>
          <w:p w14:paraId="2BB5284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行政法规】《地质灾害防治条例》（中华人民共和国国务院令第394号）第三十五条：因工程建设等人为活动引发的地质灾害，由责任单位承担治理责任。责任单位由地质灾害发生地的县级以上人民政府国土资源主管部门负责组织专家对地质灾害的成因进行分析论证后认定。对地质灾害的治理责任认定结果有异议的，可以依法申请行政复议或者提起行政诉讼。</w:t>
            </w:r>
          </w:p>
          <w:p w14:paraId="73F4295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2.同1。</w:t>
            </w:r>
          </w:p>
          <w:p w14:paraId="672A730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3.同1。</w:t>
            </w:r>
          </w:p>
        </w:tc>
        <w:tc>
          <w:tcPr>
            <w:tcW w:w="330" w:type="dxa"/>
            <w:vAlign w:val="center"/>
          </w:tcPr>
          <w:p w14:paraId="6D276E72">
            <w:pPr>
              <w:snapToGrid w:val="0"/>
              <w:spacing w:line="240" w:lineRule="atLeast"/>
              <w:jc w:val="center"/>
              <w:rPr>
                <w:rFonts w:ascii="仿宋_GB2312" w:hAnsi="仿宋_GB2312" w:eastAsia="仿宋_GB2312" w:cs="仿宋_GB2312"/>
                <w:sz w:val="20"/>
                <w:szCs w:val="20"/>
              </w:rPr>
            </w:pPr>
          </w:p>
        </w:tc>
      </w:tr>
    </w:tbl>
    <w:p w14:paraId="4B5E022F"/>
    <w:p w14:paraId="15F9910E"/>
    <w:p w14:paraId="495C71DA">
      <w:pPr>
        <w:pStyle w:val="2"/>
      </w:pPr>
    </w:p>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39A7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9C243E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4D8ED80">
            <w:pPr>
              <w:spacing w:line="240" w:lineRule="atLeast"/>
              <w:rPr>
                <w:rFonts w:asciiTheme="majorEastAsia" w:hAnsiTheme="majorEastAsia" w:eastAsiaTheme="majorEastAsia" w:cstheme="majorEastAsia"/>
                <w:spacing w:val="-20"/>
                <w:sz w:val="20"/>
                <w:szCs w:val="20"/>
              </w:rPr>
            </w:pPr>
          </w:p>
          <w:p w14:paraId="29183F1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96AD61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0E049D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E760FA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8A5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7C11976">
            <w:pPr>
              <w:spacing w:line="240" w:lineRule="atLeast"/>
              <w:jc w:val="left"/>
              <w:rPr>
                <w:rFonts w:ascii="仿宋_GB2312" w:hAnsi="仿宋_GB2312" w:eastAsia="仿宋_GB2312" w:cs="仿宋_GB2312"/>
                <w:sz w:val="20"/>
                <w:szCs w:val="20"/>
              </w:rPr>
            </w:pPr>
          </w:p>
        </w:tc>
        <w:tc>
          <w:tcPr>
            <w:tcW w:w="555" w:type="dxa"/>
            <w:vMerge w:val="continue"/>
          </w:tcPr>
          <w:p w14:paraId="44474A3C">
            <w:pPr>
              <w:spacing w:line="240" w:lineRule="atLeast"/>
              <w:jc w:val="left"/>
              <w:rPr>
                <w:rFonts w:ascii="仿宋_GB2312" w:hAnsi="仿宋_GB2312" w:eastAsia="仿宋_GB2312" w:cs="仿宋_GB2312"/>
                <w:sz w:val="20"/>
                <w:szCs w:val="20"/>
              </w:rPr>
            </w:pPr>
          </w:p>
        </w:tc>
        <w:tc>
          <w:tcPr>
            <w:tcW w:w="784" w:type="dxa"/>
            <w:vAlign w:val="center"/>
          </w:tcPr>
          <w:p w14:paraId="3B9F0DC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C725BF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7BCF8A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F3F217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0A5FE1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75C63F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0DAD47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503BCE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2E4696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A4FB9F3">
            <w:pPr>
              <w:spacing w:line="240" w:lineRule="atLeast"/>
              <w:jc w:val="left"/>
              <w:rPr>
                <w:rFonts w:ascii="仿宋_GB2312" w:hAnsi="仿宋_GB2312" w:eastAsia="仿宋_GB2312" w:cs="仿宋_GB2312"/>
                <w:sz w:val="20"/>
                <w:szCs w:val="20"/>
              </w:rPr>
            </w:pPr>
          </w:p>
        </w:tc>
      </w:tr>
      <w:tr w14:paraId="0C342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F508CD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208</w:t>
            </w:r>
          </w:p>
        </w:tc>
        <w:tc>
          <w:tcPr>
            <w:tcW w:w="555" w:type="dxa"/>
            <w:vAlign w:val="center"/>
          </w:tcPr>
          <w:p w14:paraId="3FDE4E1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行政确认</w:t>
            </w:r>
          </w:p>
        </w:tc>
        <w:tc>
          <w:tcPr>
            <w:tcW w:w="784" w:type="dxa"/>
            <w:vAlign w:val="center"/>
          </w:tcPr>
          <w:p w14:paraId="4032FE3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建设工程规划核验（验收</w:t>
            </w:r>
          </w:p>
        </w:tc>
        <w:tc>
          <w:tcPr>
            <w:tcW w:w="660" w:type="dxa"/>
            <w:vAlign w:val="center"/>
          </w:tcPr>
          <w:p w14:paraId="503C5DF2">
            <w:pPr>
              <w:snapToGrid w:val="0"/>
              <w:spacing w:line="240" w:lineRule="atLeast"/>
              <w:jc w:val="center"/>
              <w:rPr>
                <w:rFonts w:ascii="仿宋_GB2312" w:hAnsi="仿宋_GB2312" w:eastAsia="仿宋_GB2312" w:cs="仿宋_GB2312"/>
                <w:sz w:val="20"/>
                <w:szCs w:val="20"/>
              </w:rPr>
            </w:pPr>
          </w:p>
        </w:tc>
        <w:tc>
          <w:tcPr>
            <w:tcW w:w="615" w:type="dxa"/>
            <w:vAlign w:val="center"/>
          </w:tcPr>
          <w:p w14:paraId="23080EA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777F19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建设项目规划科</w:t>
            </w:r>
          </w:p>
        </w:tc>
        <w:tc>
          <w:tcPr>
            <w:tcW w:w="4605" w:type="dxa"/>
            <w:vAlign w:val="center"/>
          </w:tcPr>
          <w:p w14:paraId="45A51C7B">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城乡规划法》(2007年10月28日第十届全国人民代表大会常务委员会第三十次会议通过根据2015年4月24日第十二届全国人民代表大会常务委员会第十四次会议《关于修改等七部法律的决定》第一次修正根据2019年4月23日第十三届全国人民代表大会常务委员会第十次会议《关于修改等八部法律的决定》第二次修正)第四十五条 县级以上地方人民政府城乡规划主管部门按照国务院规定对建设工程是否符合规划条件予以核实。</w:t>
            </w:r>
          </w:p>
          <w:p w14:paraId="1924615C">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2.【地方性法规】《广西壮族自治区实施&lt;中华人民共和国城乡规划法&gt;办法》（2010年广西壮族自治区第十一届人民代表大会常务委员会第十四次会议通过，2016年》修正）第四十六条 城乡规划主管部门或者自治区人民政府确定的镇人民政府应当对竣工后的建设工程是否符合规划条件予以核实。核实的程序按照以下规定办理：</w:t>
            </w:r>
          </w:p>
          <w:p w14:paraId="0289D4BA">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（一）建设单位或者个人在建设工程竣工后，应当委托具有工程测量资质的单位对建设工程进行竣工测量并出具测量成果。</w:t>
            </w:r>
          </w:p>
          <w:p w14:paraId="58C67C19">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（二）建设单位或者个人持建设工程规划许可证或者乡村建设规划许可证及附件、附图、竣工测量成果，向城乡规划主管部门或者自治区人民政府确定的镇人民政府提出核实建设工程规划条件的申请。</w:t>
            </w:r>
          </w:p>
          <w:p w14:paraId="6B78A1CC">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城乡规划主管部门或者自治区人民政府确定的镇人民政府在受理申请后20日内，对建设工程是否符合建设用地规划许可证和建设工程规划许可证的内容进行核实；同时核实应当拆除的房屋和已到期的临时建筑是否已经拆除。符合规划条件的，向建设单位或者个人出具建设工程规划核实证明；对不符合规划条件的，责令其限期纠正，重新予以核实。</w:t>
            </w:r>
          </w:p>
          <w:p w14:paraId="32DDF6E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未取得建设工程规划核实证明的，建设单位或者个人不得组织竣工验收，住房和城乡建设行政主管部门和其他有关部门不得办理竣工验收备案；不动产登记机构不得办理不动产权属登记。</w:t>
            </w:r>
          </w:p>
        </w:tc>
        <w:tc>
          <w:tcPr>
            <w:tcW w:w="3585" w:type="dxa"/>
            <w:vAlign w:val="center"/>
          </w:tcPr>
          <w:p w14:paraId="1615063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1.受理责任：对建设项目规划核实申请进行审查，依法能够受理的进行受理，不能受理的，对申请人说明理由.</w:t>
            </w:r>
          </w:p>
          <w:p w14:paraId="4F533050">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2.审查责任：按程序进行核实，提出规划核实初步意见。</w:t>
            </w:r>
          </w:p>
          <w:p w14:paraId="4591DCA5">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3.决定责任：对符合规划条件的，出具规划核实证明；对不符合规划条件的，责令其限期纠正，重新予以核实。</w:t>
            </w:r>
          </w:p>
          <w:p w14:paraId="221CE6A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4.事后监管责任：联合相关部门查处在规划核实工作中存在的违规违法行为.</w:t>
            </w:r>
          </w:p>
          <w:p w14:paraId="261C218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5.法律法规规定的其他责.</w:t>
            </w:r>
          </w:p>
        </w:tc>
        <w:tc>
          <w:tcPr>
            <w:tcW w:w="9515" w:type="dxa"/>
            <w:vAlign w:val="center"/>
          </w:tcPr>
          <w:p w14:paraId="28D0E6D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规】《广西壮族自治区实施&lt;中华人民共和国城乡规划法&gt;办法》（2010年3月31日广西壮族自治区第十一届人民代表大会常务委员会第十四次会议通过，根据2016年11月30日广西壮族自治区第十二届人民代表大会常务委员会第二十六次会议《关于废止和修改部分地方性法规的决定》修正）第四十六条 城乡规划主管部门或者自治区人民政府确定的镇人民政府应当对竣工后的建设工程是否符合规划条件予以核实。核实的程序按照以下规定办理：</w:t>
            </w:r>
          </w:p>
          <w:p w14:paraId="595B32F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（一）建设单位或者个人在建设工程竣工后，应当委托具有工程测量资质的单位对建设工程进行竣工测量并出具测量成果。</w:t>
            </w:r>
          </w:p>
          <w:p w14:paraId="486A5ED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（二）建设单位或者个人持建设工程规划许可证或者乡村建设规划许可证及附件、附图、竣工测量成果，向城乡规划主管部门或者自治区人民政府确定的镇人民政府提出核实建设工程规划条件的申请。</w:t>
            </w:r>
          </w:p>
          <w:p w14:paraId="1C091E2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城乡规划主管部门或者自治区人民政府确定的镇人民政府在受理申请后20日内，对建设工程是否符合建设用地规划许可证和建设工程规划许可证的内容进行核实；同时核实应当拆除的房屋和已到期的临时建筑是否已经拆除。符合规划条件的，向建设单位或者个人出具建设工程规划核实证明；对不符合规划条件的，责令其限期纠正，重新予以核实。</w:t>
            </w:r>
          </w:p>
          <w:p w14:paraId="3A4B478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未取得建设工程规划核实证明的，建设单位或者个人不得组织竣工验收，住房和城乡建设行政主管部门和其他有关部门不得办理竣工验收备案；不动产登记机构不得办理不动产权属登记。</w:t>
            </w:r>
          </w:p>
          <w:p w14:paraId="5D51DBD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2.同1.</w:t>
            </w:r>
          </w:p>
          <w:p w14:paraId="765C577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3.同1.</w:t>
            </w:r>
          </w:p>
          <w:p w14:paraId="159A0DB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法规】《广西壮族自治区实施《中华人民共和国城乡规划法》办法》（2010年3月31日广西壮族自治区第十一届人民代表大会常务委员会第十四次会议通过，根据2016年11月30日广西壮族自治区第十二届人民代表大会常务委员会第二十六次会议《关于废止和修改部分地方性法规的决定》修正）第五十六条　城乡规划主管部门和镇、乡人民政府应当重点加强以下城乡规划许可实施情况的监督检查：</w:t>
            </w:r>
          </w:p>
          <w:p w14:paraId="7121D11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（一）建设用地和建设工程是否已办理规划许可；</w:t>
            </w:r>
          </w:p>
          <w:p w14:paraId="6440D75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（二）城乡规划许可的执行情况；</w:t>
            </w:r>
          </w:p>
          <w:p w14:paraId="1FEAC4E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（三）规划控制情况；</w:t>
            </w:r>
          </w:p>
          <w:p w14:paraId="24C8F37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（四）建设工程竣工规划核实；</w:t>
            </w:r>
          </w:p>
          <w:p w14:paraId="37B6050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（五）建（构）筑物的规划使用性质；</w:t>
            </w:r>
          </w:p>
          <w:p w14:paraId="4158794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（六）按照相关规定应当监督检查的其他内容。</w:t>
            </w:r>
          </w:p>
        </w:tc>
        <w:tc>
          <w:tcPr>
            <w:tcW w:w="330" w:type="dxa"/>
            <w:vAlign w:val="center"/>
          </w:tcPr>
          <w:p w14:paraId="66C6C483">
            <w:pPr>
              <w:snapToGrid w:val="0"/>
              <w:spacing w:line="240" w:lineRule="atLeast"/>
              <w:jc w:val="center"/>
              <w:rPr>
                <w:rFonts w:ascii="仿宋_GB2312" w:hAnsi="仿宋_GB2312" w:eastAsia="仿宋_GB2312" w:cs="仿宋_GB2312"/>
                <w:sz w:val="20"/>
                <w:szCs w:val="20"/>
              </w:rPr>
            </w:pPr>
          </w:p>
        </w:tc>
      </w:tr>
    </w:tbl>
    <w:p w14:paraId="693424B2">
      <w:pPr>
        <w:pStyle w:val="3"/>
        <w:jc w:val="both"/>
      </w:pPr>
    </w:p>
    <w:p w14:paraId="3DDC605F"/>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2862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00345A8">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450BB54">
            <w:pPr>
              <w:spacing w:line="240" w:lineRule="atLeast"/>
              <w:rPr>
                <w:rFonts w:asciiTheme="majorEastAsia" w:hAnsiTheme="majorEastAsia" w:eastAsiaTheme="majorEastAsia" w:cstheme="majorEastAsia"/>
                <w:spacing w:val="-20"/>
                <w:sz w:val="20"/>
                <w:szCs w:val="20"/>
              </w:rPr>
            </w:pPr>
          </w:p>
          <w:p w14:paraId="06DCA5A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29FF22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4FC018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E9C6B4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106A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9DFFD32">
            <w:pPr>
              <w:spacing w:line="240" w:lineRule="atLeast"/>
              <w:jc w:val="left"/>
              <w:rPr>
                <w:rFonts w:ascii="仿宋_GB2312" w:hAnsi="仿宋_GB2312" w:eastAsia="仿宋_GB2312" w:cs="仿宋_GB2312"/>
                <w:sz w:val="20"/>
                <w:szCs w:val="20"/>
              </w:rPr>
            </w:pPr>
          </w:p>
        </w:tc>
        <w:tc>
          <w:tcPr>
            <w:tcW w:w="555" w:type="dxa"/>
            <w:vMerge w:val="continue"/>
          </w:tcPr>
          <w:p w14:paraId="4B6C96CD">
            <w:pPr>
              <w:spacing w:line="240" w:lineRule="atLeast"/>
              <w:jc w:val="left"/>
              <w:rPr>
                <w:rFonts w:ascii="仿宋_GB2312" w:hAnsi="仿宋_GB2312" w:eastAsia="仿宋_GB2312" w:cs="仿宋_GB2312"/>
                <w:sz w:val="20"/>
                <w:szCs w:val="20"/>
              </w:rPr>
            </w:pPr>
          </w:p>
        </w:tc>
        <w:tc>
          <w:tcPr>
            <w:tcW w:w="784" w:type="dxa"/>
            <w:vAlign w:val="center"/>
          </w:tcPr>
          <w:p w14:paraId="113D299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C3911D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D63BAB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76CF22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869C4C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EF32BE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674801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8C20C2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5DF7E3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FDA718F">
            <w:pPr>
              <w:spacing w:line="240" w:lineRule="atLeast"/>
              <w:jc w:val="left"/>
              <w:rPr>
                <w:rFonts w:ascii="仿宋_GB2312" w:hAnsi="仿宋_GB2312" w:eastAsia="仿宋_GB2312" w:cs="仿宋_GB2312"/>
                <w:sz w:val="20"/>
                <w:szCs w:val="20"/>
              </w:rPr>
            </w:pPr>
          </w:p>
        </w:tc>
      </w:tr>
      <w:tr w14:paraId="1F6D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0D01BD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209</w:t>
            </w:r>
          </w:p>
        </w:tc>
        <w:tc>
          <w:tcPr>
            <w:tcW w:w="555" w:type="dxa"/>
            <w:vAlign w:val="center"/>
          </w:tcPr>
          <w:p w14:paraId="4D02CE8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行政奖励</w:t>
            </w:r>
          </w:p>
        </w:tc>
        <w:tc>
          <w:tcPr>
            <w:tcW w:w="784" w:type="dxa"/>
            <w:vAlign w:val="center"/>
          </w:tcPr>
          <w:p w14:paraId="7D0AB7A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地质灾害防治工作中做出突出贡献奖励</w:t>
            </w:r>
          </w:p>
        </w:tc>
        <w:tc>
          <w:tcPr>
            <w:tcW w:w="660" w:type="dxa"/>
            <w:vAlign w:val="center"/>
          </w:tcPr>
          <w:p w14:paraId="263D69FC">
            <w:pPr>
              <w:snapToGrid w:val="0"/>
              <w:spacing w:line="240" w:lineRule="atLeast"/>
              <w:jc w:val="center"/>
              <w:rPr>
                <w:rFonts w:ascii="仿宋_GB2312" w:hAnsi="仿宋_GB2312" w:eastAsia="仿宋_GB2312" w:cs="仿宋_GB2312"/>
                <w:sz w:val="20"/>
                <w:szCs w:val="20"/>
              </w:rPr>
            </w:pPr>
          </w:p>
        </w:tc>
        <w:tc>
          <w:tcPr>
            <w:tcW w:w="615" w:type="dxa"/>
            <w:vAlign w:val="center"/>
          </w:tcPr>
          <w:p w14:paraId="39386D1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玉林市人民政府（具体由玉林市自然资源局承办）</w:t>
            </w:r>
          </w:p>
        </w:tc>
        <w:tc>
          <w:tcPr>
            <w:tcW w:w="1110" w:type="dxa"/>
            <w:vAlign w:val="center"/>
          </w:tcPr>
          <w:p w14:paraId="61B6DE29">
            <w:pPr>
              <w:snapToGrid w:val="0"/>
              <w:spacing w:line="240" w:lineRule="atLeast"/>
              <w:jc w:val="center"/>
              <w:rPr>
                <w:rFonts w:ascii="仿宋_GB2312" w:hAnsi="仿宋_GB2312" w:eastAsia="仿宋_GB2312" w:cs="仿宋_GB2312"/>
                <w:color w:val="FF0000"/>
                <w:sz w:val="20"/>
                <w:szCs w:val="20"/>
              </w:rPr>
            </w:pPr>
            <w:r>
              <w:rPr>
                <w:rFonts w:hint="eastAsia" w:ascii="仿宋_GB2312" w:hAnsi="仿宋_GB2312" w:eastAsia="仿宋_GB2312" w:cs="仿宋_GB2312"/>
                <w:color w:val="FF0000"/>
                <w:sz w:val="20"/>
                <w:szCs w:val="20"/>
              </w:rPr>
              <w:t>地质勘查和矿产资源保护监督科</w:t>
            </w:r>
          </w:p>
        </w:tc>
        <w:tc>
          <w:tcPr>
            <w:tcW w:w="4605" w:type="dxa"/>
            <w:vAlign w:val="center"/>
          </w:tcPr>
          <w:p w14:paraId="69EBE44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地质灾害防治条例》（2003年国务院令第394号）第九条：任何单位和个人对地质灾害防治工作中的违法行为都有权检举和控告。在地质灾害防治工作中做出突出贡献的单位和个人，由人民政府给予奖励。</w:t>
            </w:r>
          </w:p>
        </w:tc>
        <w:tc>
          <w:tcPr>
            <w:tcW w:w="3585" w:type="dxa"/>
            <w:vAlign w:val="center"/>
          </w:tcPr>
          <w:p w14:paraId="224B321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1.受理责任：公示地质灾害防治工作中作出突出贡献的奖励需要提交的全部材料的目录，自收到申请材料5个工作日内作出不予受理、补正材料或者予以受理的决定。</w:t>
            </w:r>
          </w:p>
          <w:p w14:paraId="15E140E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2.审核责任：负责审核（主要包括申请材料的成绩性认定）；20个工作日内提出审核意见。</w:t>
            </w:r>
          </w:p>
          <w:p w14:paraId="42E7EBD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3.决定责任：公示审核结果5个工作日，告知是否给予奖励的结果。</w:t>
            </w:r>
          </w:p>
          <w:p w14:paraId="57C0EF0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9515" w:type="dxa"/>
            <w:vAlign w:val="center"/>
          </w:tcPr>
          <w:p w14:paraId="41112AA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1—1.【地方政府规章】《广西壮族自治区行政奖励暂行规定》（2002年广西壮族自治区人民政府令第4号）第七条第二款 ：设区的市人民政府、自治区人民政府工作部门可以授予二等功以下奖励；其中，自治区人民政府工作部门授予二等功奖励，须经自治区人民政府人事行政部门审核同意。</w:t>
            </w:r>
          </w:p>
          <w:p w14:paraId="7B51CEC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1—2.【地方政府规章】《广西壮族自治区行政奖励暂行规定》（2002年广西壮族自治区人民政府令第4号）第九条第九款 ： 除前款规定的奖励条件外，奖励主办单位或者承办单位还应当结合本地区、本系统、本单位的工作性质和特点，制定具体的奖励条件。</w:t>
            </w:r>
          </w:p>
          <w:p w14:paraId="625184D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1—3.【地方政府规章】《广西壮族自治区行政奖励暂行规定》（2002年广西壮族自治区人民政府令第4号）第十一条第二款 ：设区的市人民政府工作部门和自治区人民政府工作部门进行的综合奖励，一般3年或者4年进行一次，主办单位须提前6个月向同级政府人事行政部门报送方案，人事行政部门应当在1个月内予以审批。</w:t>
            </w:r>
          </w:p>
          <w:p w14:paraId="7BCDE28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地方政府规章】《广西壮族自治区行政奖励暂行规定》（2002年广西壮族自治区人民政府令第4号）第十三条：在初步确定评选对象后，应当公开征求人民群众和有关国家机关的意见。对弄虚作假或者有其他问题，经审查属实的，不能作为奖励对象。</w:t>
            </w:r>
          </w:p>
          <w:p w14:paraId="436D591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地方政府规章】《广西壮族自治区行政奖励暂行规定》（2002年广西壮族自治区人民政府令第4号）第十四条：公布奖励决定，应当采取庄重、节俭的方式，一般不专门召开表彰大会，可以结合有关工作会议或者采取电话会议、新闻发布会等简便形式公布奖励决定。</w:t>
            </w:r>
          </w:p>
          <w:p w14:paraId="537F464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2.【地方政府规章】《广西壮族自治区行政奖励暂行规定》（2002年广西壮族自治区人民政府令第4号）第十五条获得奖励的集体，由批准机关颁发奖状、奖旗或者奖牌，并可以根据实际情况给予适当的物质奖励。获得奖励的个人，由批准机关颁发奖励证书，发给奖品或者奖金，其中，对获得一等功以上的，并授予奖章。奖章由自治区人事行政部门统一制作，奖励证书由自治区人事行政部门统一式样。</w:t>
            </w:r>
          </w:p>
        </w:tc>
        <w:tc>
          <w:tcPr>
            <w:tcW w:w="330" w:type="dxa"/>
            <w:vAlign w:val="center"/>
          </w:tcPr>
          <w:p w14:paraId="1157005C">
            <w:pPr>
              <w:snapToGrid w:val="0"/>
              <w:spacing w:line="240" w:lineRule="atLeast"/>
              <w:jc w:val="center"/>
              <w:rPr>
                <w:rFonts w:ascii="仿宋_GB2312" w:hAnsi="仿宋_GB2312" w:eastAsia="仿宋_GB2312" w:cs="仿宋_GB2312"/>
                <w:sz w:val="20"/>
                <w:szCs w:val="20"/>
              </w:rPr>
            </w:pPr>
          </w:p>
        </w:tc>
      </w:tr>
    </w:tbl>
    <w:p w14:paraId="3A263225"/>
    <w:p w14:paraId="5D054181"/>
    <w:p w14:paraId="5CFDDA4A"/>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061B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B932E38">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7CC87DB">
            <w:pPr>
              <w:spacing w:line="240" w:lineRule="atLeast"/>
              <w:rPr>
                <w:rFonts w:asciiTheme="majorEastAsia" w:hAnsiTheme="majorEastAsia" w:eastAsiaTheme="majorEastAsia" w:cstheme="majorEastAsia"/>
                <w:spacing w:val="-20"/>
                <w:sz w:val="20"/>
                <w:szCs w:val="20"/>
              </w:rPr>
            </w:pPr>
          </w:p>
          <w:p w14:paraId="652BDF37">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74E4AA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1726ED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D05B68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FD56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30BD79F">
            <w:pPr>
              <w:spacing w:line="240" w:lineRule="atLeast"/>
              <w:jc w:val="left"/>
              <w:rPr>
                <w:rFonts w:ascii="仿宋_GB2312" w:hAnsi="仿宋_GB2312" w:eastAsia="仿宋_GB2312" w:cs="仿宋_GB2312"/>
                <w:sz w:val="20"/>
                <w:szCs w:val="20"/>
              </w:rPr>
            </w:pPr>
          </w:p>
        </w:tc>
        <w:tc>
          <w:tcPr>
            <w:tcW w:w="555" w:type="dxa"/>
            <w:vMerge w:val="continue"/>
          </w:tcPr>
          <w:p w14:paraId="6F9F0A44">
            <w:pPr>
              <w:spacing w:line="240" w:lineRule="atLeast"/>
              <w:jc w:val="left"/>
              <w:rPr>
                <w:rFonts w:ascii="仿宋_GB2312" w:hAnsi="仿宋_GB2312" w:eastAsia="仿宋_GB2312" w:cs="仿宋_GB2312"/>
                <w:sz w:val="20"/>
                <w:szCs w:val="20"/>
              </w:rPr>
            </w:pPr>
          </w:p>
        </w:tc>
        <w:tc>
          <w:tcPr>
            <w:tcW w:w="784" w:type="dxa"/>
            <w:vAlign w:val="center"/>
          </w:tcPr>
          <w:p w14:paraId="73CF05E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431F62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C69765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64FF27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F658FC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151FE1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538A12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F43834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3D7033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E023B4E">
            <w:pPr>
              <w:spacing w:line="240" w:lineRule="atLeast"/>
              <w:jc w:val="left"/>
              <w:rPr>
                <w:rFonts w:ascii="仿宋_GB2312" w:hAnsi="仿宋_GB2312" w:eastAsia="仿宋_GB2312" w:cs="仿宋_GB2312"/>
                <w:sz w:val="20"/>
                <w:szCs w:val="20"/>
              </w:rPr>
            </w:pPr>
          </w:p>
        </w:tc>
      </w:tr>
      <w:tr w14:paraId="447B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CA680A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210</w:t>
            </w:r>
          </w:p>
        </w:tc>
        <w:tc>
          <w:tcPr>
            <w:tcW w:w="555" w:type="dxa"/>
            <w:vAlign w:val="center"/>
          </w:tcPr>
          <w:p w14:paraId="611207B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行政奖励</w:t>
            </w:r>
          </w:p>
        </w:tc>
        <w:tc>
          <w:tcPr>
            <w:tcW w:w="784" w:type="dxa"/>
            <w:vAlign w:val="center"/>
          </w:tcPr>
          <w:p w14:paraId="7F4B310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对勘查、开发、保护矿产资源和进行科学技术研究的奖励</w:t>
            </w:r>
          </w:p>
        </w:tc>
        <w:tc>
          <w:tcPr>
            <w:tcW w:w="660" w:type="dxa"/>
            <w:vAlign w:val="center"/>
          </w:tcPr>
          <w:p w14:paraId="267A7E9E">
            <w:pPr>
              <w:snapToGrid w:val="0"/>
              <w:spacing w:line="240" w:lineRule="atLeast"/>
              <w:jc w:val="center"/>
              <w:rPr>
                <w:rFonts w:ascii="仿宋_GB2312" w:hAnsi="仿宋_GB2312" w:eastAsia="仿宋_GB2312" w:cs="仿宋_GB2312"/>
                <w:sz w:val="20"/>
                <w:szCs w:val="20"/>
              </w:rPr>
            </w:pPr>
          </w:p>
        </w:tc>
        <w:tc>
          <w:tcPr>
            <w:tcW w:w="615" w:type="dxa"/>
            <w:vAlign w:val="center"/>
          </w:tcPr>
          <w:p w14:paraId="6266C8E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玉林市人民政府（具体由玉林市自然资源局承办）</w:t>
            </w:r>
          </w:p>
        </w:tc>
        <w:tc>
          <w:tcPr>
            <w:tcW w:w="1110" w:type="dxa"/>
            <w:vAlign w:val="center"/>
          </w:tcPr>
          <w:p w14:paraId="31B652FC">
            <w:pPr>
              <w:snapToGrid w:val="0"/>
              <w:spacing w:line="240" w:lineRule="atLeast"/>
              <w:jc w:val="center"/>
              <w:rPr>
                <w:rFonts w:ascii="仿宋_GB2312" w:hAnsi="仿宋_GB2312" w:eastAsia="仿宋_GB2312" w:cs="仿宋_GB2312"/>
                <w:color w:val="FF0000"/>
                <w:sz w:val="20"/>
                <w:szCs w:val="20"/>
              </w:rPr>
            </w:pPr>
            <w:r>
              <w:rPr>
                <w:rFonts w:hint="eastAsia" w:ascii="仿宋_GB2312" w:hAnsi="仿宋_GB2312" w:eastAsia="仿宋_GB2312" w:cs="仿宋_GB2312"/>
                <w:color w:val="FF0000"/>
                <w:sz w:val="20"/>
                <w:szCs w:val="20"/>
              </w:rPr>
              <w:t>地质勘查和矿产资源保护监督科</w:t>
            </w:r>
          </w:p>
        </w:tc>
        <w:tc>
          <w:tcPr>
            <w:tcW w:w="4605" w:type="dxa"/>
            <w:vAlign w:val="center"/>
          </w:tcPr>
          <w:p w14:paraId="613448A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【法律】《中华人民共和国矿产资源法》第九条：在勘查、开发、保护矿产资源和进行科学技术研究等方面成绩显著的单位和个人，由各级人民政府给予奖励。</w:t>
            </w:r>
          </w:p>
        </w:tc>
        <w:tc>
          <w:tcPr>
            <w:tcW w:w="3585" w:type="dxa"/>
            <w:vAlign w:val="center"/>
          </w:tcPr>
          <w:p w14:paraId="63762287">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1.受理责任：制定对勘查、开发、保护矿产资源和进行科学技术研究的奖励的具体条件和奖励方案，按照方案受理报奖申请相关材料；</w:t>
            </w:r>
          </w:p>
          <w:p w14:paraId="35BF8497">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2.审核责任：对申请材料按对勘查、开发、保护矿产资源和进行科学技术研究的奖励条件进行审核，初步确定评选对象后，公开征求人民群众和有关国家机关的意见，并对反映的意见进行审查；</w:t>
            </w:r>
          </w:p>
          <w:p w14:paraId="5BF040B3">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3.决定责任：按照对勘查、开发、保护矿产资源和进行科学技术研究的奖励方案公布奖励决定；</w:t>
            </w:r>
          </w:p>
          <w:p w14:paraId="3191810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9515" w:type="dxa"/>
            <w:vAlign w:val="center"/>
          </w:tcPr>
          <w:p w14:paraId="5B51275A">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地方政府规章】《广西壮族自治区行政奖励暂行规定》（2002年广西壮族自治区人民政府令第4号）第七条第二款：设区的市人民政府、自治区人民政府工作部门可以授予二等功以下奖励；其中，自治区人民政府工作部门授予二等功奖励，须经自治区人民政府人事行政部门审核同意。</w:t>
            </w:r>
          </w:p>
          <w:p w14:paraId="3DFB48D9">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地方政府规章】《广西壮族自治区行政奖励暂行规定》（2002年广西壮族自治区人民政府令第4号）第九条第九款：除前款规定的奖励条件外，奖励主办单位或者承办单位还应当结合本地区、本系统、本单位的工作性质和特点，制定具体的奖励条件。</w:t>
            </w:r>
          </w:p>
          <w:p w14:paraId="66618B69">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3.【地方政府规章】《广西壮族自治区行政奖励暂行规定》（2002年广西壮族自治区人民政府令第4号）第十一条第二款：设区的市人民政府工作部门和自治区人民政府工作部门进行的综合奖励，一般3年或者4年进行一次，主办单位须提前6个月向同级政府人事行政部门报送方案，人事行政部门应当在1个月内予以审批。</w:t>
            </w:r>
          </w:p>
          <w:p w14:paraId="4D1EA2C4">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地方性法规】《广西壮族自治区行政奖励暂行规定》（2002年广西壮族自治区人民政府令第4号）第十三条：在初步确定评选对象后，应当公开征求人民群众和有关国家机关的意见。对弄虚作假或者有其他问题，经审查属实的，不能作为奖励对象。</w:t>
            </w:r>
          </w:p>
          <w:p w14:paraId="6C8DB79D">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地方政府规章】《广西壮族自治区行政奖励暂行规定》（2002年广西壮族自治区人民政府令第4号）第十四条：公布奖励决定，应当采取庄重、节俭的方式，一般不专门召开表彰大会，可以结合有关工作会议或者采取电话会议、新闻发布会等简便形式公布奖励决定。</w:t>
            </w:r>
          </w:p>
          <w:p w14:paraId="0384429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3—2.【地方政府规章】《广西壮族自治区行政奖励暂行规定》（2002年广西壮族自治区人民政府令第4号）第十五条：获得奖励的集体，由批准机关颁发奖状、奖旗或者奖牌，并可以根据实际情况给予适当的</w:t>
            </w:r>
            <w:r>
              <w:rPr>
                <w:rFonts w:hint="eastAsia" w:eastAsia="仿宋_GB2312"/>
                <w:snapToGrid w:val="0"/>
                <w:color w:val="000000"/>
                <w:spacing w:val="-4"/>
                <w:sz w:val="20"/>
                <w:szCs w:val="20"/>
              </w:rPr>
              <w:t>物质奖励。获得奖励的个人，由批准机关颁发奖励证书，发给奖品或者奖金，其中，对获得一等功以上的，并授予奖章。奖章由自治区人事行政部门统一制作，奖励证书由自治区人事行政部门统一式样。</w:t>
            </w:r>
          </w:p>
        </w:tc>
        <w:tc>
          <w:tcPr>
            <w:tcW w:w="330" w:type="dxa"/>
            <w:vAlign w:val="center"/>
          </w:tcPr>
          <w:p w14:paraId="24A8F957">
            <w:pPr>
              <w:snapToGrid w:val="0"/>
              <w:spacing w:line="240" w:lineRule="atLeast"/>
              <w:jc w:val="center"/>
              <w:rPr>
                <w:rFonts w:ascii="仿宋_GB2312" w:hAnsi="仿宋_GB2312" w:eastAsia="仿宋_GB2312" w:cs="仿宋_GB2312"/>
                <w:sz w:val="20"/>
                <w:szCs w:val="20"/>
              </w:rPr>
            </w:pPr>
          </w:p>
        </w:tc>
      </w:tr>
    </w:tbl>
    <w:p w14:paraId="65939906"/>
    <w:p w14:paraId="1A09016D"/>
    <w:p w14:paraId="6A71694C"/>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66B1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3CC3B4F">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698DCDF">
            <w:pPr>
              <w:spacing w:line="240" w:lineRule="atLeast"/>
              <w:rPr>
                <w:rFonts w:asciiTheme="majorEastAsia" w:hAnsiTheme="majorEastAsia" w:eastAsiaTheme="majorEastAsia" w:cstheme="majorEastAsia"/>
                <w:spacing w:val="-20"/>
                <w:sz w:val="20"/>
                <w:szCs w:val="20"/>
              </w:rPr>
            </w:pPr>
          </w:p>
          <w:p w14:paraId="689414A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210A52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F73612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425419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0F09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F9FFEFB">
            <w:pPr>
              <w:spacing w:line="240" w:lineRule="atLeast"/>
              <w:jc w:val="left"/>
              <w:rPr>
                <w:rFonts w:ascii="仿宋_GB2312" w:hAnsi="仿宋_GB2312" w:eastAsia="仿宋_GB2312" w:cs="仿宋_GB2312"/>
                <w:sz w:val="20"/>
                <w:szCs w:val="20"/>
              </w:rPr>
            </w:pPr>
          </w:p>
        </w:tc>
        <w:tc>
          <w:tcPr>
            <w:tcW w:w="555" w:type="dxa"/>
            <w:vMerge w:val="continue"/>
          </w:tcPr>
          <w:p w14:paraId="458200BD">
            <w:pPr>
              <w:spacing w:line="240" w:lineRule="atLeast"/>
              <w:jc w:val="left"/>
              <w:rPr>
                <w:rFonts w:ascii="仿宋_GB2312" w:hAnsi="仿宋_GB2312" w:eastAsia="仿宋_GB2312" w:cs="仿宋_GB2312"/>
                <w:sz w:val="20"/>
                <w:szCs w:val="20"/>
              </w:rPr>
            </w:pPr>
          </w:p>
        </w:tc>
        <w:tc>
          <w:tcPr>
            <w:tcW w:w="784" w:type="dxa"/>
            <w:vAlign w:val="center"/>
          </w:tcPr>
          <w:p w14:paraId="593F55F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657F04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7B4049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95C75B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198593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86F658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83193E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8362E7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D045FB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8E3D67D">
            <w:pPr>
              <w:spacing w:line="240" w:lineRule="atLeast"/>
              <w:jc w:val="left"/>
              <w:rPr>
                <w:rFonts w:ascii="仿宋_GB2312" w:hAnsi="仿宋_GB2312" w:eastAsia="仿宋_GB2312" w:cs="仿宋_GB2312"/>
                <w:sz w:val="20"/>
                <w:szCs w:val="20"/>
              </w:rPr>
            </w:pPr>
          </w:p>
        </w:tc>
      </w:tr>
      <w:tr w14:paraId="610D3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CBCC65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211</w:t>
            </w:r>
          </w:p>
        </w:tc>
        <w:tc>
          <w:tcPr>
            <w:tcW w:w="555" w:type="dxa"/>
            <w:vAlign w:val="center"/>
          </w:tcPr>
          <w:p w14:paraId="1CC0A48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行政奖励</w:t>
            </w:r>
          </w:p>
        </w:tc>
        <w:tc>
          <w:tcPr>
            <w:tcW w:w="784" w:type="dxa"/>
            <w:vAlign w:val="center"/>
          </w:tcPr>
          <w:p w14:paraId="7C58FBD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土地复垦工作中取得突出贡献奖励</w:t>
            </w:r>
          </w:p>
        </w:tc>
        <w:tc>
          <w:tcPr>
            <w:tcW w:w="660" w:type="dxa"/>
            <w:vAlign w:val="center"/>
          </w:tcPr>
          <w:p w14:paraId="75C41A96">
            <w:pPr>
              <w:snapToGrid w:val="0"/>
              <w:spacing w:line="240" w:lineRule="atLeast"/>
              <w:jc w:val="center"/>
              <w:rPr>
                <w:rFonts w:ascii="仿宋_GB2312" w:hAnsi="仿宋_GB2312" w:eastAsia="仿宋_GB2312" w:cs="仿宋_GB2312"/>
                <w:sz w:val="20"/>
                <w:szCs w:val="20"/>
              </w:rPr>
            </w:pPr>
          </w:p>
        </w:tc>
        <w:tc>
          <w:tcPr>
            <w:tcW w:w="615" w:type="dxa"/>
            <w:vAlign w:val="center"/>
          </w:tcPr>
          <w:p w14:paraId="2BA7A16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玉林市人民政府（具体由玉林市自然资源局承办）</w:t>
            </w:r>
          </w:p>
        </w:tc>
        <w:tc>
          <w:tcPr>
            <w:tcW w:w="1110" w:type="dxa"/>
            <w:vAlign w:val="center"/>
          </w:tcPr>
          <w:p w14:paraId="500ACAC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国土空间生态修复科</w:t>
            </w:r>
          </w:p>
        </w:tc>
        <w:tc>
          <w:tcPr>
            <w:tcW w:w="4605" w:type="dxa"/>
            <w:vAlign w:val="center"/>
          </w:tcPr>
          <w:p w14:paraId="5B073AE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【行政法规】《土地复垦条例》（2011年国务院令第592号）第九条： 国家鼓励和支持土地复垦科学研究和技术创新，推广先进的土地复垦技术。对在土地复垦工作中作出突出贡献的单位和个人，由县级以上人民政府给予表彰。</w:t>
            </w:r>
          </w:p>
        </w:tc>
        <w:tc>
          <w:tcPr>
            <w:tcW w:w="3585" w:type="dxa"/>
            <w:vAlign w:val="center"/>
          </w:tcPr>
          <w:p w14:paraId="3A453D3E">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1.申请责任、：一次性告知推荐单位和个人需提交或补正的材料；</w:t>
            </w:r>
          </w:p>
          <w:p w14:paraId="060B9A42">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2.受理责任、：依法受理或不予受理的理由和原因；</w:t>
            </w:r>
          </w:p>
          <w:p w14:paraId="0C556981">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3.审核责任、：对提交的申报材料进行审查，提出审查意见；</w:t>
            </w:r>
          </w:p>
          <w:p w14:paraId="39358428">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4．公示责任、：公示期间，有公众提出异议或实名举报，组织重新审查；</w:t>
            </w:r>
          </w:p>
          <w:p w14:paraId="7F863F8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513E7BF5">
            <w:pPr>
              <w:widowControl/>
              <w:adjustRightInd w:val="0"/>
              <w:snapToGrid w:val="0"/>
              <w:spacing w:line="28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地方政府规章】《广西壮族自治区行政奖励暂行规定》（2002年广西壮族自治区人民政府令第4号）第七条：县级人民政府、设区的市人民政府工作部门可以授予三等功以下奖励；其中，设区的市人民政府工作部门授予三等功奖励，须经同级政府人事行政部门审核同意。设区的市人民政府、自治区人民政府工作部门可以授予二等功以下奖励；其中，自治区人民政府工作部门授予二等功奖励，须经自治区人民政府人事行政部门审核同意。一等功、荣誉称号和通令嘉奖，由自治区人民政府批准授予。</w:t>
            </w:r>
          </w:p>
          <w:p w14:paraId="5BAE2335">
            <w:pPr>
              <w:widowControl/>
              <w:adjustRightInd w:val="0"/>
              <w:snapToGrid w:val="0"/>
              <w:spacing w:line="28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地方政府规章】《广西壮族自治区行政奖励暂行规定》（2002年广西壮族自治区人民政府令第4号）第九条第九款：除前款规定的奖励条件外，奖励主办单位或者承办单位还应当结合本地区、本系统、本单位的工作性质和特点，制定具体的奖励条件。</w:t>
            </w:r>
          </w:p>
          <w:p w14:paraId="6D4E4D7C">
            <w:pPr>
              <w:widowControl/>
              <w:adjustRightInd w:val="0"/>
              <w:snapToGrid w:val="0"/>
              <w:spacing w:line="28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规章《广西壮族自治区行政奖励暂行规定》（2002年广西壮族自治区人民政府令第4号）第十一条：县级以上人民政府进行的奖励活动，一般5年进行一次，承办单位须提前6个月向同级政府人事行政部门报送方案，人事行政部门应当在1个月内提出审核意见后，共同报同级人民政府决定。设区的市人民政府工作部门和自治区人民政府工作部门进行的综合奖励，一般3年或者4年进行一次，主办单位须提前6个月向同级政府人事行政部门报送方案，人事行政部门应当在1个月内予以审批。</w:t>
            </w:r>
          </w:p>
          <w:p w14:paraId="3F2EA95D">
            <w:pPr>
              <w:widowControl/>
              <w:adjustRightInd w:val="0"/>
              <w:snapToGrid w:val="0"/>
              <w:spacing w:line="28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3.同2。</w:t>
            </w:r>
          </w:p>
          <w:p w14:paraId="7650FF66">
            <w:pPr>
              <w:widowControl/>
              <w:adjustRightInd w:val="0"/>
              <w:snapToGrid w:val="0"/>
              <w:spacing w:line="28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地方性法规】《广西壮族自治区行政奖励暂行规定》（2002年广西壮族自治区人民政府令第4号）第十三条：在初步确定评选对象后，应当公开征求人民群众和有关国家机关的意见。对弄虚作假或者有其他问题，经审查属实的，不能作为奖励对象。</w:t>
            </w:r>
          </w:p>
          <w:p w14:paraId="0F4AC85F">
            <w:pPr>
              <w:widowControl/>
              <w:adjustRightInd w:val="0"/>
              <w:snapToGrid w:val="0"/>
              <w:spacing w:line="28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地方政府规章】《广西壮族自治区行政奖励暂行规定》（2002年广西壮族自治区人民政府令第4号）第十四条：公布奖励决定，应当采取庄重、节俭的方式，一般不专门召开表彰大会，可以结合有关工作会议或者采取电话会议、新闻发布会等简便形式公布奖励决定。</w:t>
            </w:r>
          </w:p>
          <w:p w14:paraId="5C2BF0D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5—2.【地方政府规章】《广西壮族自治区行政奖励暂行规定》（2002年广西壮族自治区人民政府令第4号）第十五条：获得奖励的集体，由批准机关颁发奖状、奖旗或者奖牌，并可以根据实际情况给予适当的</w:t>
            </w:r>
            <w:r>
              <w:rPr>
                <w:rFonts w:hint="eastAsia" w:eastAsia="仿宋_GB2312"/>
                <w:snapToGrid w:val="0"/>
                <w:color w:val="000000"/>
                <w:spacing w:val="-4"/>
                <w:sz w:val="20"/>
                <w:szCs w:val="20"/>
              </w:rPr>
              <w:t>物质奖励。获得奖励的个人，由批准机关颁发奖励证书，发给奖品或者奖金，其中，对获得一等功以上的，并授予奖章。奖章由自治区人事行政部门统一制作，奖励证书由自治区人事行政部门统一式样。</w:t>
            </w:r>
          </w:p>
        </w:tc>
        <w:tc>
          <w:tcPr>
            <w:tcW w:w="330" w:type="dxa"/>
            <w:vAlign w:val="center"/>
          </w:tcPr>
          <w:p w14:paraId="4BFC0AA0">
            <w:pPr>
              <w:snapToGrid w:val="0"/>
              <w:spacing w:line="240" w:lineRule="atLeast"/>
              <w:jc w:val="center"/>
              <w:rPr>
                <w:rFonts w:ascii="仿宋_GB2312" w:hAnsi="仿宋_GB2312" w:eastAsia="仿宋_GB2312" w:cs="仿宋_GB2312"/>
                <w:sz w:val="20"/>
                <w:szCs w:val="20"/>
              </w:rPr>
            </w:pPr>
          </w:p>
        </w:tc>
      </w:tr>
    </w:tbl>
    <w:p w14:paraId="7B99B98D"/>
    <w:p w14:paraId="6C092621"/>
    <w:p w14:paraId="561687EE"/>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75"/>
        <w:gridCol w:w="600"/>
        <w:gridCol w:w="1110"/>
        <w:gridCol w:w="4605"/>
        <w:gridCol w:w="3585"/>
        <w:gridCol w:w="9515"/>
        <w:gridCol w:w="330"/>
      </w:tblGrid>
      <w:tr w14:paraId="5B33F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4CFE0A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B5A4833">
            <w:pPr>
              <w:spacing w:line="240" w:lineRule="atLeast"/>
              <w:rPr>
                <w:rFonts w:asciiTheme="majorEastAsia" w:hAnsiTheme="majorEastAsia" w:eastAsiaTheme="majorEastAsia" w:cstheme="majorEastAsia"/>
                <w:spacing w:val="-20"/>
                <w:sz w:val="20"/>
                <w:szCs w:val="20"/>
              </w:rPr>
            </w:pPr>
          </w:p>
          <w:p w14:paraId="4685053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A424CA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AD838F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B57536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AC76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4819E57">
            <w:pPr>
              <w:spacing w:line="240" w:lineRule="atLeast"/>
              <w:jc w:val="left"/>
              <w:rPr>
                <w:rFonts w:ascii="仿宋_GB2312" w:hAnsi="仿宋_GB2312" w:eastAsia="仿宋_GB2312" w:cs="仿宋_GB2312"/>
                <w:sz w:val="20"/>
                <w:szCs w:val="20"/>
              </w:rPr>
            </w:pPr>
          </w:p>
        </w:tc>
        <w:tc>
          <w:tcPr>
            <w:tcW w:w="555" w:type="dxa"/>
            <w:vMerge w:val="continue"/>
          </w:tcPr>
          <w:p w14:paraId="76DE406D">
            <w:pPr>
              <w:spacing w:line="240" w:lineRule="atLeast"/>
              <w:jc w:val="left"/>
              <w:rPr>
                <w:rFonts w:ascii="仿宋_GB2312" w:hAnsi="仿宋_GB2312" w:eastAsia="仿宋_GB2312" w:cs="仿宋_GB2312"/>
                <w:sz w:val="20"/>
                <w:szCs w:val="20"/>
              </w:rPr>
            </w:pPr>
          </w:p>
        </w:tc>
        <w:tc>
          <w:tcPr>
            <w:tcW w:w="784" w:type="dxa"/>
            <w:vAlign w:val="center"/>
          </w:tcPr>
          <w:p w14:paraId="2F986A0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FEB676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75" w:type="dxa"/>
            <w:vAlign w:val="center"/>
          </w:tcPr>
          <w:p w14:paraId="4519851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00" w:type="dxa"/>
            <w:vAlign w:val="center"/>
          </w:tcPr>
          <w:p w14:paraId="422C2DF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17CFB9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B05052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A5028B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72BD36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5D379B6">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1A5CCF9">
            <w:pPr>
              <w:spacing w:line="240" w:lineRule="atLeast"/>
              <w:jc w:val="left"/>
              <w:rPr>
                <w:rFonts w:ascii="仿宋_GB2312" w:hAnsi="仿宋_GB2312" w:eastAsia="仿宋_GB2312" w:cs="仿宋_GB2312"/>
                <w:sz w:val="20"/>
                <w:szCs w:val="20"/>
              </w:rPr>
            </w:pPr>
          </w:p>
        </w:tc>
      </w:tr>
      <w:tr w14:paraId="0F6B0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3965C5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212</w:t>
            </w:r>
          </w:p>
        </w:tc>
        <w:tc>
          <w:tcPr>
            <w:tcW w:w="555" w:type="dxa"/>
            <w:vAlign w:val="center"/>
          </w:tcPr>
          <w:p w14:paraId="707D192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行政奖励</w:t>
            </w:r>
          </w:p>
        </w:tc>
        <w:tc>
          <w:tcPr>
            <w:tcW w:w="784" w:type="dxa"/>
            <w:vAlign w:val="center"/>
          </w:tcPr>
          <w:p w14:paraId="364E119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对在古生物化石保护工作中做出突出成绩的单位和个人给与奖励</w:t>
            </w:r>
          </w:p>
        </w:tc>
        <w:tc>
          <w:tcPr>
            <w:tcW w:w="675" w:type="dxa"/>
            <w:vAlign w:val="center"/>
          </w:tcPr>
          <w:p w14:paraId="24E2DDE3">
            <w:pPr>
              <w:snapToGrid w:val="0"/>
              <w:spacing w:line="240" w:lineRule="atLeast"/>
              <w:jc w:val="center"/>
              <w:rPr>
                <w:rFonts w:ascii="仿宋_GB2312" w:hAnsi="仿宋_GB2312" w:eastAsia="仿宋_GB2312" w:cs="仿宋_GB2312"/>
                <w:sz w:val="20"/>
                <w:szCs w:val="20"/>
              </w:rPr>
            </w:pPr>
          </w:p>
        </w:tc>
        <w:tc>
          <w:tcPr>
            <w:tcW w:w="600" w:type="dxa"/>
            <w:vAlign w:val="center"/>
          </w:tcPr>
          <w:p w14:paraId="17535AA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玉林市人民政府（具体由玉林市自然资源局承办）</w:t>
            </w:r>
          </w:p>
        </w:tc>
        <w:tc>
          <w:tcPr>
            <w:tcW w:w="1110" w:type="dxa"/>
            <w:vAlign w:val="center"/>
          </w:tcPr>
          <w:p w14:paraId="3F76BA35">
            <w:pPr>
              <w:snapToGrid w:val="0"/>
              <w:spacing w:line="240" w:lineRule="atLeast"/>
              <w:jc w:val="center"/>
              <w:rPr>
                <w:rFonts w:ascii="仿宋_GB2312" w:hAnsi="仿宋_GB2312" w:eastAsia="仿宋_GB2312" w:cs="仿宋_GB2312"/>
                <w:color w:val="FF0000"/>
                <w:sz w:val="20"/>
                <w:szCs w:val="20"/>
              </w:rPr>
            </w:pPr>
            <w:r>
              <w:rPr>
                <w:rFonts w:hint="eastAsia" w:ascii="仿宋_GB2312" w:hAnsi="仿宋_GB2312" w:eastAsia="仿宋_GB2312" w:cs="仿宋_GB2312"/>
                <w:color w:val="FF0000"/>
                <w:sz w:val="20"/>
                <w:szCs w:val="20"/>
              </w:rPr>
              <w:t>地质勘查和矿产资源保护监督科</w:t>
            </w:r>
          </w:p>
        </w:tc>
        <w:tc>
          <w:tcPr>
            <w:tcW w:w="4605" w:type="dxa"/>
            <w:vAlign w:val="center"/>
          </w:tcPr>
          <w:p w14:paraId="48FFC0A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古生物化石保护条例》（2010年国务院令第580号公布，2019年国务院令第709号令修订））第九条第二款：县级以上人民政府应当组织有关部门开展古生物化石保护知识的宣传教育，增强公众保护古生物化石的意识，并按照国家有关规定对在古生物化石保护工作中做出突出成绩的单位和个人给予奖励。</w:t>
            </w:r>
          </w:p>
        </w:tc>
        <w:tc>
          <w:tcPr>
            <w:tcW w:w="3585" w:type="dxa"/>
            <w:vAlign w:val="center"/>
          </w:tcPr>
          <w:p w14:paraId="445A41F2">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1.受理责任：制定对古生物化石保护工作中做出突出成绩的单位和个人进行奖励的具体条件和奖励方案，按照方案受理报奖申请相关材料；</w:t>
            </w:r>
          </w:p>
          <w:p w14:paraId="7511413C">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2.审核责任：对申请材料按具体条件和奖励方案进行审核，初步确定评选对象后，公开征求人民群众和有关国家机关的意见，并对反映的意见进行审查；</w:t>
            </w:r>
          </w:p>
          <w:p w14:paraId="4A1C9595">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3.决定责任：按照奖励方案公布奖励决定；</w:t>
            </w:r>
          </w:p>
          <w:p w14:paraId="24E3CBD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9515" w:type="dxa"/>
            <w:vAlign w:val="center"/>
          </w:tcPr>
          <w:p w14:paraId="26C3D0AC">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地方政府规章】《广西壮族自治区行政奖励暂行规定》（2002年广西壮族自治区人民政府令第4号）第二条：本规定适用于下列行政机关以行政名义进行的奖励：（一）县级以上人民政府进行的奖励；（二）设区的市人民政府（含地区行政公署，下同）工作部门和自治区人民政府工作部门进行的综合奖励。法律、法规和规章对行政奖励另有规定的，从其规定。第六条行政奖励分为个人奖励和集体奖励两类。个人奖励依次为嘉奖、记三等功、记二等功、记一等功、授予荣誉称号。集体奖励依次为授予先进集体称号、记集体三等功、记集体二等功、记集体一等功、通令嘉奖。</w:t>
            </w:r>
          </w:p>
          <w:p w14:paraId="06C084CA">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地方政府规章】《广西壮族自治区行政奖励暂行规定》（2002年广西壮族自治区人民政府令第4号）第九条第九款：除前款规定的奖励条件外，奖励主办单位或者承办单位还应当结合本地区、本系统、本单位的工作性质和特点，制定具体的奖励条件。</w:t>
            </w:r>
          </w:p>
          <w:p w14:paraId="3182ED20">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3.【地方政府规章】《广西壮族自治区行政奖励暂行规定》（2002年广西壮族自治区人民政府令第4号）第十一条第二款：设区的市人民政府工作部门和自治区人民政府工作部门进行的综合奖励，一般3年或者4年进行一次，主办单位须提前6个月向同级政府人事行政部门报送方案，人事行政部门应当在1个月内予以审批。</w:t>
            </w:r>
          </w:p>
          <w:p w14:paraId="018AD4A5">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地方性法规】《广西壮族自治区行政奖励暂行规定》（2002年广西壮族自治区人民政府令第4号）第十三条：在初步确定评选对象后，应当公开征求人民群众和有关国家机关的意见。对弄虚作假或者有其他问题，经审查属实的，不能作为奖励对象。</w:t>
            </w:r>
          </w:p>
          <w:p w14:paraId="47ABC19D">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地方政府规章】《广西壮族自治区行政奖励暂行规定》（2002年广西壮族自治区人民政府令第4号）第十四条：公布奖励决定，应当采取庄重、节俭的方式，一般不专门召开表彰大会，可以结合有关工作会议或者采取电话会议、新闻发布会等简便形式公布奖励决定。</w:t>
            </w:r>
          </w:p>
          <w:p w14:paraId="684F3DE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3—2.【地方政府规章】《广西壮族自治区行政奖励暂行规定》（2002年广西壮族自治区人民政府令第4号）</w:t>
            </w:r>
            <w:r>
              <w:rPr>
                <w:rFonts w:hint="eastAsia" w:eastAsia="仿宋_GB2312"/>
                <w:snapToGrid w:val="0"/>
                <w:color w:val="000000"/>
                <w:spacing w:val="-4"/>
                <w:sz w:val="20"/>
                <w:szCs w:val="20"/>
              </w:rPr>
              <w:t>第十五条：获得奖励的集体，由批准机关颁发奖状、奖旗或者奖牌，并可以根据实际情况给予适当的物质奖励。获得奖励的个人，由批准机关颁发奖励证书，发给奖品或者奖金，其中，对获得一等功以上的</w:t>
            </w:r>
            <w:r>
              <w:rPr>
                <w:rFonts w:hint="eastAsia" w:eastAsia="仿宋_GB2312"/>
                <w:snapToGrid w:val="0"/>
                <w:color w:val="000000"/>
                <w:sz w:val="20"/>
                <w:szCs w:val="20"/>
              </w:rPr>
              <w:t>，并授予奖章。奖章由自治区人事行政部门统一制作，奖励证书由自治区人事行政部门统一式样。</w:t>
            </w:r>
          </w:p>
        </w:tc>
        <w:tc>
          <w:tcPr>
            <w:tcW w:w="330" w:type="dxa"/>
            <w:vAlign w:val="center"/>
          </w:tcPr>
          <w:p w14:paraId="2CE598CA">
            <w:pPr>
              <w:snapToGrid w:val="0"/>
              <w:spacing w:line="240" w:lineRule="atLeast"/>
              <w:jc w:val="center"/>
              <w:rPr>
                <w:rFonts w:ascii="仿宋_GB2312" w:hAnsi="仿宋_GB2312" w:eastAsia="仿宋_GB2312" w:cs="仿宋_GB2312"/>
                <w:sz w:val="20"/>
                <w:szCs w:val="20"/>
              </w:rPr>
            </w:pPr>
          </w:p>
        </w:tc>
      </w:tr>
    </w:tbl>
    <w:p w14:paraId="5C2753F0"/>
    <w:p w14:paraId="75BCBD35"/>
    <w:p w14:paraId="254EC31D"/>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777F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C51845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94FB3C7">
            <w:pPr>
              <w:spacing w:line="240" w:lineRule="atLeast"/>
              <w:rPr>
                <w:rFonts w:asciiTheme="majorEastAsia" w:hAnsiTheme="majorEastAsia" w:eastAsiaTheme="majorEastAsia" w:cstheme="majorEastAsia"/>
                <w:spacing w:val="-20"/>
                <w:sz w:val="20"/>
                <w:szCs w:val="20"/>
              </w:rPr>
            </w:pPr>
          </w:p>
          <w:p w14:paraId="2D61D80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F1657B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0E18B9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62B47D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0D4C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DDB6C91">
            <w:pPr>
              <w:spacing w:line="240" w:lineRule="atLeast"/>
              <w:jc w:val="left"/>
              <w:rPr>
                <w:rFonts w:ascii="仿宋_GB2312" w:hAnsi="仿宋_GB2312" w:eastAsia="仿宋_GB2312" w:cs="仿宋_GB2312"/>
                <w:sz w:val="20"/>
                <w:szCs w:val="20"/>
              </w:rPr>
            </w:pPr>
          </w:p>
        </w:tc>
        <w:tc>
          <w:tcPr>
            <w:tcW w:w="555" w:type="dxa"/>
            <w:vMerge w:val="continue"/>
          </w:tcPr>
          <w:p w14:paraId="77669B4D">
            <w:pPr>
              <w:spacing w:line="240" w:lineRule="atLeast"/>
              <w:jc w:val="left"/>
              <w:rPr>
                <w:rFonts w:ascii="仿宋_GB2312" w:hAnsi="仿宋_GB2312" w:eastAsia="仿宋_GB2312" w:cs="仿宋_GB2312"/>
                <w:sz w:val="20"/>
                <w:szCs w:val="20"/>
              </w:rPr>
            </w:pPr>
          </w:p>
        </w:tc>
        <w:tc>
          <w:tcPr>
            <w:tcW w:w="784" w:type="dxa"/>
            <w:vAlign w:val="center"/>
          </w:tcPr>
          <w:p w14:paraId="3DBDDCB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773E16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022FE4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0C4606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8E70D2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10789A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C693B7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387E6F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FB27BE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EA88352">
            <w:pPr>
              <w:spacing w:line="240" w:lineRule="atLeast"/>
              <w:jc w:val="left"/>
              <w:rPr>
                <w:rFonts w:ascii="仿宋_GB2312" w:hAnsi="仿宋_GB2312" w:eastAsia="仿宋_GB2312" w:cs="仿宋_GB2312"/>
                <w:sz w:val="20"/>
                <w:szCs w:val="20"/>
              </w:rPr>
            </w:pPr>
          </w:p>
        </w:tc>
      </w:tr>
      <w:tr w14:paraId="5FD17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19FFB1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213</w:t>
            </w:r>
          </w:p>
        </w:tc>
        <w:tc>
          <w:tcPr>
            <w:tcW w:w="555" w:type="dxa"/>
            <w:vAlign w:val="center"/>
          </w:tcPr>
          <w:p w14:paraId="4B758CA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行政裁决</w:t>
            </w:r>
          </w:p>
        </w:tc>
        <w:tc>
          <w:tcPr>
            <w:tcW w:w="784" w:type="dxa"/>
            <w:vAlign w:val="center"/>
          </w:tcPr>
          <w:p w14:paraId="7717A7C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采矿权人对矿区范围争议的裁决</w:t>
            </w:r>
          </w:p>
        </w:tc>
        <w:tc>
          <w:tcPr>
            <w:tcW w:w="660" w:type="dxa"/>
            <w:vAlign w:val="center"/>
          </w:tcPr>
          <w:p w14:paraId="7981F574">
            <w:pPr>
              <w:snapToGrid w:val="0"/>
              <w:spacing w:line="240" w:lineRule="atLeast"/>
              <w:jc w:val="center"/>
              <w:rPr>
                <w:rFonts w:ascii="仿宋_GB2312" w:hAnsi="仿宋_GB2312" w:eastAsia="仿宋_GB2312" w:cs="仿宋_GB2312"/>
                <w:sz w:val="20"/>
                <w:szCs w:val="20"/>
              </w:rPr>
            </w:pPr>
          </w:p>
        </w:tc>
        <w:tc>
          <w:tcPr>
            <w:tcW w:w="615" w:type="dxa"/>
            <w:vAlign w:val="center"/>
          </w:tcPr>
          <w:p w14:paraId="0D8EA66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ED5B2E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color w:val="FF0000"/>
                <w:sz w:val="20"/>
                <w:szCs w:val="20"/>
              </w:rPr>
              <w:t>地质勘查和矿产资源保护监督科</w:t>
            </w:r>
          </w:p>
        </w:tc>
        <w:tc>
          <w:tcPr>
            <w:tcW w:w="4605" w:type="dxa"/>
            <w:vAlign w:val="center"/>
          </w:tcPr>
          <w:p w14:paraId="60D15E71">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第四十九条：矿山企业之间的矿区范围的争议，由当事人协商解决，协商不成的，由有关县级以上地方人民政府根据依法核定的矿区范围处理；跨省、自治区、直辖市的矿区范围的争议，由有关省、自治区、直辖市人民政府协商解决，协商不成的，由国务院处理。</w:t>
            </w:r>
          </w:p>
          <w:p w14:paraId="628A8E97">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 【行政法规】《中华人民共和国矿产资源法实施细则》（1994年国务院令第152号）第三十六条：采矿权人之间对矿区范围发生争议时，由当事人协商解决；协商不成的，由矿产资源所在地的县级以上地方人民政府根据依法核定的矿区范围处理；跨省、自治区、直辖市的矿区范围争议，当事人协商不成的，由有关省、自治区、直辖市人民政府协商解决；协商不成的，由国务院地质矿产主管部门提出处理意见，报国务院决定。</w:t>
            </w:r>
          </w:p>
          <w:p w14:paraId="751B4F8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3.【行政法规】《矿产资源勘查区块登记管理办法》（1998年国务院令第240号公布，2014年国务院令第653号修订）第九条： 禁止任何单位和个人进入他人依法取得探矿权的勘查作业区进行勘查或者采矿活动。探矿权人与采矿权人对勘查作业区范围和矿区范围发生争议的，由当事人协商解决；协商不成的，由发证的登记管理机关中级别高的登记管理机关裁决。</w:t>
            </w:r>
          </w:p>
        </w:tc>
        <w:tc>
          <w:tcPr>
            <w:tcW w:w="3585" w:type="dxa"/>
            <w:vAlign w:val="center"/>
          </w:tcPr>
          <w:p w14:paraId="75560CB2">
            <w:pPr>
              <w:widowControl/>
              <w:adjustRightInd w:val="0"/>
              <w:snapToGrid w:val="0"/>
              <w:spacing w:line="270" w:lineRule="exact"/>
              <w:ind w:firstLine="376" w:firstLineChars="200"/>
              <w:rPr>
                <w:rFonts w:eastAsia="仿宋_GB2312"/>
                <w:snapToGrid w:val="0"/>
                <w:color w:val="000000"/>
                <w:spacing w:val="-6"/>
                <w:sz w:val="20"/>
                <w:szCs w:val="20"/>
              </w:rPr>
            </w:pPr>
            <w:r>
              <w:rPr>
                <w:rFonts w:hint="eastAsia" w:eastAsia="仿宋_GB2312"/>
                <w:snapToGrid w:val="0"/>
                <w:color w:val="000000"/>
                <w:spacing w:val="-6"/>
                <w:sz w:val="20"/>
                <w:szCs w:val="20"/>
              </w:rPr>
              <w:t>1.受理责任：自然资源主管部门收到采矿权申请后，作出是否处理决定。不符合要求应一次性告知补正材料；符合受理条件的，应及时受理并将受理通知发送被申请人。</w:t>
            </w:r>
          </w:p>
          <w:p w14:paraId="35D7CEAE">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2.调查责任：自然资源主管部门对受理的纠纷，指定专人负责，及时</w:t>
            </w:r>
            <w:r>
              <w:rPr>
                <w:rFonts w:hint="eastAsia" w:eastAsia="仿宋_GB2312"/>
                <w:snapToGrid w:val="0"/>
                <w:color w:val="000000"/>
                <w:spacing w:val="-4"/>
                <w:sz w:val="20"/>
                <w:szCs w:val="20"/>
              </w:rPr>
              <w:t>组织调查取证，与争议案件有直接厉害关系的应当回避。进行实地调查时</w:t>
            </w:r>
            <w:r>
              <w:rPr>
                <w:rFonts w:hint="eastAsia" w:eastAsia="仿宋_GB2312"/>
                <w:snapToGrid w:val="0"/>
                <w:color w:val="000000"/>
                <w:sz w:val="20"/>
                <w:szCs w:val="20"/>
              </w:rPr>
              <w:t>，工作人员不得少于2人。</w:t>
            </w:r>
          </w:p>
          <w:p w14:paraId="1486C545">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调解责任：自然资源主管部门在查清事实、分清权属关系的基础上先行调解，帮助当事人达成协议。调解应当坚持自愿、合法的原则。达成协议的，应当制作调解书，将调解书送达当事人，并同时抄报上一级国土资源行政主管部门；未达成协议的，当事人可以提起民事诉讼。</w:t>
            </w:r>
          </w:p>
          <w:p w14:paraId="17ABF79D">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决定责任：自然资源主管部门根据事实和法律法规、政策提出调查处理意见，报送当地人民政府决定。根据当地人民政府的决定制作并向双方当事人送达裁决书。当事人对当地人民政府的处理裁决不服的，可向上一级人民政府申请复议，也可直接向当地人民法院起诉。</w:t>
            </w:r>
          </w:p>
          <w:p w14:paraId="32F0F9D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0D1CB02D">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1.【行政法规】《矿产资源勘查区块登记管理办法》（1998年国务院令第240号公布，2014年国务院令第653号修订）第九条： 禁止任何单位和个人进入他人依法取得探矿权的勘查作业区进行勘查或者采矿活动。探矿权人与采矿权人对勘查作业区范围和矿区范围发生争议的，由当事人协商解决；协商不成的，由发证的登记管理机关中级别高的登记管理机关裁决。</w:t>
            </w:r>
          </w:p>
          <w:p w14:paraId="5DB86D19">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2.同1.</w:t>
            </w:r>
          </w:p>
          <w:p w14:paraId="7D31F067">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3.同1.</w:t>
            </w:r>
          </w:p>
          <w:p w14:paraId="1667DE06">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4—1.【部门规章】 《中华人民共和国矿产资源法实施细则》（1994年国务院令第152号）第三十六条：采矿权人之间对矿区范围发生争议时，由当事人协商解决；协商不成的，由矿产资源所在地的县级以上地方人民政府根据依法核定的矿区范围处理；跨省、自治区、直辖市的矿区范围争议，当事人协商不成的，由有关省、自治区、直辖市人民政府协商解决；协商不成的，由国务院地质矿产主管部门提出处理意见，报国务院决定；</w:t>
            </w:r>
          </w:p>
          <w:p w14:paraId="18E2B91A">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4—2.【法律】《中华人民共和国行政复议法》第六条：有下列情形之一的，公民、法人或者其他组织可以依照本法申请行政复议： 四）对行政机关作出的关于确认土地、矿藏、水流、森林、山岭、草原、荒地、滩涂、海域等自然资源的所有权或者使用权的决定不服的；</w:t>
            </w:r>
          </w:p>
          <w:p w14:paraId="30E37F9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3.【法律】《中华人民共和国行政诉讼法》第十二条：人民法院受理公民、法人或者其他组织提起的下列诉讼：（四）对行政机关作出的关于确认土地、矿藏、水流、森林、山岭、草原、荒地、滩涂、海域等自然资源的所有权或者使用权的决定不服的。</w:t>
            </w:r>
          </w:p>
        </w:tc>
        <w:tc>
          <w:tcPr>
            <w:tcW w:w="330" w:type="dxa"/>
            <w:vAlign w:val="center"/>
          </w:tcPr>
          <w:p w14:paraId="27915D13">
            <w:pPr>
              <w:snapToGrid w:val="0"/>
              <w:spacing w:line="240" w:lineRule="atLeast"/>
              <w:jc w:val="center"/>
              <w:rPr>
                <w:rFonts w:ascii="仿宋_GB2312" w:hAnsi="仿宋_GB2312" w:eastAsia="仿宋_GB2312" w:cs="仿宋_GB2312"/>
                <w:sz w:val="20"/>
                <w:szCs w:val="20"/>
              </w:rPr>
            </w:pPr>
          </w:p>
        </w:tc>
      </w:tr>
    </w:tbl>
    <w:p w14:paraId="7D5C16D3"/>
    <w:p w14:paraId="5F250E28"/>
    <w:p w14:paraId="1F576F3B"/>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4135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88CEF9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213D107">
            <w:pPr>
              <w:spacing w:line="240" w:lineRule="atLeast"/>
              <w:rPr>
                <w:rFonts w:asciiTheme="majorEastAsia" w:hAnsiTheme="majorEastAsia" w:eastAsiaTheme="majorEastAsia" w:cstheme="majorEastAsia"/>
                <w:spacing w:val="-20"/>
                <w:sz w:val="20"/>
                <w:szCs w:val="20"/>
              </w:rPr>
            </w:pPr>
          </w:p>
          <w:p w14:paraId="2F541E7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B7339E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17AEB5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3BDF8B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CFFC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ED82B4F">
            <w:pPr>
              <w:spacing w:line="240" w:lineRule="atLeast"/>
              <w:jc w:val="left"/>
              <w:rPr>
                <w:rFonts w:ascii="仿宋_GB2312" w:hAnsi="仿宋_GB2312" w:eastAsia="仿宋_GB2312" w:cs="仿宋_GB2312"/>
                <w:sz w:val="20"/>
                <w:szCs w:val="20"/>
              </w:rPr>
            </w:pPr>
          </w:p>
        </w:tc>
        <w:tc>
          <w:tcPr>
            <w:tcW w:w="555" w:type="dxa"/>
            <w:vMerge w:val="continue"/>
          </w:tcPr>
          <w:p w14:paraId="37701EA7">
            <w:pPr>
              <w:spacing w:line="240" w:lineRule="atLeast"/>
              <w:jc w:val="left"/>
              <w:rPr>
                <w:rFonts w:ascii="仿宋_GB2312" w:hAnsi="仿宋_GB2312" w:eastAsia="仿宋_GB2312" w:cs="仿宋_GB2312"/>
                <w:sz w:val="20"/>
                <w:szCs w:val="20"/>
              </w:rPr>
            </w:pPr>
          </w:p>
        </w:tc>
        <w:tc>
          <w:tcPr>
            <w:tcW w:w="784" w:type="dxa"/>
            <w:vAlign w:val="center"/>
          </w:tcPr>
          <w:p w14:paraId="7F0CDCE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7A4957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00BBA3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E6F772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3C3F6B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BBC6E5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45E1B7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DEDBC7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8CB7FE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EA6E450">
            <w:pPr>
              <w:spacing w:line="240" w:lineRule="atLeast"/>
              <w:jc w:val="left"/>
              <w:rPr>
                <w:rFonts w:ascii="仿宋_GB2312" w:hAnsi="仿宋_GB2312" w:eastAsia="仿宋_GB2312" w:cs="仿宋_GB2312"/>
                <w:sz w:val="20"/>
                <w:szCs w:val="20"/>
              </w:rPr>
            </w:pPr>
          </w:p>
        </w:tc>
      </w:tr>
      <w:tr w14:paraId="0DF32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E25826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214</w:t>
            </w:r>
          </w:p>
        </w:tc>
        <w:tc>
          <w:tcPr>
            <w:tcW w:w="555" w:type="dxa"/>
            <w:vAlign w:val="center"/>
          </w:tcPr>
          <w:p w14:paraId="7E10A64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3E77AD9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矿山地质环境治理恢复工程验收</w:t>
            </w:r>
          </w:p>
        </w:tc>
        <w:tc>
          <w:tcPr>
            <w:tcW w:w="660" w:type="dxa"/>
            <w:vAlign w:val="center"/>
          </w:tcPr>
          <w:p w14:paraId="0FC52B8A">
            <w:pPr>
              <w:snapToGrid w:val="0"/>
              <w:spacing w:line="240" w:lineRule="atLeast"/>
              <w:jc w:val="center"/>
              <w:rPr>
                <w:rFonts w:ascii="仿宋_GB2312" w:hAnsi="仿宋_GB2312" w:eastAsia="仿宋_GB2312" w:cs="仿宋_GB2312"/>
                <w:sz w:val="20"/>
                <w:szCs w:val="20"/>
              </w:rPr>
            </w:pPr>
          </w:p>
        </w:tc>
        <w:tc>
          <w:tcPr>
            <w:tcW w:w="615" w:type="dxa"/>
            <w:vAlign w:val="center"/>
          </w:tcPr>
          <w:p w14:paraId="573C310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1110" w:type="dxa"/>
            <w:vAlign w:val="center"/>
          </w:tcPr>
          <w:p w14:paraId="1A9FB6F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地质勘查和矿产资源保护监督科</w:t>
            </w:r>
          </w:p>
        </w:tc>
        <w:tc>
          <w:tcPr>
            <w:tcW w:w="4605" w:type="dxa"/>
            <w:vAlign w:val="center"/>
          </w:tcPr>
          <w:p w14:paraId="7F6CDCEB">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部门规章】《矿山地质环境保护规定》（2009年国土资源部令第44号发布，2019年自然资源部令第5号修正）第十九条：矿山关闭前，采矿权人应当完成矿山地质环境保护与土地复垦义务。采矿权人在申请办理闭坑手续时，应当经自然资源主管部门验收合格，并提交验收合格文件。</w:t>
            </w:r>
          </w:p>
          <w:p w14:paraId="1430047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规范性文件】《广西壮族自治区矿山地质环境治理恢复基金管理办法（试行）》（桂自然资规〔2019〕4号）第十四条：矿山企业按《方案》完成年度或阶段矿山地质环境治理恢复工程，经自检合格后60天内应向当地自然资源行政主管部门申请工程验收，工程验收合格后核算基金使用情况。自然资源部、自治区、设区市发证矿山的矿山地质环境治理恢复工程由市级自然资源行政主管部门负责组织验收，县级发证矿山的矿山地质环境治理恢复工程由县级自然资源行政主管部门负责组织验收。</w:t>
            </w:r>
          </w:p>
        </w:tc>
        <w:tc>
          <w:tcPr>
            <w:tcW w:w="3585" w:type="dxa"/>
            <w:vAlign w:val="center"/>
          </w:tcPr>
          <w:p w14:paraId="679AE89D">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1.受理阶段责任：公示依法应当提交的材料；一次性告知补正材料，依法受理或不予受理（不予受理的，应当告知理由）；</w:t>
            </w:r>
          </w:p>
          <w:p w14:paraId="25ECF6A5">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2.审查阶段责任：对申请材料进行审核，组织专家验收组，按规定程序进行验收；</w:t>
            </w:r>
          </w:p>
          <w:p w14:paraId="24050D55">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3.决定阶段责任：形成验收意见，将验收过程材料及验收意见报领导审核同意；作出验收合格或不合格的决定（不合格的，应当告知理由，提出整改意见，限期整改）；</w:t>
            </w:r>
          </w:p>
          <w:p w14:paraId="6784753D">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 xml:space="preserve">4.送达阶段责任：制发并送达合格证；   </w:t>
            </w:r>
          </w:p>
          <w:p w14:paraId="45B6B728">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5．事后监管责任：对验收材料进行归档和信息公开；</w:t>
            </w:r>
          </w:p>
          <w:p w14:paraId="426E69C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9515" w:type="dxa"/>
            <w:vAlign w:val="center"/>
          </w:tcPr>
          <w:p w14:paraId="1EC59C72">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1.【规范性文件】《矿山地质环境治理恢复要求与验收规范》（DB45/T701-2010） 8．3.2验收步骤b）竣工验收：自检合格后，向有采矿权管辖权的国土资源行政主管部门或上级国土资源局提出竣工验收申请（格式见附录A表中表A.2），由国土资源行政主管部门组织有关部门及专家进行实地竣工验收，竣工验收应审查的项目和提出的军工验收书见附录A中图A.</w:t>
            </w:r>
          </w:p>
          <w:p w14:paraId="10536140">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2.同1</w:t>
            </w:r>
          </w:p>
          <w:p w14:paraId="78F64C88">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3.【规范性文件】《矿山地质环境治理恢复要求与验收规范》（DB45/T701-2010）</w:t>
            </w:r>
          </w:p>
          <w:p w14:paraId="532E8F14">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4．同1。</w:t>
            </w:r>
          </w:p>
          <w:p w14:paraId="09EDE4B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规范性文件】《广西壮族自治区矿山地质环境治理恢复基金管理办法（试行）》（桂自然资规〔2019〕4号）第十九条：矿山地质环境治理恢复基金涉及的相关部门主要职责。（一）自然资源行政主管部门：按有关规定和要求组织审查、批复矿山企业编制的《方案》，监督矿山企业执行《方案》、校核企业的《方案》变更，对矿山企业矿山地质环境治理恢复基金账户设立、基金计提、基金使用及矿山企业履行矿山地质环境治理恢复义务情况开展监督、检查,及时组织专家对矿山企业申请验收的治理工程进行验收，及时开展矿业权人“异常名录”和“严重违法名单”管理工作，开展矿山企业矿山地质环境治理恢复情况动态监管。</w:t>
            </w:r>
          </w:p>
        </w:tc>
        <w:tc>
          <w:tcPr>
            <w:tcW w:w="330" w:type="dxa"/>
            <w:vAlign w:val="center"/>
          </w:tcPr>
          <w:p w14:paraId="6ACC9CA5">
            <w:pPr>
              <w:snapToGrid w:val="0"/>
              <w:spacing w:line="240" w:lineRule="atLeast"/>
              <w:jc w:val="center"/>
              <w:rPr>
                <w:rFonts w:ascii="仿宋_GB2312" w:hAnsi="仿宋_GB2312" w:eastAsia="仿宋_GB2312" w:cs="仿宋_GB2312"/>
                <w:sz w:val="20"/>
                <w:szCs w:val="20"/>
              </w:rPr>
            </w:pPr>
          </w:p>
        </w:tc>
      </w:tr>
    </w:tbl>
    <w:p w14:paraId="45593E2F"/>
    <w:p w14:paraId="7B93771E"/>
    <w:p w14:paraId="74900888"/>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5310"/>
        <w:gridCol w:w="4170"/>
        <w:gridCol w:w="8225"/>
        <w:gridCol w:w="330"/>
      </w:tblGrid>
      <w:tr w14:paraId="3C217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CE4BF7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A04AB1D">
            <w:pPr>
              <w:spacing w:line="240" w:lineRule="atLeast"/>
              <w:rPr>
                <w:rFonts w:asciiTheme="majorEastAsia" w:hAnsiTheme="majorEastAsia" w:eastAsiaTheme="majorEastAsia" w:cstheme="majorEastAsia"/>
                <w:spacing w:val="-20"/>
                <w:sz w:val="20"/>
                <w:szCs w:val="20"/>
              </w:rPr>
            </w:pPr>
          </w:p>
          <w:p w14:paraId="41E6B1A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479" w:type="dxa"/>
            <w:gridSpan w:val="5"/>
            <w:vAlign w:val="center"/>
          </w:tcPr>
          <w:p w14:paraId="304B588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2395" w:type="dxa"/>
            <w:gridSpan w:val="2"/>
            <w:vAlign w:val="center"/>
          </w:tcPr>
          <w:p w14:paraId="0147CF7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321183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970E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0859E49">
            <w:pPr>
              <w:spacing w:line="240" w:lineRule="atLeast"/>
              <w:jc w:val="left"/>
              <w:rPr>
                <w:rFonts w:ascii="仿宋_GB2312" w:hAnsi="仿宋_GB2312" w:eastAsia="仿宋_GB2312" w:cs="仿宋_GB2312"/>
                <w:sz w:val="20"/>
                <w:szCs w:val="20"/>
              </w:rPr>
            </w:pPr>
          </w:p>
        </w:tc>
        <w:tc>
          <w:tcPr>
            <w:tcW w:w="555" w:type="dxa"/>
            <w:vMerge w:val="continue"/>
          </w:tcPr>
          <w:p w14:paraId="7B44F3A3">
            <w:pPr>
              <w:spacing w:line="240" w:lineRule="atLeast"/>
              <w:jc w:val="left"/>
              <w:rPr>
                <w:rFonts w:ascii="仿宋_GB2312" w:hAnsi="仿宋_GB2312" w:eastAsia="仿宋_GB2312" w:cs="仿宋_GB2312"/>
                <w:sz w:val="20"/>
                <w:szCs w:val="20"/>
              </w:rPr>
            </w:pPr>
          </w:p>
        </w:tc>
        <w:tc>
          <w:tcPr>
            <w:tcW w:w="784" w:type="dxa"/>
            <w:vAlign w:val="center"/>
          </w:tcPr>
          <w:p w14:paraId="40F9E98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0985D2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5180F0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BCD7E8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D498E2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5310" w:type="dxa"/>
            <w:vAlign w:val="center"/>
          </w:tcPr>
          <w:p w14:paraId="22971E3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170" w:type="dxa"/>
            <w:vAlign w:val="center"/>
          </w:tcPr>
          <w:p w14:paraId="2C82786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13EE1F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8225" w:type="dxa"/>
            <w:vAlign w:val="center"/>
          </w:tcPr>
          <w:p w14:paraId="4E94588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B49DDEA">
            <w:pPr>
              <w:spacing w:line="240" w:lineRule="atLeast"/>
              <w:jc w:val="left"/>
              <w:rPr>
                <w:rFonts w:ascii="仿宋_GB2312" w:hAnsi="仿宋_GB2312" w:eastAsia="仿宋_GB2312" w:cs="仿宋_GB2312"/>
                <w:sz w:val="20"/>
                <w:szCs w:val="20"/>
              </w:rPr>
            </w:pPr>
          </w:p>
        </w:tc>
      </w:tr>
      <w:tr w14:paraId="23196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7" w:hRule="atLeast"/>
        </w:trPr>
        <w:tc>
          <w:tcPr>
            <w:tcW w:w="611" w:type="dxa"/>
            <w:vAlign w:val="center"/>
          </w:tcPr>
          <w:p w14:paraId="7E35DA3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215</w:t>
            </w:r>
          </w:p>
        </w:tc>
        <w:tc>
          <w:tcPr>
            <w:tcW w:w="555" w:type="dxa"/>
            <w:vAlign w:val="center"/>
          </w:tcPr>
          <w:p w14:paraId="7BE22CA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006E807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土地复垦验收确认</w:t>
            </w:r>
          </w:p>
        </w:tc>
        <w:tc>
          <w:tcPr>
            <w:tcW w:w="660" w:type="dxa"/>
            <w:vAlign w:val="center"/>
          </w:tcPr>
          <w:p w14:paraId="5BCC6171">
            <w:pPr>
              <w:snapToGrid w:val="0"/>
              <w:spacing w:line="240" w:lineRule="atLeast"/>
              <w:jc w:val="center"/>
              <w:rPr>
                <w:rFonts w:ascii="仿宋_GB2312" w:hAnsi="仿宋_GB2312" w:eastAsia="仿宋_GB2312" w:cs="仿宋_GB2312"/>
                <w:sz w:val="20"/>
                <w:szCs w:val="20"/>
              </w:rPr>
            </w:pPr>
          </w:p>
        </w:tc>
        <w:tc>
          <w:tcPr>
            <w:tcW w:w="615" w:type="dxa"/>
            <w:vAlign w:val="center"/>
          </w:tcPr>
          <w:p w14:paraId="425D43D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5D3EEE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国土空间生态修复科</w:t>
            </w:r>
          </w:p>
        </w:tc>
        <w:tc>
          <w:tcPr>
            <w:tcW w:w="5310" w:type="dxa"/>
            <w:vAlign w:val="center"/>
          </w:tcPr>
          <w:p w14:paraId="533318B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土地复垦条例》（2011年国务院令第592号）第二十九条：负责组织验收的国土资源主管部门应当会同有关部门在接到土地复垦验收申请之日起60个工作日内完成验收，经验收合格的，向土地复垦义务人出具验收合格确认书。</w:t>
            </w:r>
          </w:p>
          <w:p w14:paraId="15B7FA7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部门规章】《土地复垦条例实施办法》（2012年国土资源部第56号令公布，2019年自然资源部令第5号修正）第三十七条：土地复垦工程经阶段验收或者总体验收合格的，负责验收的自然资源主管部门应当依照条例第二十九条规定出具阶段或者总体验收合格确认书。验收合格确认书应当载明下列事项：</w:t>
            </w:r>
          </w:p>
          <w:p w14:paraId="670AA70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（一）土地复垦工程概况；</w:t>
            </w:r>
          </w:p>
          <w:p w14:paraId="4717753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（二）损毁土地情况；</w:t>
            </w:r>
          </w:p>
          <w:p w14:paraId="26AD54A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（三）土地复垦完成情况；</w:t>
            </w:r>
          </w:p>
          <w:p w14:paraId="1C028F7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（四）土地复垦中存在的问题和整改建议、处理意见；</w:t>
            </w:r>
          </w:p>
          <w:p w14:paraId="3094578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（五）验收结论。</w:t>
            </w:r>
          </w:p>
        </w:tc>
        <w:tc>
          <w:tcPr>
            <w:tcW w:w="4170" w:type="dxa"/>
            <w:vAlign w:val="center"/>
          </w:tcPr>
          <w:p w14:paraId="1B62208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1.受理责任：审查申请人或单位的验收申请材料是否齐全，是否在规定的时间内提交验收材料。材料不全的，通知验收申请个人或单位一次性补齐。</w:t>
            </w:r>
          </w:p>
          <w:p w14:paraId="37083B5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2.审查责任：根据验收确认规定，对材料齐全，且符合要求的申请材料，予以审查通过。</w:t>
            </w:r>
          </w:p>
          <w:p w14:paraId="5BDCE6C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3.决定责任：对审查通过的申请材料予以确认。</w:t>
            </w:r>
          </w:p>
          <w:p w14:paraId="700EB6E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4．送达责任：印发土地复垦验收合格确认书，并通知申请人或单位。</w:t>
            </w:r>
          </w:p>
          <w:p w14:paraId="46813C5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8225" w:type="dxa"/>
            <w:vAlign w:val="center"/>
          </w:tcPr>
          <w:p w14:paraId="06F6357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1.【行政法规】《土地复垦条例》（2011年国务院令第592号） 第二十九条：负责组织验收的国土资源主管部门应当会同有关部门在接到土地复垦验收申请之日起60个工作日内完成验收，经验收合格的，向土地复垦义务人出具验收合格确认书。</w:t>
            </w:r>
          </w:p>
          <w:p w14:paraId="20C5597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部门规章】《土地复垦条例实施办法》（2012年国土资源部第56号令公布，2019年自然资源部令第5号修正）第三十七条土地复垦工程经阶段验收或者总体验收合格的，负责验收的自然资源主管部门应当依照条例第二十九条规定出具阶段或者总体验收合格确认书。验收合格确认书应当载明下列事项：（一）土地复垦工程概况；（二）损毁土地情况；（三）土地复垦完成情况；（四）土地复垦中存在的问题和整改建议、处理意见；（五）验收结论。</w:t>
            </w:r>
          </w:p>
          <w:p w14:paraId="1D13CDC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3.同2。</w:t>
            </w:r>
          </w:p>
          <w:p w14:paraId="549A336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4.同2。</w:t>
            </w:r>
          </w:p>
        </w:tc>
        <w:tc>
          <w:tcPr>
            <w:tcW w:w="330" w:type="dxa"/>
            <w:vAlign w:val="center"/>
          </w:tcPr>
          <w:p w14:paraId="29456C4E">
            <w:pPr>
              <w:snapToGrid w:val="0"/>
              <w:spacing w:line="240" w:lineRule="atLeast"/>
              <w:jc w:val="center"/>
              <w:rPr>
                <w:rFonts w:ascii="仿宋_GB2312" w:hAnsi="仿宋_GB2312" w:eastAsia="仿宋_GB2312" w:cs="仿宋_GB2312"/>
                <w:sz w:val="20"/>
                <w:szCs w:val="20"/>
              </w:rPr>
            </w:pPr>
          </w:p>
        </w:tc>
      </w:tr>
    </w:tbl>
    <w:p w14:paraId="2A6F168F"/>
    <w:p w14:paraId="5C6CC193"/>
    <w:p w14:paraId="19F1BFF9"/>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5295"/>
        <w:gridCol w:w="4185"/>
        <w:gridCol w:w="8225"/>
        <w:gridCol w:w="330"/>
      </w:tblGrid>
      <w:tr w14:paraId="15CE7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468DCD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7803838">
            <w:pPr>
              <w:spacing w:line="240" w:lineRule="atLeast"/>
              <w:rPr>
                <w:rFonts w:asciiTheme="majorEastAsia" w:hAnsiTheme="majorEastAsia" w:eastAsiaTheme="majorEastAsia" w:cstheme="majorEastAsia"/>
                <w:spacing w:val="-20"/>
                <w:sz w:val="20"/>
                <w:szCs w:val="20"/>
              </w:rPr>
            </w:pPr>
          </w:p>
          <w:p w14:paraId="0050234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464" w:type="dxa"/>
            <w:gridSpan w:val="5"/>
            <w:vAlign w:val="center"/>
          </w:tcPr>
          <w:p w14:paraId="5D7649D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2410" w:type="dxa"/>
            <w:gridSpan w:val="2"/>
            <w:vAlign w:val="center"/>
          </w:tcPr>
          <w:p w14:paraId="1FEF9BB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EAB787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9A14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70536DB">
            <w:pPr>
              <w:spacing w:line="240" w:lineRule="atLeast"/>
              <w:jc w:val="left"/>
              <w:rPr>
                <w:rFonts w:ascii="仿宋_GB2312" w:hAnsi="仿宋_GB2312" w:eastAsia="仿宋_GB2312" w:cs="仿宋_GB2312"/>
                <w:sz w:val="20"/>
                <w:szCs w:val="20"/>
              </w:rPr>
            </w:pPr>
          </w:p>
        </w:tc>
        <w:tc>
          <w:tcPr>
            <w:tcW w:w="555" w:type="dxa"/>
            <w:vMerge w:val="continue"/>
          </w:tcPr>
          <w:p w14:paraId="15BE9D96">
            <w:pPr>
              <w:spacing w:line="240" w:lineRule="atLeast"/>
              <w:jc w:val="left"/>
              <w:rPr>
                <w:rFonts w:ascii="仿宋_GB2312" w:hAnsi="仿宋_GB2312" w:eastAsia="仿宋_GB2312" w:cs="仿宋_GB2312"/>
                <w:sz w:val="20"/>
                <w:szCs w:val="20"/>
              </w:rPr>
            </w:pPr>
          </w:p>
        </w:tc>
        <w:tc>
          <w:tcPr>
            <w:tcW w:w="784" w:type="dxa"/>
            <w:vAlign w:val="center"/>
          </w:tcPr>
          <w:p w14:paraId="3EED081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3DA168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3798D6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CF7F7B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48293E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5295" w:type="dxa"/>
            <w:vAlign w:val="center"/>
          </w:tcPr>
          <w:p w14:paraId="39279E1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185" w:type="dxa"/>
            <w:vAlign w:val="center"/>
          </w:tcPr>
          <w:p w14:paraId="42A9AF6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E12AA1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8225" w:type="dxa"/>
            <w:vAlign w:val="center"/>
          </w:tcPr>
          <w:p w14:paraId="4B33CB8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EB117E5">
            <w:pPr>
              <w:spacing w:line="240" w:lineRule="atLeast"/>
              <w:jc w:val="left"/>
              <w:rPr>
                <w:rFonts w:ascii="仿宋_GB2312" w:hAnsi="仿宋_GB2312" w:eastAsia="仿宋_GB2312" w:cs="仿宋_GB2312"/>
                <w:sz w:val="20"/>
                <w:szCs w:val="20"/>
              </w:rPr>
            </w:pPr>
          </w:p>
        </w:tc>
      </w:tr>
      <w:tr w14:paraId="44DF6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2" w:hRule="atLeast"/>
        </w:trPr>
        <w:tc>
          <w:tcPr>
            <w:tcW w:w="611" w:type="dxa"/>
            <w:vAlign w:val="center"/>
          </w:tcPr>
          <w:p w14:paraId="76914E6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216</w:t>
            </w:r>
          </w:p>
        </w:tc>
        <w:tc>
          <w:tcPr>
            <w:tcW w:w="555" w:type="dxa"/>
            <w:vAlign w:val="center"/>
          </w:tcPr>
          <w:p w14:paraId="4245C52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0723505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土地复垦方案审查</w:t>
            </w:r>
          </w:p>
        </w:tc>
        <w:tc>
          <w:tcPr>
            <w:tcW w:w="660" w:type="dxa"/>
            <w:vAlign w:val="center"/>
          </w:tcPr>
          <w:p w14:paraId="0E7FACB3">
            <w:pPr>
              <w:snapToGrid w:val="0"/>
              <w:spacing w:line="240" w:lineRule="atLeast"/>
              <w:jc w:val="center"/>
              <w:rPr>
                <w:rFonts w:ascii="仿宋_GB2312" w:hAnsi="仿宋_GB2312" w:eastAsia="仿宋_GB2312" w:cs="仿宋_GB2312"/>
                <w:sz w:val="20"/>
                <w:szCs w:val="20"/>
              </w:rPr>
            </w:pPr>
          </w:p>
        </w:tc>
        <w:tc>
          <w:tcPr>
            <w:tcW w:w="615" w:type="dxa"/>
            <w:vAlign w:val="center"/>
          </w:tcPr>
          <w:p w14:paraId="29860D6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F031A5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国土空间生态修复科</w:t>
            </w:r>
          </w:p>
        </w:tc>
        <w:tc>
          <w:tcPr>
            <w:tcW w:w="5295" w:type="dxa"/>
            <w:vAlign w:val="center"/>
          </w:tcPr>
          <w:p w14:paraId="38FED7E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 【行政法规】《土地复垦条例》（2011年国务院令第592号）第十一条：土地复垦义务人应当按照土地复垦标准和国务院国土资源主管部门的规定编制土地复垦方案。第十三条：土地复垦义务人应当在办理建设用地申请或者采矿权申请手续时，随有关报批材料报送土地复垦方案。</w:t>
            </w:r>
          </w:p>
          <w:p w14:paraId="189863B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2.【部门规章】《土地复垦条例实施办法》（2012年国土资源部第56号令公布，2019年自然资源部令第5号修正）第六条： 属于条例第十条规定的生产建设项目，土地复垦义务人应当在办理建设用地申请或者采矿权申请手续时，依据自然资源部《土地复垦方案编制规程》的要求，组织编制土地复垦方案，随有关报批材料报送有关自然资源主管部门审查。</w:t>
            </w:r>
          </w:p>
          <w:p w14:paraId="5412EAD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具体承担相应建设用地审查和采矿权审批的自然资源主管部门负责对土地复垦义务人报送的土地复垦方案进行审查。具体承担相应建设用地审查和采矿权审批的自然资源主管部门负责对土地复垦义务人报送的土地复垦方案进行审查。</w:t>
            </w:r>
          </w:p>
        </w:tc>
        <w:tc>
          <w:tcPr>
            <w:tcW w:w="4185" w:type="dxa"/>
            <w:vAlign w:val="center"/>
          </w:tcPr>
          <w:p w14:paraId="54A9600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1.受理责任：受理审核申请，并告知申请人办理审核的相关事项。</w:t>
            </w:r>
          </w:p>
          <w:p w14:paraId="2EA596D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2.审查责任：审查申请资料，材料不齐全的一次性告知，不符合法定条件的退回.</w:t>
            </w:r>
          </w:p>
          <w:p w14:paraId="49DB597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3.决定责任：拿出是否审查通过的意见，并报领导审核并签署意见形成审查决定。</w:t>
            </w:r>
          </w:p>
          <w:p w14:paraId="3918494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4．送达责任：作出审查通过决定的，送达审查意见；作出不同意决定的，说明原因并要求整改。</w:t>
            </w:r>
          </w:p>
          <w:p w14:paraId="3A68D04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8225" w:type="dxa"/>
            <w:vAlign w:val="center"/>
          </w:tcPr>
          <w:p w14:paraId="2877D2D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 【行政法规】《土地复垦条例》（2011年国务院令第592号）第十一条：土地复垦义务人应当按照土地复垦标准和国务院国土资源主管部门的规定编制土地复垦方案。第十三条：土地复垦义务人应当在办理建设用地申请或者采矿权申请手续时，随有关报批材料报送土地复垦方案。</w:t>
            </w:r>
          </w:p>
          <w:p w14:paraId="62F073C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 【部门规章】《土地复垦条例实施办法》（2012年国土资源部第56号令公布，2019年自然资源部令第5号修正）第六条：具体承担相应建设用地审查和采矿权审批的自然资源主管部门负责对土地复垦义务人报送的土地复垦方案进行审查。</w:t>
            </w:r>
          </w:p>
          <w:p w14:paraId="7CF6C61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广西壮族自治区自然资源厅关于进一步规范生产建设项目土地复垦方案编报和审查要求的通知》（桂自然资规〔2019〕7号，2019年11月20日印发）第三（三）6条：出具审查意见。方案经专家评审或复核通过的，由审查机关在3个工作日内出具审查意见。对涉及占用永久基本农田、耕作层土壤剥离利用的，应在审查意见中一并提出相关意见和要求。</w:t>
            </w:r>
          </w:p>
          <w:p w14:paraId="45DB8BA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4．同3。</w:t>
            </w:r>
          </w:p>
        </w:tc>
        <w:tc>
          <w:tcPr>
            <w:tcW w:w="330" w:type="dxa"/>
            <w:vAlign w:val="center"/>
          </w:tcPr>
          <w:p w14:paraId="4C5B74C5">
            <w:pPr>
              <w:snapToGrid w:val="0"/>
              <w:spacing w:line="240" w:lineRule="atLeast"/>
              <w:jc w:val="center"/>
              <w:rPr>
                <w:rFonts w:ascii="仿宋_GB2312" w:hAnsi="仿宋_GB2312" w:eastAsia="仿宋_GB2312" w:cs="仿宋_GB2312"/>
                <w:sz w:val="20"/>
                <w:szCs w:val="20"/>
              </w:rPr>
            </w:pPr>
          </w:p>
        </w:tc>
      </w:tr>
    </w:tbl>
    <w:p w14:paraId="0BB92BA4"/>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16BC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B52C450">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F4BFF43">
            <w:pPr>
              <w:spacing w:line="240" w:lineRule="atLeast"/>
              <w:rPr>
                <w:rFonts w:asciiTheme="majorEastAsia" w:hAnsiTheme="majorEastAsia" w:eastAsiaTheme="majorEastAsia" w:cstheme="majorEastAsia"/>
                <w:spacing w:val="-20"/>
                <w:sz w:val="20"/>
                <w:szCs w:val="20"/>
              </w:rPr>
            </w:pPr>
          </w:p>
          <w:p w14:paraId="79927B4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AFAE4A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820F7D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271248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5BF9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7817F05">
            <w:pPr>
              <w:spacing w:line="240" w:lineRule="atLeast"/>
              <w:jc w:val="left"/>
              <w:rPr>
                <w:rFonts w:ascii="仿宋_GB2312" w:hAnsi="仿宋_GB2312" w:eastAsia="仿宋_GB2312" w:cs="仿宋_GB2312"/>
                <w:sz w:val="20"/>
                <w:szCs w:val="20"/>
              </w:rPr>
            </w:pPr>
          </w:p>
        </w:tc>
        <w:tc>
          <w:tcPr>
            <w:tcW w:w="555" w:type="dxa"/>
            <w:vMerge w:val="continue"/>
          </w:tcPr>
          <w:p w14:paraId="33960C6E">
            <w:pPr>
              <w:spacing w:line="240" w:lineRule="atLeast"/>
              <w:jc w:val="left"/>
              <w:rPr>
                <w:rFonts w:ascii="仿宋_GB2312" w:hAnsi="仿宋_GB2312" w:eastAsia="仿宋_GB2312" w:cs="仿宋_GB2312"/>
                <w:sz w:val="20"/>
                <w:szCs w:val="20"/>
              </w:rPr>
            </w:pPr>
          </w:p>
        </w:tc>
        <w:tc>
          <w:tcPr>
            <w:tcW w:w="784" w:type="dxa"/>
            <w:vAlign w:val="center"/>
          </w:tcPr>
          <w:p w14:paraId="7C9EA68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EB6412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336AE1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FA9900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46D656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E1D006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BA836B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33CDF1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CEC693A">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995BBA8">
            <w:pPr>
              <w:spacing w:line="240" w:lineRule="atLeast"/>
              <w:jc w:val="left"/>
              <w:rPr>
                <w:rFonts w:ascii="仿宋_GB2312" w:hAnsi="仿宋_GB2312" w:eastAsia="仿宋_GB2312" w:cs="仿宋_GB2312"/>
                <w:sz w:val="20"/>
                <w:szCs w:val="20"/>
              </w:rPr>
            </w:pPr>
          </w:p>
        </w:tc>
      </w:tr>
      <w:tr w14:paraId="0517F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555813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217</w:t>
            </w:r>
          </w:p>
        </w:tc>
        <w:tc>
          <w:tcPr>
            <w:tcW w:w="555" w:type="dxa"/>
            <w:vAlign w:val="center"/>
          </w:tcPr>
          <w:p w14:paraId="0FD7DD3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3482796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农村集体经济组织收回土地使用权的审核</w:t>
            </w:r>
          </w:p>
        </w:tc>
        <w:tc>
          <w:tcPr>
            <w:tcW w:w="660" w:type="dxa"/>
            <w:vAlign w:val="center"/>
          </w:tcPr>
          <w:p w14:paraId="200CE30A">
            <w:pPr>
              <w:snapToGrid w:val="0"/>
              <w:spacing w:line="240" w:lineRule="atLeast"/>
              <w:jc w:val="center"/>
              <w:rPr>
                <w:rFonts w:ascii="仿宋_GB2312" w:hAnsi="仿宋_GB2312" w:eastAsia="仿宋_GB2312" w:cs="仿宋_GB2312"/>
                <w:sz w:val="20"/>
                <w:szCs w:val="20"/>
              </w:rPr>
            </w:pPr>
          </w:p>
        </w:tc>
        <w:tc>
          <w:tcPr>
            <w:tcW w:w="615" w:type="dxa"/>
            <w:vAlign w:val="center"/>
          </w:tcPr>
          <w:p w14:paraId="72F499D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1C94421">
            <w:pPr>
              <w:snapToGrid w:val="0"/>
              <w:spacing w:line="240" w:lineRule="atLeast"/>
              <w:jc w:val="center"/>
              <w:rPr>
                <w:rFonts w:ascii="仿宋_GB2312" w:hAnsi="仿宋_GB2312" w:eastAsia="仿宋_GB2312" w:cs="仿宋_GB2312"/>
                <w:color w:val="FF0000"/>
                <w:sz w:val="20"/>
                <w:szCs w:val="20"/>
              </w:rPr>
            </w:pPr>
            <w:r>
              <w:rPr>
                <w:rFonts w:hint="eastAsia" w:ascii="仿宋_GB2312" w:hAnsi="仿宋_GB2312" w:eastAsia="仿宋_GB2312" w:cs="仿宋_GB2312"/>
                <w:color w:val="FF0000"/>
                <w:sz w:val="20"/>
                <w:szCs w:val="20"/>
              </w:rPr>
              <w:t>自然资源开发利用科</w:t>
            </w:r>
          </w:p>
        </w:tc>
        <w:tc>
          <w:tcPr>
            <w:tcW w:w="4605" w:type="dxa"/>
            <w:vAlign w:val="center"/>
          </w:tcPr>
          <w:p w14:paraId="7EB23B7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【法律】《中华人民共和国土地管理法》第六十六条：有下列情形之一的，农村集体经济组织报经原批准用地的人民政府批准，可以收回土地使用权：</w:t>
            </w:r>
          </w:p>
          <w:p w14:paraId="0927A67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（一）为乡（镇）村公共设施和公益事业建设，需要使用土地的；</w:t>
            </w:r>
          </w:p>
          <w:p w14:paraId="0B57911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（二）不按照批准的用途使用土地的；</w:t>
            </w:r>
          </w:p>
          <w:p w14:paraId="7D7D407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（三）因撤销、迁移等原因而停止使用土地的。</w:t>
            </w:r>
          </w:p>
          <w:p w14:paraId="7512C43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依照前款第（一）项规定收回农民集体所有的土地的，对土地使用权人应当给予适当补偿。</w:t>
            </w:r>
          </w:p>
          <w:p w14:paraId="396F31D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收回集体经营性建设用地使用权，依照双方签订的书面合同办理，法律、行政法规另有规定的除外。</w:t>
            </w:r>
          </w:p>
        </w:tc>
        <w:tc>
          <w:tcPr>
            <w:tcW w:w="3585" w:type="dxa"/>
            <w:vAlign w:val="center"/>
          </w:tcPr>
          <w:p w14:paraId="3C86DA3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1.受理阶段责任：公示依法应当提交的材料；一次性告知补正材料；依法受理或不予受理（不予受理应当告知理由）</w:t>
            </w:r>
          </w:p>
          <w:p w14:paraId="76EB4DC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2.审查阶段责任：对材料进行审核；提出初审意见。</w:t>
            </w:r>
          </w:p>
          <w:p w14:paraId="11C7B47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3.决定阶段责任：作出核准决定（不予核准的应当告知理由）；按时办结；法定告知。</w:t>
            </w:r>
          </w:p>
          <w:p w14:paraId="5D9785E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4．送达阶段责任：告知审核结果并公开信息。</w:t>
            </w:r>
          </w:p>
          <w:p w14:paraId="44F1A0D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5．事后监管阶段责任：接受监督，及时处理反馈信息。</w:t>
            </w:r>
          </w:p>
          <w:p w14:paraId="04D4EB1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9515" w:type="dxa"/>
            <w:vAlign w:val="center"/>
          </w:tcPr>
          <w:p w14:paraId="1C52A37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0AC923E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779E5A0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2EC2A1F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3.【法律】《中华人民共和国行政许可法》第四十六条：法律、法规、规章规定实施行政许可应当听证的事项，或者行政机关认为需要听证的其他涉及公共利益的重大行政许可事项，行政机关应当向社会公告，并举行听证。</w:t>
            </w:r>
          </w:p>
          <w:p w14:paraId="05B8BFF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4266B1A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0418FFD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4—1.【法律】《中华人民共和国行政许可法》第四十条：行政机关作出的准予行政许可决定，应当予以公开，公众有权查阅。</w:t>
            </w:r>
          </w:p>
          <w:p w14:paraId="7B917CE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4—2【法律】《中华人民共和国行政许可法》第四十四条：行政机关作出准予行政许可的决定，应当自作出决定之日起十日内向申请人颁发、送达行政许可证件、或者加贴标签、加盖检验、检测、检疫印章。</w:t>
            </w:r>
          </w:p>
          <w:p w14:paraId="06AA4DD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3E6BE8C9">
            <w:pPr>
              <w:snapToGrid w:val="0"/>
              <w:spacing w:line="240" w:lineRule="atLeast"/>
              <w:jc w:val="center"/>
              <w:rPr>
                <w:rFonts w:ascii="仿宋_GB2312" w:hAnsi="仿宋_GB2312" w:eastAsia="仿宋_GB2312" w:cs="仿宋_GB2312"/>
                <w:sz w:val="20"/>
                <w:szCs w:val="20"/>
              </w:rPr>
            </w:pPr>
          </w:p>
        </w:tc>
      </w:tr>
    </w:tbl>
    <w:p w14:paraId="477D1D7B"/>
    <w:p w14:paraId="4C4D7AE5"/>
    <w:p w14:paraId="70762C6B"/>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3777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6B6E67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8B0AF40">
            <w:pPr>
              <w:spacing w:line="240" w:lineRule="atLeast"/>
              <w:rPr>
                <w:rFonts w:asciiTheme="majorEastAsia" w:hAnsiTheme="majorEastAsia" w:eastAsiaTheme="majorEastAsia" w:cstheme="majorEastAsia"/>
                <w:spacing w:val="-20"/>
                <w:sz w:val="20"/>
                <w:szCs w:val="20"/>
              </w:rPr>
            </w:pPr>
          </w:p>
          <w:p w14:paraId="5B02E77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631113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80FA92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1CB54A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8B7C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5A5502D">
            <w:pPr>
              <w:spacing w:line="240" w:lineRule="atLeast"/>
              <w:jc w:val="left"/>
              <w:rPr>
                <w:rFonts w:ascii="仿宋_GB2312" w:hAnsi="仿宋_GB2312" w:eastAsia="仿宋_GB2312" w:cs="仿宋_GB2312"/>
                <w:sz w:val="20"/>
                <w:szCs w:val="20"/>
              </w:rPr>
            </w:pPr>
          </w:p>
        </w:tc>
        <w:tc>
          <w:tcPr>
            <w:tcW w:w="555" w:type="dxa"/>
            <w:vMerge w:val="continue"/>
          </w:tcPr>
          <w:p w14:paraId="329EB9CF">
            <w:pPr>
              <w:spacing w:line="240" w:lineRule="atLeast"/>
              <w:jc w:val="left"/>
              <w:rPr>
                <w:rFonts w:ascii="仿宋_GB2312" w:hAnsi="仿宋_GB2312" w:eastAsia="仿宋_GB2312" w:cs="仿宋_GB2312"/>
                <w:sz w:val="20"/>
                <w:szCs w:val="20"/>
              </w:rPr>
            </w:pPr>
          </w:p>
        </w:tc>
        <w:tc>
          <w:tcPr>
            <w:tcW w:w="784" w:type="dxa"/>
            <w:vAlign w:val="center"/>
          </w:tcPr>
          <w:p w14:paraId="4215DD0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11FC38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10BF9C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8B4485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15060B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3DF2DA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2B367E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15303B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1CF9F7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B242B3D">
            <w:pPr>
              <w:spacing w:line="240" w:lineRule="atLeast"/>
              <w:jc w:val="left"/>
              <w:rPr>
                <w:rFonts w:ascii="仿宋_GB2312" w:hAnsi="仿宋_GB2312" w:eastAsia="仿宋_GB2312" w:cs="仿宋_GB2312"/>
                <w:sz w:val="20"/>
                <w:szCs w:val="20"/>
              </w:rPr>
            </w:pPr>
          </w:p>
        </w:tc>
      </w:tr>
      <w:tr w14:paraId="50560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F502D6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218</w:t>
            </w:r>
          </w:p>
        </w:tc>
        <w:tc>
          <w:tcPr>
            <w:tcW w:w="555" w:type="dxa"/>
            <w:vAlign w:val="center"/>
          </w:tcPr>
          <w:p w14:paraId="1580BD9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0B8D014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建立相对独立的平面坐标系统审批（属于由自然资源部审批外其他情形的）初审</w:t>
            </w:r>
          </w:p>
        </w:tc>
        <w:tc>
          <w:tcPr>
            <w:tcW w:w="660" w:type="dxa"/>
            <w:vAlign w:val="center"/>
          </w:tcPr>
          <w:p w14:paraId="3950F028">
            <w:pPr>
              <w:snapToGrid w:val="0"/>
              <w:spacing w:line="240" w:lineRule="atLeast"/>
              <w:jc w:val="center"/>
              <w:rPr>
                <w:rFonts w:ascii="仿宋_GB2312" w:hAnsi="仿宋_GB2312" w:eastAsia="仿宋_GB2312" w:cs="仿宋_GB2312"/>
                <w:sz w:val="20"/>
                <w:szCs w:val="20"/>
              </w:rPr>
            </w:pPr>
          </w:p>
        </w:tc>
        <w:tc>
          <w:tcPr>
            <w:tcW w:w="615" w:type="dxa"/>
            <w:vAlign w:val="center"/>
          </w:tcPr>
          <w:p w14:paraId="28CE8AB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1576BCC">
            <w:pPr>
              <w:snapToGrid w:val="0"/>
              <w:spacing w:line="240" w:lineRule="atLeast"/>
              <w:jc w:val="center"/>
              <w:rPr>
                <w:rFonts w:ascii="仿宋_GB2312" w:hAnsi="仿宋_GB2312" w:eastAsia="仿宋_GB2312" w:cs="仿宋_GB2312"/>
                <w:color w:val="FF0000"/>
                <w:sz w:val="20"/>
                <w:szCs w:val="20"/>
              </w:rPr>
            </w:pPr>
            <w:r>
              <w:rPr>
                <w:rFonts w:hint="eastAsia" w:ascii="仿宋_GB2312" w:hAnsi="仿宋_GB2312" w:eastAsia="仿宋_GB2312" w:cs="仿宋_GB2312"/>
                <w:sz w:val="20"/>
                <w:szCs w:val="20"/>
              </w:rPr>
              <w:t>测绘地理信息管理科</w:t>
            </w:r>
          </w:p>
        </w:tc>
        <w:tc>
          <w:tcPr>
            <w:tcW w:w="4605" w:type="dxa"/>
            <w:vAlign w:val="center"/>
          </w:tcPr>
          <w:p w14:paraId="250F235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十一条：因建设、城市规划和科学研究的需要，国家重大工程项目和国务院确定的大城市确需建立相对独立的平面坐标系统的，由国务院测绘地理信息主管部门批准；其他确需建立相对独立的平面坐标系统的，由省、自治区、直辖市人民政府测绘地理信息主管部门批准。建立相对独立的平面坐标系统，应当与国家坐标系统相联系。</w:t>
            </w:r>
          </w:p>
          <w:p w14:paraId="73602D0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2.【地方性法规】《广西壮族自治区测绘管理条例》（1995年自治区第八届人民代表大会常务委员会第14次会议通过，2019年第二次修订）第三十八条第二款 ：因建设、城市规划和科学研究的需要，中等城市和自治区重点工程项目确需建立相对独立的平面坐标系统的，由自治区人民政府测绘地理信息主管部门批准；其他城镇和建设工程项目确需建立相对独立的平面坐标系统的，应当经设区的市人民政府测绘地理信息主管部门审核后，报自治区人民政府测绘地理信息主管部门批准。</w:t>
            </w:r>
          </w:p>
          <w:p w14:paraId="2877A5F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3.【规范性文件】《建立相对独立的平面坐标系统管理办法》（国测法字〔2006〕5号）第六条第一款 ：城市确需建立相对独立的平面坐标系统的，由申请单位向该城市的测绘行政主管部门提交申请材料，经测绘行政主管部门审核并报该市人民政府同意后，逐级报省级测绘行政主管部门；直辖市确需建立相对独立的平面坐标系统的，由申请单位向该市的测绘行政主管部门提交申请材料，经测绘行政主管部门审核并报该市人民政府同意后，报国家测绘局；其他需要建立相对独立的平面坐标系统的，由建设单位向拟建相对独立的平面坐标系统所涉及的省级测绘行政主管部门提交申请材料。</w:t>
            </w:r>
          </w:p>
        </w:tc>
        <w:tc>
          <w:tcPr>
            <w:tcW w:w="3585" w:type="dxa"/>
            <w:vAlign w:val="center"/>
          </w:tcPr>
          <w:p w14:paraId="64D28D1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1.受理责任：公示“建立相对独立的平面坐标系统初审”行政许可需要提交的全部材料的目录，自收到申请材料5个工作日内作出不予受理、补正材料或者予以受理的决定。</w:t>
            </w:r>
          </w:p>
          <w:p w14:paraId="3465BB6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2.审查责任：审查申请材料，提出初步审查意见。</w:t>
            </w:r>
          </w:p>
          <w:p w14:paraId="0AFB786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3.转报责任：将申请材料和初步审查意见报自治区测绘地理信息局审批。</w:t>
            </w:r>
          </w:p>
          <w:p w14:paraId="047C8D9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4．监管责任：制定监管计划，依法采取相关处置措施。</w:t>
            </w:r>
          </w:p>
          <w:p w14:paraId="06EDD11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12062DB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规范性文件】《建立相对独立的平面坐标系统管理办法》（国测法字〔2006〕5号）第七条：申请人应当提交下列申请材料一式四份：（一）《建立相对独立的平面坐标系统申请书》（见附件）；（二）属工程项目的申请人的有效身份证明（复印件）；（三）立项批准文件（复印件）；（四）能够反映建设单位测绘成果及资料档案管理设施和制度的证明文件（复印件）；（五）建立城市相对独立的平面坐标系统的，应当提供该市人民政府同意建立的文件（原件）。第九条： 申请人提交的申请材料齐全、符合规定形式要求的，国家测绘局、省级测绘行政主管部门（以下统称测绘行政主管部门）应当受理其申请，并向申请人出具书面受理通知。申请材料不齐全或者不符合法定形式的，测绘行政主管部门应当当场或者在五日内一次性告知申请人需要补正的全部内容。对不予受理的，必须向申请人书面说明理由，并退回申请材料。</w:t>
            </w:r>
          </w:p>
          <w:p w14:paraId="763D711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规范性文件】《建立相对独立的平面坐标系统管理办法》（国测法字〔2006〕5号）第十条：测绘行政主管部门受理申请后，应当依法对申请材料进行审查。测绘行政主管部门作出行政许可决定需要听证、检测、鉴定和专家评审的，依法组织实施。</w:t>
            </w:r>
          </w:p>
          <w:p w14:paraId="714B08C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地方性法规】《广西壮族自治区测绘管理条例》（1995年自治区第八届人民代表大会常务委员会第14次会议通过，2019年7月25日广西壮族自治区第十三届人民代表大会常务委员会第十次会议第二次修订）第三十八条第二款：因建设、城市规划和科学研究的需要，中等城市和自治区重点工程项目确需建立相对独立的平面坐标系统的，由自治区人民政府测绘地理信息主管部门批准；其他城镇和建设工程项目确需建立相对独立的平面坐标系统的，应当经设区的市人民政府测绘地理信息主管部门审核后，报自治区人民政府测绘地理信息主管部门批准。</w:t>
            </w:r>
          </w:p>
          <w:p w14:paraId="6EFFCA3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规范性文件】《建立相对独立的平面坐标系统管理办法》（国测法字〔2006〕5号）第六条第一款：城市确需建立相对独立的平面坐标系统的，由申请单位向该城市的测绘行政主管部门提交申请材料，经测绘行政主管部门审核并报该市人民政府同意后，逐级报省级测绘行政主管部门；直辖市确需建立相对独立的平面坐标系统的，由申请单位向该市的测绘行政主管部门提交申请材料，经测绘行政主管部门审核并报该市人民政府同意后，报国家测绘局；其他需要建立相对独立的平面坐标系统的，由建设单位向拟建相对独立的平面坐标系统所涉及的省级测绘行政主管部门提交申请材料。</w:t>
            </w:r>
          </w:p>
          <w:p w14:paraId="21000D7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测绘法》第四条第二款：县级以上地方人民政府测绘地理信息主管部门负责本行政区域测绘工作的统一监督管理。县级以上地方人民政府其他有关部门按照本级人民政府规定的职责分工，负责本部门有关的测绘工作。</w:t>
            </w:r>
          </w:p>
          <w:p w14:paraId="02CA616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2.【地方性法规】《广西壮族自治区测绘管理条例》（1995年自治区第八届人民代表大会常务委员会第14次会议通过，2019年7月25日广西壮族自治区第十三届人民代表大会常务委员会第十次会议第二次修订）第三条：自治区人民政府测绘地理信息主管部门负责本自治区测绘工作的统一监督管理。设区的市、县级人民政府测绘地理信息主管部门，负责本行政区域内测绘工作的统一监督管理。县级以上人民政府其他有关部门按照本级人民政府规定的职责分工，负责本部门有关的测绘工作。</w:t>
            </w:r>
          </w:p>
        </w:tc>
        <w:tc>
          <w:tcPr>
            <w:tcW w:w="330" w:type="dxa"/>
            <w:vAlign w:val="center"/>
          </w:tcPr>
          <w:p w14:paraId="1A9A42DE">
            <w:pPr>
              <w:snapToGrid w:val="0"/>
              <w:spacing w:line="240" w:lineRule="atLeast"/>
              <w:jc w:val="center"/>
              <w:rPr>
                <w:rFonts w:ascii="仿宋_GB2312" w:hAnsi="仿宋_GB2312" w:eastAsia="仿宋_GB2312" w:cs="仿宋_GB2312"/>
                <w:sz w:val="20"/>
                <w:szCs w:val="20"/>
              </w:rPr>
            </w:pPr>
          </w:p>
        </w:tc>
      </w:tr>
    </w:tbl>
    <w:p w14:paraId="764B4F1D"/>
    <w:p w14:paraId="2EC6E90F"/>
    <w:p w14:paraId="4B4EE8A9"/>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3BDA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0A4DFF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CA6EEEF">
            <w:pPr>
              <w:spacing w:line="240" w:lineRule="atLeast"/>
              <w:rPr>
                <w:rFonts w:asciiTheme="majorEastAsia" w:hAnsiTheme="majorEastAsia" w:eastAsiaTheme="majorEastAsia" w:cstheme="majorEastAsia"/>
                <w:spacing w:val="-20"/>
                <w:sz w:val="20"/>
                <w:szCs w:val="20"/>
              </w:rPr>
            </w:pPr>
          </w:p>
          <w:p w14:paraId="67F5CFA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C53D17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1DAC1B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AEEBD0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526F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E959881">
            <w:pPr>
              <w:spacing w:line="240" w:lineRule="atLeast"/>
              <w:jc w:val="left"/>
              <w:rPr>
                <w:rFonts w:ascii="仿宋_GB2312" w:hAnsi="仿宋_GB2312" w:eastAsia="仿宋_GB2312" w:cs="仿宋_GB2312"/>
                <w:sz w:val="20"/>
                <w:szCs w:val="20"/>
              </w:rPr>
            </w:pPr>
          </w:p>
        </w:tc>
        <w:tc>
          <w:tcPr>
            <w:tcW w:w="555" w:type="dxa"/>
            <w:vMerge w:val="continue"/>
          </w:tcPr>
          <w:p w14:paraId="14B09315">
            <w:pPr>
              <w:spacing w:line="240" w:lineRule="atLeast"/>
              <w:jc w:val="left"/>
              <w:rPr>
                <w:rFonts w:ascii="仿宋_GB2312" w:hAnsi="仿宋_GB2312" w:eastAsia="仿宋_GB2312" w:cs="仿宋_GB2312"/>
                <w:sz w:val="20"/>
                <w:szCs w:val="20"/>
              </w:rPr>
            </w:pPr>
          </w:p>
        </w:tc>
        <w:tc>
          <w:tcPr>
            <w:tcW w:w="784" w:type="dxa"/>
            <w:vAlign w:val="center"/>
          </w:tcPr>
          <w:p w14:paraId="2155F6B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527DC0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FF3DBD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3A166B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1DDAA8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C541DE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6AAC27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168BF4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DEC9986">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CAE971F">
            <w:pPr>
              <w:spacing w:line="240" w:lineRule="atLeast"/>
              <w:jc w:val="left"/>
              <w:rPr>
                <w:rFonts w:ascii="仿宋_GB2312" w:hAnsi="仿宋_GB2312" w:eastAsia="仿宋_GB2312" w:cs="仿宋_GB2312"/>
                <w:sz w:val="20"/>
                <w:szCs w:val="20"/>
              </w:rPr>
            </w:pPr>
          </w:p>
        </w:tc>
      </w:tr>
      <w:tr w14:paraId="71EAD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FC3672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219</w:t>
            </w:r>
          </w:p>
        </w:tc>
        <w:tc>
          <w:tcPr>
            <w:tcW w:w="555" w:type="dxa"/>
            <w:vAlign w:val="center"/>
          </w:tcPr>
          <w:p w14:paraId="5199B23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6EF40A6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测绘作业证办理</w:t>
            </w:r>
          </w:p>
        </w:tc>
        <w:tc>
          <w:tcPr>
            <w:tcW w:w="660" w:type="dxa"/>
            <w:vAlign w:val="center"/>
          </w:tcPr>
          <w:p w14:paraId="6E04E2AC">
            <w:pPr>
              <w:snapToGrid w:val="0"/>
              <w:spacing w:line="240" w:lineRule="atLeast"/>
              <w:jc w:val="center"/>
              <w:rPr>
                <w:rFonts w:ascii="仿宋_GB2312" w:hAnsi="仿宋_GB2312" w:eastAsia="仿宋_GB2312" w:cs="仿宋_GB2312"/>
                <w:sz w:val="20"/>
                <w:szCs w:val="20"/>
              </w:rPr>
            </w:pPr>
          </w:p>
        </w:tc>
        <w:tc>
          <w:tcPr>
            <w:tcW w:w="615" w:type="dxa"/>
            <w:vAlign w:val="center"/>
          </w:tcPr>
          <w:p w14:paraId="11278F7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0C9504E">
            <w:pPr>
              <w:snapToGrid w:val="0"/>
              <w:spacing w:line="240" w:lineRule="atLeast"/>
              <w:jc w:val="center"/>
              <w:rPr>
                <w:rFonts w:ascii="仿宋_GB2312" w:hAnsi="仿宋_GB2312" w:eastAsia="仿宋_GB2312" w:cs="仿宋_GB2312"/>
                <w:color w:val="FF0000"/>
                <w:sz w:val="20"/>
                <w:szCs w:val="20"/>
              </w:rPr>
            </w:pPr>
            <w:r>
              <w:rPr>
                <w:rFonts w:hint="eastAsia" w:ascii="仿宋_GB2312" w:hAnsi="仿宋_GB2312" w:eastAsia="仿宋_GB2312" w:cs="仿宋_GB2312"/>
                <w:sz w:val="20"/>
                <w:szCs w:val="20"/>
              </w:rPr>
              <w:t>测绘地理信息管理科</w:t>
            </w:r>
          </w:p>
        </w:tc>
        <w:tc>
          <w:tcPr>
            <w:tcW w:w="4605" w:type="dxa"/>
            <w:vAlign w:val="center"/>
          </w:tcPr>
          <w:p w14:paraId="744D37A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1.【法律】《中华人民共和国测绘法》第三十一条：测绘人员进行测绘活动时，应当持有测绘作业证件。</w:t>
            </w:r>
          </w:p>
          <w:p w14:paraId="02E67AD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2.【规范性文件】《测绘作业证管理规定》（国测法字[2004]5号）第二条：测绘外业作业人员和需要持测绘作业证的其他人员（以下简称测绘人员）应当领取测绘作业证。进行外业测绘活动应当持有测绘作业证。</w:t>
            </w:r>
          </w:p>
          <w:p w14:paraId="04A0898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条：国家测绘局负责测绘作业证的统一管理工作。省、自治区、直辖市人民政府测绘行政主管部门负责本行政区域内测绘作业证的审核、发放和监督管理工作。省、自治区、直辖市人民政府测绘行政主管部门，可将测绘作业证的受理、审核、发放、注册核准等工作委托市（地）级人民政府测绘行政主管部门承担。</w:t>
            </w:r>
          </w:p>
        </w:tc>
        <w:tc>
          <w:tcPr>
            <w:tcW w:w="3585" w:type="dxa"/>
            <w:vAlign w:val="center"/>
          </w:tcPr>
          <w:p w14:paraId="7D50891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1.受理责任：告知依法应当提交的材料；一次性告知补正材料；依法受理或不予受理（不予受理应当告知理由）</w:t>
            </w:r>
          </w:p>
          <w:p w14:paraId="11F600D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2.审查责任：对材料进行审核；提出初审意见。</w:t>
            </w:r>
          </w:p>
          <w:p w14:paraId="1DA36E8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3.决定责任：作出核准决定（不予核准的应当告知理由）；按时办结；法定告知。</w:t>
            </w:r>
          </w:p>
          <w:p w14:paraId="2DFE7B9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4．送达责任：准予发证的，制发证件，送达并信息公开。</w:t>
            </w:r>
          </w:p>
          <w:p w14:paraId="3480F8F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5．事后监管责任：接受监督，及时处理反馈信息。</w:t>
            </w:r>
          </w:p>
          <w:p w14:paraId="3D2CEC0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9515" w:type="dxa"/>
            <w:vAlign w:val="center"/>
          </w:tcPr>
          <w:p w14:paraId="49EB254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 【规范性文件】《测绘作业证管理规定》（国测法字[2004]5号）第三条：国家测绘局负责测绘作业证的统一管理工作。省、自治区、直辖市人民政府测绘行政主管部门负责本行政区域内测绘作业证的审核、发放和监督管理工作。</w:t>
            </w:r>
          </w:p>
          <w:p w14:paraId="51FAEE5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省、自治区、直辖市人民政府测绘行政主管部门，可将测绘作业证的受理、审核、发放、注册核准等工作委托市（地）级人民政府测绘行政主管部门承担。第五条：测绘单位申领测绘作业证，应当向单位所在地的省、自治区、直辖市人民政府测绘行政主管部门或者其委托的市（地）级人民政府测绘行政主管部门提出办证申请，并需填写《测绘作业证申请表》和《测绘作业证申请汇总表》。省、自治区、直辖市人民政府测绘行政主管部门或者其委托的市（地）级人民政府测绘行政主管部门应当自收到办证申请，并确认各种报表及各项手续完备之日起三十日内，完成《测绘作业证》的审核发证工作。</w:t>
            </w:r>
          </w:p>
          <w:p w14:paraId="00D00F0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三条：测绘作业证由省、自治区、直辖市人民政府测绘行政主管部门或者其委托的市（地）级人民政府测绘行政主管部门负责注册核准。每次注册核准有效期为三年。注册核准有效期满前三十日内，各测绘单位应当将测绘作业证送交单位所在地的省、自治区、直辖市人民政府测绘行政主管部门或者其委托的市（地）级人民政府测绘行政主管部门注册核准。过期不注册核准的测绘作业证无效。</w:t>
            </w:r>
          </w:p>
          <w:p w14:paraId="505303C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第十四条：省、自治区、直辖市人民政府测绘行政主管部门应当明确相应的机构负责测绘作业证的审核、发放和管理工作，应当及时汇总本地区领取测绘作业证情况并于当年12月底以前报国家测绘局。</w:t>
            </w:r>
          </w:p>
          <w:p w14:paraId="36CF37C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2.同1。</w:t>
            </w:r>
          </w:p>
          <w:p w14:paraId="79EB88D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3.同1。</w:t>
            </w:r>
          </w:p>
          <w:p w14:paraId="6F1B998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4．同1。</w:t>
            </w:r>
          </w:p>
          <w:p w14:paraId="013EB60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5．【规范性文件】《测绘作业证管理规定》（国测法字[2004]5号）第六条：领证单位必须如实反映领证人员情况，严格执行领证规定，不得 弄虚作假、虚报冒领，并对领证人员的真实情况负责。第七条：测绘人员在下列情况下应当主动出示测绘作业证：（一）进入机关、企业、住宅小区、耕地或者其它地块进行测绘时；（二）使用测量标志时；（三）接受测绘行政主管部门的执法监督检查时；（四）办理与所进行的测绘活动相关的其它事项时。进入保密单位、军事禁区和法律法规规定的需经特殊审批的区域进行测绘活动时，还应当按照规定持有关部门的批准文件。</w:t>
            </w:r>
          </w:p>
        </w:tc>
        <w:tc>
          <w:tcPr>
            <w:tcW w:w="330" w:type="dxa"/>
            <w:vAlign w:val="center"/>
          </w:tcPr>
          <w:p w14:paraId="277BA24D">
            <w:pPr>
              <w:snapToGrid w:val="0"/>
              <w:spacing w:line="240" w:lineRule="atLeast"/>
              <w:jc w:val="center"/>
              <w:rPr>
                <w:rFonts w:ascii="仿宋_GB2312" w:hAnsi="仿宋_GB2312" w:eastAsia="仿宋_GB2312" w:cs="仿宋_GB2312"/>
                <w:sz w:val="20"/>
                <w:szCs w:val="20"/>
              </w:rPr>
            </w:pPr>
          </w:p>
        </w:tc>
      </w:tr>
    </w:tbl>
    <w:p w14:paraId="76E8722C"/>
    <w:p w14:paraId="277760E0"/>
    <w:p w14:paraId="4A2176A1"/>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6480"/>
        <w:gridCol w:w="3750"/>
        <w:gridCol w:w="7475"/>
        <w:gridCol w:w="330"/>
      </w:tblGrid>
      <w:tr w14:paraId="0AF10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54DCBF8">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1E99506">
            <w:pPr>
              <w:spacing w:line="240" w:lineRule="atLeast"/>
              <w:rPr>
                <w:rFonts w:asciiTheme="majorEastAsia" w:hAnsiTheme="majorEastAsia" w:eastAsiaTheme="majorEastAsia" w:cstheme="majorEastAsia"/>
                <w:spacing w:val="-20"/>
                <w:sz w:val="20"/>
                <w:szCs w:val="20"/>
              </w:rPr>
            </w:pPr>
          </w:p>
          <w:p w14:paraId="4FA6A26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9649" w:type="dxa"/>
            <w:gridSpan w:val="5"/>
            <w:vAlign w:val="center"/>
          </w:tcPr>
          <w:p w14:paraId="1D720D8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225" w:type="dxa"/>
            <w:gridSpan w:val="2"/>
            <w:vAlign w:val="center"/>
          </w:tcPr>
          <w:p w14:paraId="3020DA1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54C475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D100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52B5E9A">
            <w:pPr>
              <w:spacing w:line="240" w:lineRule="atLeast"/>
              <w:jc w:val="left"/>
              <w:rPr>
                <w:rFonts w:ascii="仿宋_GB2312" w:hAnsi="仿宋_GB2312" w:eastAsia="仿宋_GB2312" w:cs="仿宋_GB2312"/>
                <w:sz w:val="20"/>
                <w:szCs w:val="20"/>
              </w:rPr>
            </w:pPr>
          </w:p>
        </w:tc>
        <w:tc>
          <w:tcPr>
            <w:tcW w:w="555" w:type="dxa"/>
            <w:vMerge w:val="continue"/>
          </w:tcPr>
          <w:p w14:paraId="2E0BF914">
            <w:pPr>
              <w:spacing w:line="240" w:lineRule="atLeast"/>
              <w:jc w:val="left"/>
              <w:rPr>
                <w:rFonts w:ascii="仿宋_GB2312" w:hAnsi="仿宋_GB2312" w:eastAsia="仿宋_GB2312" w:cs="仿宋_GB2312"/>
                <w:sz w:val="20"/>
                <w:szCs w:val="20"/>
              </w:rPr>
            </w:pPr>
          </w:p>
        </w:tc>
        <w:tc>
          <w:tcPr>
            <w:tcW w:w="784" w:type="dxa"/>
            <w:vAlign w:val="center"/>
          </w:tcPr>
          <w:p w14:paraId="0E211F3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74A2E8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CBF451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1B0FFF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51088E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480" w:type="dxa"/>
            <w:vAlign w:val="center"/>
          </w:tcPr>
          <w:p w14:paraId="7780E6C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750" w:type="dxa"/>
            <w:vAlign w:val="center"/>
          </w:tcPr>
          <w:p w14:paraId="63CD4B6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6D33B6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475" w:type="dxa"/>
            <w:vAlign w:val="center"/>
          </w:tcPr>
          <w:p w14:paraId="6370284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0FAF825">
            <w:pPr>
              <w:spacing w:line="240" w:lineRule="atLeast"/>
              <w:jc w:val="left"/>
              <w:rPr>
                <w:rFonts w:ascii="仿宋_GB2312" w:hAnsi="仿宋_GB2312" w:eastAsia="仿宋_GB2312" w:cs="仿宋_GB2312"/>
                <w:sz w:val="20"/>
                <w:szCs w:val="20"/>
              </w:rPr>
            </w:pPr>
          </w:p>
        </w:tc>
      </w:tr>
      <w:tr w14:paraId="02F36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7" w:hRule="atLeast"/>
        </w:trPr>
        <w:tc>
          <w:tcPr>
            <w:tcW w:w="611" w:type="dxa"/>
            <w:vAlign w:val="center"/>
          </w:tcPr>
          <w:p w14:paraId="080C86B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220</w:t>
            </w:r>
          </w:p>
        </w:tc>
        <w:tc>
          <w:tcPr>
            <w:tcW w:w="555" w:type="dxa"/>
            <w:vAlign w:val="center"/>
          </w:tcPr>
          <w:p w14:paraId="0629472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1D92ABF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矿山地质环境保护与土地复垦方案审查</w:t>
            </w:r>
          </w:p>
        </w:tc>
        <w:tc>
          <w:tcPr>
            <w:tcW w:w="660" w:type="dxa"/>
            <w:vAlign w:val="center"/>
          </w:tcPr>
          <w:p w14:paraId="430A3096">
            <w:pPr>
              <w:snapToGrid w:val="0"/>
              <w:spacing w:line="240" w:lineRule="atLeast"/>
              <w:jc w:val="center"/>
              <w:rPr>
                <w:rFonts w:ascii="仿宋_GB2312" w:hAnsi="仿宋_GB2312" w:eastAsia="仿宋_GB2312" w:cs="仿宋_GB2312"/>
                <w:sz w:val="20"/>
                <w:szCs w:val="20"/>
              </w:rPr>
            </w:pPr>
          </w:p>
        </w:tc>
        <w:tc>
          <w:tcPr>
            <w:tcW w:w="615" w:type="dxa"/>
            <w:vAlign w:val="center"/>
          </w:tcPr>
          <w:p w14:paraId="26833E0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E59DB3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地质勘查和矿产资源保护监督科</w:t>
            </w:r>
          </w:p>
        </w:tc>
        <w:tc>
          <w:tcPr>
            <w:tcW w:w="6480" w:type="dxa"/>
            <w:vAlign w:val="center"/>
          </w:tcPr>
          <w:p w14:paraId="133F92F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第十五条：设立矿山企业，必须符合国家规定的资质条件，并依照法律和国家有关规定，由审批机关对其矿区范围、矿山设计或者开采方案、生产技术条件、安全措施和环境保护措施等进行审查；审查合格的，方予批准。</w:t>
            </w:r>
          </w:p>
          <w:p w14:paraId="6D74D0B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第二十一条：关闭矿山，必须提出矿山闭坑报告及有关采掘工程、</w:t>
            </w:r>
            <w:r>
              <w:rPr>
                <w:rFonts w:hint="eastAsia" w:eastAsia="仿宋_GB2312"/>
                <w:snapToGrid w:val="0"/>
                <w:color w:val="000000"/>
                <w:sz w:val="20"/>
                <w:szCs w:val="20"/>
                <w:lang w:eastAsia="zh-CN"/>
              </w:rPr>
              <w:t>安全隐患</w:t>
            </w:r>
            <w:bookmarkStart w:id="0" w:name="_GoBack"/>
            <w:bookmarkEnd w:id="0"/>
            <w:r>
              <w:rPr>
                <w:rFonts w:hint="eastAsia" w:eastAsia="仿宋_GB2312"/>
                <w:snapToGrid w:val="0"/>
                <w:color w:val="000000"/>
                <w:sz w:val="20"/>
                <w:szCs w:val="20"/>
              </w:rPr>
              <w:t>、土地复垦利用、环境保护的资料，并按照国家规定报请审查批准。</w:t>
            </w:r>
          </w:p>
          <w:p w14:paraId="694085E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2.【行政法规】《土地复垦条例》（2011年国务院令第592号公布施行）第十一条：土地复垦义务人应当按照土地复垦标准和国务院国土资源主管部门的规定编制土地复垦方案。</w:t>
            </w:r>
          </w:p>
          <w:p w14:paraId="6CC8ACF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部门规章】《矿山地质环境保护规定》（2009年国土资源部令第44号发布，2019年自然资源部令第5号修正）第十二条第一款：采矿权申请人申请办理采矿许可证时，应当编制矿山地质环境保护与土地复垦方案，报有批准权的自然资源主管部门批准。</w:t>
            </w:r>
          </w:p>
          <w:p w14:paraId="0E0C7E2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4．【规范性文件】《国土资源部办公厅关于做好矿山地质环境保护与土地复垦方案编报有关工作的通知》（国土资规〔2016〕21号）第一条：</w:t>
            </w:r>
          </w:p>
          <w:p w14:paraId="0193A15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总体要求：实施矿山企业矿山地质环境保护与治理恢复方案和土地复垦方案合并编报制度。矿山企业不再单独编制矿山地质环境保护与治理恢复方案、土地复垦方案。</w:t>
            </w:r>
          </w:p>
        </w:tc>
        <w:tc>
          <w:tcPr>
            <w:tcW w:w="3750" w:type="dxa"/>
            <w:vAlign w:val="center"/>
          </w:tcPr>
          <w:p w14:paraId="15A6C7E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申请备案《矿山地质环境保护与土地复垦方案》事项是否属于本厅职权范围；是否在法律、法规规定的期限内提出；提出申请的条件、标准、审核申请材料是否齐全并符合法定形式；申请矿山企业是否具备申请条件，决定是否受理。</w:t>
            </w:r>
          </w:p>
          <w:p w14:paraId="0FAED82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2.审核责任：按照办理条件和标准，对符合条件的，提出同意的查意见；对不符合条件的，提出不同意意见及理由。</w:t>
            </w:r>
          </w:p>
          <w:p w14:paraId="3ECA4C8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3.决定责任：对准许备案《矿山地质环境保护与土地复垦方案》的矿山企业，出具同意备案的书面文书。</w:t>
            </w:r>
          </w:p>
          <w:p w14:paraId="70AAA6B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7475" w:type="dxa"/>
            <w:vAlign w:val="center"/>
          </w:tcPr>
          <w:p w14:paraId="11290C2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1..【部门规章】《矿山地质环境保护规定》（2009年国土资源部令第44号发布，2019年自然资源部令第5号修正）第十二条第一款 ： 采矿权申请人申请办理采矿许可证时，应当编制矿山地质环境保护与土地复垦方案，报有批准权的自然资源主管部门批准。</w:t>
            </w:r>
          </w:p>
          <w:p w14:paraId="7085A98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规范性文件】《广西壮族自治区国土资源厅关于印发广西矿山地质环境保护与土地复垦方案编制技术要求的通知》（桂国土资规〔2017〕4号）二、方案审查要求（四）方案审查实行专家现场核查与内业审查相结合的评审方式，在会议审查前由评审机构（评审单位）排除有关专业的审查专家会同矿山当地国土资源管理部门共同对矿山现场进行核查，核查报告内容及矿山现场地质环境条件，方案有关地质环境治理恢复内容可靠性和可行性。</w:t>
            </w:r>
          </w:p>
          <w:p w14:paraId="006D139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法律】《中华人民共和国矿产资源法》第十五条：设立矿山企业，必须符合国家规定的资质条件，并依照法律和国家有关规定，由审批机关对其矿区范围、矿山设计或者开采方案、生产技术条件、安全措施和环境保护措施等进行审查；审查合格的，方予批准。</w:t>
            </w:r>
          </w:p>
        </w:tc>
        <w:tc>
          <w:tcPr>
            <w:tcW w:w="330" w:type="dxa"/>
            <w:vAlign w:val="center"/>
          </w:tcPr>
          <w:p w14:paraId="25F0273A">
            <w:pPr>
              <w:snapToGrid w:val="0"/>
              <w:spacing w:line="240" w:lineRule="atLeast"/>
              <w:jc w:val="center"/>
              <w:rPr>
                <w:rFonts w:ascii="仿宋_GB2312" w:hAnsi="仿宋_GB2312" w:eastAsia="仿宋_GB2312" w:cs="仿宋_GB2312"/>
                <w:sz w:val="20"/>
                <w:szCs w:val="20"/>
              </w:rPr>
            </w:pPr>
          </w:p>
        </w:tc>
      </w:tr>
    </w:tbl>
    <w:p w14:paraId="010DEAC5"/>
    <w:p w14:paraId="0F976A88"/>
    <w:p w14:paraId="60BC4651"/>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6450"/>
        <w:gridCol w:w="3795"/>
        <w:gridCol w:w="7460"/>
        <w:gridCol w:w="330"/>
      </w:tblGrid>
      <w:tr w14:paraId="7E302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A9B6D6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0173093">
            <w:pPr>
              <w:spacing w:line="240" w:lineRule="atLeast"/>
              <w:rPr>
                <w:rFonts w:asciiTheme="majorEastAsia" w:hAnsiTheme="majorEastAsia" w:eastAsiaTheme="majorEastAsia" w:cstheme="majorEastAsia"/>
                <w:spacing w:val="-20"/>
                <w:sz w:val="20"/>
                <w:szCs w:val="20"/>
              </w:rPr>
            </w:pPr>
          </w:p>
          <w:p w14:paraId="1A95451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9619" w:type="dxa"/>
            <w:gridSpan w:val="5"/>
            <w:vAlign w:val="center"/>
          </w:tcPr>
          <w:p w14:paraId="503A80D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255" w:type="dxa"/>
            <w:gridSpan w:val="2"/>
            <w:vAlign w:val="center"/>
          </w:tcPr>
          <w:p w14:paraId="049DDD4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31480D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1AE9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8D859BE">
            <w:pPr>
              <w:spacing w:line="240" w:lineRule="atLeast"/>
              <w:jc w:val="left"/>
              <w:rPr>
                <w:rFonts w:ascii="仿宋_GB2312" w:hAnsi="仿宋_GB2312" w:eastAsia="仿宋_GB2312" w:cs="仿宋_GB2312"/>
                <w:sz w:val="20"/>
                <w:szCs w:val="20"/>
              </w:rPr>
            </w:pPr>
          </w:p>
        </w:tc>
        <w:tc>
          <w:tcPr>
            <w:tcW w:w="555" w:type="dxa"/>
            <w:vMerge w:val="continue"/>
          </w:tcPr>
          <w:p w14:paraId="2C9A3408">
            <w:pPr>
              <w:spacing w:line="240" w:lineRule="atLeast"/>
              <w:jc w:val="left"/>
              <w:rPr>
                <w:rFonts w:ascii="仿宋_GB2312" w:hAnsi="仿宋_GB2312" w:eastAsia="仿宋_GB2312" w:cs="仿宋_GB2312"/>
                <w:sz w:val="20"/>
                <w:szCs w:val="20"/>
              </w:rPr>
            </w:pPr>
          </w:p>
        </w:tc>
        <w:tc>
          <w:tcPr>
            <w:tcW w:w="784" w:type="dxa"/>
            <w:vAlign w:val="center"/>
          </w:tcPr>
          <w:p w14:paraId="5873316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F9E75B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E8B46D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17210C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0A28E8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450" w:type="dxa"/>
            <w:vAlign w:val="center"/>
          </w:tcPr>
          <w:p w14:paraId="7AC2E18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795" w:type="dxa"/>
            <w:vAlign w:val="center"/>
          </w:tcPr>
          <w:p w14:paraId="3ADB51D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2214D1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460" w:type="dxa"/>
            <w:vAlign w:val="center"/>
          </w:tcPr>
          <w:p w14:paraId="4E554CB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6AF1535">
            <w:pPr>
              <w:spacing w:line="240" w:lineRule="atLeast"/>
              <w:jc w:val="left"/>
              <w:rPr>
                <w:rFonts w:ascii="仿宋_GB2312" w:hAnsi="仿宋_GB2312" w:eastAsia="仿宋_GB2312" w:cs="仿宋_GB2312"/>
                <w:sz w:val="20"/>
                <w:szCs w:val="20"/>
              </w:rPr>
            </w:pPr>
          </w:p>
        </w:tc>
      </w:tr>
      <w:tr w14:paraId="7099A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2" w:hRule="atLeast"/>
        </w:trPr>
        <w:tc>
          <w:tcPr>
            <w:tcW w:w="611" w:type="dxa"/>
            <w:vAlign w:val="center"/>
          </w:tcPr>
          <w:p w14:paraId="194B082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221</w:t>
            </w:r>
          </w:p>
        </w:tc>
        <w:tc>
          <w:tcPr>
            <w:tcW w:w="555" w:type="dxa"/>
            <w:vAlign w:val="center"/>
          </w:tcPr>
          <w:p w14:paraId="6116842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2C6FE96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收回国有土地使用权</w:t>
            </w:r>
          </w:p>
        </w:tc>
        <w:tc>
          <w:tcPr>
            <w:tcW w:w="660" w:type="dxa"/>
            <w:vAlign w:val="center"/>
          </w:tcPr>
          <w:p w14:paraId="167EB867">
            <w:pPr>
              <w:snapToGrid w:val="0"/>
              <w:spacing w:line="240" w:lineRule="atLeast"/>
              <w:jc w:val="center"/>
              <w:rPr>
                <w:rFonts w:ascii="仿宋_GB2312" w:hAnsi="仿宋_GB2312" w:eastAsia="仿宋_GB2312" w:cs="仿宋_GB2312"/>
                <w:sz w:val="20"/>
                <w:szCs w:val="20"/>
              </w:rPr>
            </w:pPr>
          </w:p>
        </w:tc>
        <w:tc>
          <w:tcPr>
            <w:tcW w:w="615" w:type="dxa"/>
            <w:vAlign w:val="center"/>
          </w:tcPr>
          <w:p w14:paraId="1F47DF4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9643000">
            <w:pPr>
              <w:snapToGrid w:val="0"/>
              <w:spacing w:line="240" w:lineRule="atLeast"/>
              <w:jc w:val="center"/>
              <w:rPr>
                <w:rFonts w:ascii="仿宋_GB2312" w:hAnsi="仿宋_GB2312" w:eastAsia="仿宋_GB2312" w:cs="仿宋_GB2312"/>
                <w:color w:val="FF0000"/>
                <w:sz w:val="20"/>
                <w:szCs w:val="20"/>
              </w:rPr>
            </w:pPr>
            <w:r>
              <w:rPr>
                <w:rFonts w:hint="eastAsia" w:ascii="仿宋_GB2312" w:hAnsi="仿宋_GB2312" w:eastAsia="仿宋_GB2312" w:cs="仿宋_GB2312"/>
                <w:color w:val="FF0000"/>
                <w:sz w:val="20"/>
                <w:szCs w:val="20"/>
              </w:rPr>
              <w:t>自然资源开发利用科</w:t>
            </w:r>
          </w:p>
        </w:tc>
        <w:tc>
          <w:tcPr>
            <w:tcW w:w="6450" w:type="dxa"/>
            <w:vAlign w:val="center"/>
          </w:tcPr>
          <w:p w14:paraId="25BB73B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【法律】《中华人民共和国土地管理法》第五十八条：有下列情形之一的，由有关人民政府自然资源主管部门报经原批准用地的人民政府或者有批准权的人民政府批准，可以收回国有土地使用权：</w:t>
            </w:r>
          </w:p>
          <w:p w14:paraId="5225F88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（一）为实施城市规划进行旧城区改建以及其他公共利益需要，确需使用土地的；</w:t>
            </w:r>
          </w:p>
          <w:p w14:paraId="2609E54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（二）土地出让等有偿使用合同约定的使用期限届满，土地使用者未申请续期或者申请续期未获批准的；</w:t>
            </w:r>
          </w:p>
          <w:p w14:paraId="2DCE868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（三）因单位撤销、迁移等原因，停止使用原划拨的国有土地的；</w:t>
            </w:r>
          </w:p>
          <w:p w14:paraId="587DE3A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（四）公路、铁路、机场、矿场等经核准报废的。</w:t>
            </w:r>
          </w:p>
          <w:p w14:paraId="4BA77D7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依照前款第（一）项的规定收回国有土地使用权的，对土地使用权人应当给予适当补偿。</w:t>
            </w:r>
          </w:p>
        </w:tc>
        <w:tc>
          <w:tcPr>
            <w:tcW w:w="3795" w:type="dxa"/>
            <w:vAlign w:val="center"/>
          </w:tcPr>
          <w:p w14:paraId="4443509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1567D56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2.审查责任：按照政策规定对书面材料进行审查，提出是否同意的初步意见；</w:t>
            </w:r>
          </w:p>
          <w:p w14:paraId="2263D2D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3.决定责任：作出书面决定,法定告知。</w:t>
            </w:r>
          </w:p>
          <w:p w14:paraId="2DD7492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7460" w:type="dxa"/>
            <w:vAlign w:val="center"/>
          </w:tcPr>
          <w:p w14:paraId="54D69E3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0809DD3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26D7AF8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3.【法律】《中华人民共和国行政许可法》第三十七条：行政机关对行政许可申请进行审.查后，除了当场作出行政许可决定的，应在法定期限内按照规定程序作出行政许可决定。</w:t>
            </w:r>
          </w:p>
        </w:tc>
        <w:tc>
          <w:tcPr>
            <w:tcW w:w="330" w:type="dxa"/>
            <w:vAlign w:val="center"/>
          </w:tcPr>
          <w:p w14:paraId="4A42A75F">
            <w:pPr>
              <w:snapToGrid w:val="0"/>
              <w:spacing w:line="240" w:lineRule="atLeast"/>
              <w:jc w:val="center"/>
              <w:rPr>
                <w:rFonts w:ascii="仿宋_GB2312" w:hAnsi="仿宋_GB2312" w:eastAsia="仿宋_GB2312" w:cs="仿宋_GB2312"/>
                <w:sz w:val="20"/>
                <w:szCs w:val="20"/>
              </w:rPr>
            </w:pPr>
          </w:p>
        </w:tc>
      </w:tr>
    </w:tbl>
    <w:p w14:paraId="58B6C0AA"/>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8AD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A01DF6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069BBF2">
            <w:pPr>
              <w:spacing w:line="240" w:lineRule="atLeast"/>
              <w:rPr>
                <w:rFonts w:asciiTheme="majorEastAsia" w:hAnsiTheme="majorEastAsia" w:eastAsiaTheme="majorEastAsia" w:cstheme="majorEastAsia"/>
                <w:spacing w:val="-20"/>
                <w:sz w:val="20"/>
                <w:szCs w:val="20"/>
              </w:rPr>
            </w:pPr>
          </w:p>
          <w:p w14:paraId="3F9E7B6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3CFD25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25EF34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27B144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6AC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4E721ED">
            <w:pPr>
              <w:spacing w:line="240" w:lineRule="atLeast"/>
              <w:jc w:val="left"/>
              <w:rPr>
                <w:rFonts w:ascii="仿宋_GB2312" w:hAnsi="仿宋_GB2312" w:eastAsia="仿宋_GB2312" w:cs="仿宋_GB2312"/>
                <w:sz w:val="20"/>
                <w:szCs w:val="20"/>
              </w:rPr>
            </w:pPr>
          </w:p>
        </w:tc>
        <w:tc>
          <w:tcPr>
            <w:tcW w:w="555" w:type="dxa"/>
            <w:vMerge w:val="continue"/>
          </w:tcPr>
          <w:p w14:paraId="6DF04AE4">
            <w:pPr>
              <w:spacing w:line="240" w:lineRule="atLeast"/>
              <w:jc w:val="left"/>
              <w:rPr>
                <w:rFonts w:ascii="仿宋_GB2312" w:hAnsi="仿宋_GB2312" w:eastAsia="仿宋_GB2312" w:cs="仿宋_GB2312"/>
                <w:sz w:val="20"/>
                <w:szCs w:val="20"/>
              </w:rPr>
            </w:pPr>
          </w:p>
        </w:tc>
        <w:tc>
          <w:tcPr>
            <w:tcW w:w="784" w:type="dxa"/>
            <w:vAlign w:val="center"/>
          </w:tcPr>
          <w:p w14:paraId="1E42EFD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B0B375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1A32FB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EB1936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8B89E5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A2DDCA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00D324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5313E7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28CCA5D">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B581287">
            <w:pPr>
              <w:spacing w:line="240" w:lineRule="atLeast"/>
              <w:jc w:val="left"/>
              <w:rPr>
                <w:rFonts w:ascii="仿宋_GB2312" w:hAnsi="仿宋_GB2312" w:eastAsia="仿宋_GB2312" w:cs="仿宋_GB2312"/>
                <w:sz w:val="20"/>
                <w:szCs w:val="20"/>
              </w:rPr>
            </w:pPr>
          </w:p>
        </w:tc>
      </w:tr>
      <w:tr w14:paraId="63413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EF2CB7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222</w:t>
            </w:r>
          </w:p>
        </w:tc>
        <w:tc>
          <w:tcPr>
            <w:tcW w:w="555" w:type="dxa"/>
            <w:vAlign w:val="center"/>
          </w:tcPr>
          <w:p w14:paraId="0925EDF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7C41291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测绘项目备案</w:t>
            </w:r>
          </w:p>
        </w:tc>
        <w:tc>
          <w:tcPr>
            <w:tcW w:w="660" w:type="dxa"/>
            <w:vAlign w:val="center"/>
          </w:tcPr>
          <w:p w14:paraId="0FF45160">
            <w:pPr>
              <w:snapToGrid w:val="0"/>
              <w:spacing w:line="240" w:lineRule="atLeast"/>
              <w:jc w:val="center"/>
              <w:rPr>
                <w:rFonts w:ascii="仿宋_GB2312" w:hAnsi="仿宋_GB2312" w:eastAsia="仿宋_GB2312" w:cs="仿宋_GB2312"/>
                <w:sz w:val="20"/>
                <w:szCs w:val="20"/>
              </w:rPr>
            </w:pPr>
          </w:p>
        </w:tc>
        <w:tc>
          <w:tcPr>
            <w:tcW w:w="615" w:type="dxa"/>
            <w:vAlign w:val="center"/>
          </w:tcPr>
          <w:p w14:paraId="177A183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F52F385">
            <w:pPr>
              <w:snapToGrid w:val="0"/>
              <w:spacing w:line="240" w:lineRule="atLeast"/>
              <w:jc w:val="center"/>
              <w:rPr>
                <w:rFonts w:ascii="仿宋_GB2312" w:hAnsi="仿宋_GB2312" w:eastAsia="仿宋_GB2312" w:cs="仿宋_GB2312"/>
                <w:color w:val="FF0000"/>
                <w:sz w:val="20"/>
                <w:szCs w:val="20"/>
              </w:rPr>
            </w:pPr>
            <w:r>
              <w:rPr>
                <w:rFonts w:hint="eastAsia" w:ascii="仿宋_GB2312" w:hAnsi="仿宋_GB2312" w:eastAsia="仿宋_GB2312" w:cs="仿宋_GB2312"/>
                <w:color w:val="FF0000"/>
                <w:sz w:val="20"/>
                <w:szCs w:val="20"/>
              </w:rPr>
              <w:t>测绘地理信息管理科</w:t>
            </w:r>
          </w:p>
        </w:tc>
        <w:tc>
          <w:tcPr>
            <w:tcW w:w="4605" w:type="dxa"/>
            <w:vAlign w:val="center"/>
          </w:tcPr>
          <w:p w14:paraId="30E835F7">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测绘管理条例》（1995年自治区第八届人民代表大会常务委员会第14次会议通过，2019年第二次修订）第四十八条：使用财政资金或者所在地为国界线本自治区一侧两千米范围内的测绘项目，测绘单位应当在实施该项目前，向项目所在地县级以上人民政府测绘地理信息主管部门备案。</w:t>
            </w:r>
          </w:p>
          <w:p w14:paraId="5F5E88A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任何单位和个人在国界线本自治区一侧两千米范围内开展测绘活动的，应当在实施前向当地公安机关报告，并服从当地公安机关的管理。</w:t>
            </w:r>
          </w:p>
        </w:tc>
        <w:tc>
          <w:tcPr>
            <w:tcW w:w="3585" w:type="dxa"/>
            <w:vAlign w:val="center"/>
          </w:tcPr>
          <w:p w14:paraId="403C576B">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1.受理责任：公示测绘项目备案需要提交的全部材料的目录，作出不予备案、补正材料或者准予备案的决定。</w:t>
            </w:r>
          </w:p>
          <w:p w14:paraId="0429066B">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2.审核责任：依法对申请材料进行审查，提出审查意见。</w:t>
            </w:r>
          </w:p>
          <w:p w14:paraId="170AE051">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3.监管责任：制定监管计划，依法采取相关处置措施。</w:t>
            </w:r>
          </w:p>
          <w:p w14:paraId="5668E0A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9515" w:type="dxa"/>
            <w:vAlign w:val="center"/>
          </w:tcPr>
          <w:p w14:paraId="11C350A3">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1.【法律】《中华人民共和国测绘法》第二十七条：国家对从事测绘活动的单位实行测绘资质管理制度。</w:t>
            </w:r>
          </w:p>
          <w:p w14:paraId="7890BFCA">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从事测绘活动的单位应当具备下列条件，并依法取得相应等级的测绘资质证书，方可从事测绘活动：（一）有法人资格；（二）有与从事的测绘活动相适应的专业技术人员；（三）有与从事的测绘活动相适应的技术装备和设施；（四）有健全的技术和质量保证体系、安全保障措施、信息安全保密管理制度以及测绘成果和资料档案管理制度。</w:t>
            </w:r>
          </w:p>
          <w:p w14:paraId="5190F8D8">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测绘法》第二十九条：测绘单位不得超越资质等级许可的范围从事测绘活动，不得以其他测绘单位的名义从事测绘活动，不得允许其他单位以本单位的名义从事测绘活动。测绘项目实行招投标的，测绘项目的招标单位应当依法在招标公告或者投标邀请书中对测绘单位资质等级作出要求，不得让不具有相应测绘资质等级的单位中标，不得让测绘单位低于测绘成本中标。中标的测绘单位不得向他人转让测绘项目。</w:t>
            </w:r>
          </w:p>
          <w:p w14:paraId="37B14A36">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2—2.【法律】《中华人民共和国测绘法》第三十一条：测绘人员进行测绘活动时，应当持有测绘作业证件。任何单位和个人不得阻碍测绘人员依法进行测绘活动。</w:t>
            </w:r>
          </w:p>
          <w:p w14:paraId="170DDFF2">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测绘法》第三十五条：使用财政资金的测绘项目和涉及测绘的其他使用财政资金的项目，有关部门在批准立项前应当征求本级人民政府测绘地理信息主管部门的意见；有适宜测绘成果的，应当充分利用已有的测绘成果，避免重复测绘。</w:t>
            </w:r>
          </w:p>
          <w:p w14:paraId="112D0238">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地方性法规】《广西壮族自治区测绘管理条例》（1995年自治区第八届人民代表大会常务委员会第14次会议通过，2019年修订）第十七条：从事测绘活动的单位应当依法取得测绘资质证书并在相应资质等级许可的范围内从事测绘活动。</w:t>
            </w:r>
          </w:p>
          <w:p w14:paraId="3E5779D6">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3.【地方性法规】《广西壮族自治区测绘管理条例》（1995年自治区第八届人民代表大会常务委员会第14次会议通过，2019年7月25日广西壮族自治区第十三届人民代表大会常务委员会第十次会议第二次修订）第二十条：从事测绘活动的专业技术人员应当具备相应的执业资格条件。测绘人员进行测绘活动时，应当持有测绘作业证件。设区的市人民政府测绘地理信息主管部门负责测绘作业证件的受理、审核、发放工作。</w:t>
            </w:r>
          </w:p>
          <w:p w14:paraId="12F60C68">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4.【地方性法规】《广西壮族自治区测绘管理条例》（1995年自治区第八届人民代表大会常务委员会第14次会议通过，2019年7月25日广西壮族自治区第十三届人民代表大会常务委员会第十次会议第二次修订）第二十七条：使用财政资金的测绘项目和涉及测绘的其他使用财政资金的项目，有关部门在批准或者核准前应当书面征求本级人民政府测绘地理信息主管部门的意见，有适宜测绘成果的，应当充分利用已有的测绘成果，避免重复测绘。</w:t>
            </w:r>
          </w:p>
          <w:p w14:paraId="15ADD386">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5.【地方性法规】《广西壮族自治区测绘管理条例》（1995年自治区第八届人民代表大会常务委员会第14次会议通过，2019年7月25日广西壮族自治区第十三届人民代表大会常务委员会第十次会议第二次修订）第四十六条：测绘项目招标投标和政府采购活动应当接受县级以上人民政府测绘地理信息主管部门和有关部门的监督管理。县级以上人民政府测绘地理信息主管部门应当加强对投标单位测绘资质、市场信用和测绘评标专家资格的监督检查，及时为参与市场投标的测绘单位出具信用报告。测绘单位不得将承包的测绘项目转包。测绘单位拟将测绘项目部分非主体、非关键性工作分包的，应当在投标文件中载明；接受分包的单位应当具备相应的测绘资质条件，不得将测绘项目再次分包。测绘项目按照国家有关规定实行项目监理。</w:t>
            </w:r>
          </w:p>
          <w:p w14:paraId="229119DA">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6.【地方性法规】《广西壮族自治区测绘管理条例》（1995年自治区第八届人民代表大会常务委员会第14次会议通过，2019年7月25日广西壮族自治区第十三届人民代表大会常务委员会第十次会议第二次修订）第四十八条：使用财政资金或者所在地为国界线本自治区一侧两千米范围内的测绘项目，测绘单位应当在实施该项目前，向项目所在地县级以上人民政府测绘地理信息主管部门备案。任何单位和个人在国界线本自治区一侧两千米范围内开展测绘活动的，应当在实施前向当地公安机关报告，并服从当地公安机关的管理。</w:t>
            </w:r>
          </w:p>
          <w:p w14:paraId="44AA60FF">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3—7.【规范性文件}原国家测绘地理信息局2014年7月1日重新修订并引发的《测绘资质分级标准》（国测管发[2014]31号）各专业标准的“作业限额”。</w:t>
            </w:r>
          </w:p>
          <w:p w14:paraId="199C13E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3—8.【规范性文件】原国家测绘局、原国家工商行政管理局1995年6月6日印发的《测绘市场管理暂行办法》（国测体字[95]15号）第二十一条： 测绘项目的承包方必须以自己的设备、技术和劳力完成所承揽项目的主要部分。测绘项目的承包方，可以向其他具有测绘资格的单位分包，但分包量不得大于该项目总承包量的百分之四十。分包出的任务由总承包方向发包方负完全责任。</w:t>
            </w:r>
          </w:p>
        </w:tc>
        <w:tc>
          <w:tcPr>
            <w:tcW w:w="330" w:type="dxa"/>
            <w:vAlign w:val="center"/>
          </w:tcPr>
          <w:p w14:paraId="1A07584E">
            <w:pPr>
              <w:snapToGrid w:val="0"/>
              <w:spacing w:line="240" w:lineRule="atLeast"/>
              <w:jc w:val="center"/>
              <w:rPr>
                <w:rFonts w:ascii="仿宋_GB2312" w:hAnsi="仿宋_GB2312" w:eastAsia="仿宋_GB2312" w:cs="仿宋_GB2312"/>
                <w:sz w:val="20"/>
                <w:szCs w:val="20"/>
              </w:rPr>
            </w:pPr>
          </w:p>
        </w:tc>
      </w:tr>
    </w:tbl>
    <w:p w14:paraId="6F88F6BC"/>
    <w:p w14:paraId="6B3F729F"/>
    <w:p w14:paraId="5BCC7540"/>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D26A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2974BFF">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A3A6D17">
            <w:pPr>
              <w:spacing w:line="240" w:lineRule="atLeast"/>
              <w:rPr>
                <w:rFonts w:asciiTheme="majorEastAsia" w:hAnsiTheme="majorEastAsia" w:eastAsiaTheme="majorEastAsia" w:cstheme="majorEastAsia"/>
                <w:spacing w:val="-20"/>
                <w:sz w:val="20"/>
                <w:szCs w:val="20"/>
              </w:rPr>
            </w:pPr>
          </w:p>
          <w:p w14:paraId="195C445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B9F1D9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911B97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58FFBE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525E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675CAF8">
            <w:pPr>
              <w:spacing w:line="240" w:lineRule="atLeast"/>
              <w:jc w:val="left"/>
              <w:rPr>
                <w:rFonts w:ascii="仿宋_GB2312" w:hAnsi="仿宋_GB2312" w:eastAsia="仿宋_GB2312" w:cs="仿宋_GB2312"/>
                <w:sz w:val="20"/>
                <w:szCs w:val="20"/>
              </w:rPr>
            </w:pPr>
          </w:p>
        </w:tc>
        <w:tc>
          <w:tcPr>
            <w:tcW w:w="555" w:type="dxa"/>
            <w:vMerge w:val="continue"/>
          </w:tcPr>
          <w:p w14:paraId="6DA2D61E">
            <w:pPr>
              <w:spacing w:line="240" w:lineRule="atLeast"/>
              <w:jc w:val="left"/>
              <w:rPr>
                <w:rFonts w:ascii="仿宋_GB2312" w:hAnsi="仿宋_GB2312" w:eastAsia="仿宋_GB2312" w:cs="仿宋_GB2312"/>
                <w:sz w:val="20"/>
                <w:szCs w:val="20"/>
              </w:rPr>
            </w:pPr>
          </w:p>
        </w:tc>
        <w:tc>
          <w:tcPr>
            <w:tcW w:w="784" w:type="dxa"/>
            <w:vAlign w:val="center"/>
          </w:tcPr>
          <w:p w14:paraId="6D03EC5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42572A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2B808D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84B78C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8B810A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103327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F46920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FDCF66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AF3EF5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0758CEF">
            <w:pPr>
              <w:spacing w:line="240" w:lineRule="atLeast"/>
              <w:jc w:val="left"/>
              <w:rPr>
                <w:rFonts w:ascii="仿宋_GB2312" w:hAnsi="仿宋_GB2312" w:eastAsia="仿宋_GB2312" w:cs="仿宋_GB2312"/>
                <w:sz w:val="20"/>
                <w:szCs w:val="20"/>
              </w:rPr>
            </w:pPr>
          </w:p>
        </w:tc>
      </w:tr>
      <w:tr w14:paraId="3AACA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7" w:hRule="atLeast"/>
        </w:trPr>
        <w:tc>
          <w:tcPr>
            <w:tcW w:w="611" w:type="dxa"/>
            <w:vAlign w:val="center"/>
          </w:tcPr>
          <w:p w14:paraId="1B34614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223</w:t>
            </w:r>
          </w:p>
        </w:tc>
        <w:tc>
          <w:tcPr>
            <w:tcW w:w="555" w:type="dxa"/>
            <w:vAlign w:val="center"/>
          </w:tcPr>
          <w:p w14:paraId="02FDC1B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4D6E814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转让国有土地使用权申报价格审核和登记</w:t>
            </w:r>
          </w:p>
        </w:tc>
        <w:tc>
          <w:tcPr>
            <w:tcW w:w="660" w:type="dxa"/>
            <w:vAlign w:val="center"/>
          </w:tcPr>
          <w:p w14:paraId="24363932">
            <w:pPr>
              <w:snapToGrid w:val="0"/>
              <w:spacing w:line="240" w:lineRule="atLeast"/>
              <w:jc w:val="center"/>
              <w:rPr>
                <w:rFonts w:ascii="仿宋_GB2312" w:hAnsi="仿宋_GB2312" w:eastAsia="仿宋_GB2312" w:cs="仿宋_GB2312"/>
                <w:sz w:val="20"/>
                <w:szCs w:val="20"/>
              </w:rPr>
            </w:pPr>
          </w:p>
        </w:tc>
        <w:tc>
          <w:tcPr>
            <w:tcW w:w="615" w:type="dxa"/>
            <w:vAlign w:val="center"/>
          </w:tcPr>
          <w:p w14:paraId="6EE79A9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C7BD979">
            <w:pPr>
              <w:snapToGrid w:val="0"/>
              <w:spacing w:line="240" w:lineRule="atLeast"/>
              <w:jc w:val="center"/>
              <w:rPr>
                <w:rFonts w:ascii="仿宋_GB2312" w:hAnsi="仿宋_GB2312" w:eastAsia="仿宋_GB2312" w:cs="仿宋_GB2312"/>
                <w:color w:val="FF0000"/>
                <w:sz w:val="20"/>
                <w:szCs w:val="20"/>
              </w:rPr>
            </w:pPr>
            <w:r>
              <w:rPr>
                <w:rFonts w:hint="eastAsia" w:ascii="仿宋_GB2312" w:hAnsi="仿宋_GB2312" w:eastAsia="仿宋_GB2312" w:cs="仿宋_GB2312"/>
                <w:color w:val="FF0000"/>
                <w:sz w:val="20"/>
                <w:szCs w:val="20"/>
              </w:rPr>
              <w:t>评估所</w:t>
            </w:r>
          </w:p>
        </w:tc>
        <w:tc>
          <w:tcPr>
            <w:tcW w:w="4605" w:type="dxa"/>
            <w:vAlign w:val="center"/>
          </w:tcPr>
          <w:p w14:paraId="2E2950A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1.【法律】《中华人民共和国城市房地产管理法》第三十五条：国家实行房地产成交价格申报制度。</w:t>
            </w:r>
          </w:p>
          <w:p w14:paraId="6AE890D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房地产权利人转让房地产，应当向县级以上地方人民政府规定的部门如实申报成交价，不得瞒报或者作不实的申报。</w:t>
            </w:r>
          </w:p>
          <w:p w14:paraId="10B3DEF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2.【规范性文件】《国务院关于加强国有土地资产管理的通知》（国发〔2001〕16号）第四点 国有土地转让，转让双方必须如实申报成交价格。土地行政主管部门要根据基准地价、标定地价对申报价格进行审核和登记。申报土地转让价格比标定地价低20%以上的，市、县人民政府可行使优先购买权。</w:t>
            </w:r>
          </w:p>
        </w:tc>
        <w:tc>
          <w:tcPr>
            <w:tcW w:w="3585" w:type="dxa"/>
            <w:vAlign w:val="center"/>
          </w:tcPr>
          <w:p w14:paraId="54EFE5C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71457C5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2.审查责任：按照政策规定对书面材料进行审查，提出是否同意的初步意见；</w:t>
            </w:r>
          </w:p>
          <w:p w14:paraId="5BD2EDF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3.决定责任：作出书面决定,法定告知。</w:t>
            </w:r>
          </w:p>
          <w:p w14:paraId="712492D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9515" w:type="dxa"/>
            <w:vAlign w:val="center"/>
          </w:tcPr>
          <w:p w14:paraId="4BECD1A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58A0B45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313A359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3.【法律】《中华人民共和国行政许可法》第三十七条：行政机关对行政许可申请进行审.查后，除了当场作出行政许可决定的，应在法定期限内按照规定程序作出行政许可决定。</w:t>
            </w:r>
          </w:p>
        </w:tc>
        <w:tc>
          <w:tcPr>
            <w:tcW w:w="330" w:type="dxa"/>
            <w:vAlign w:val="center"/>
          </w:tcPr>
          <w:p w14:paraId="4022AB6B">
            <w:pPr>
              <w:snapToGrid w:val="0"/>
              <w:spacing w:line="240" w:lineRule="atLeast"/>
              <w:jc w:val="center"/>
              <w:rPr>
                <w:rFonts w:ascii="仿宋_GB2312" w:hAnsi="仿宋_GB2312" w:eastAsia="仿宋_GB2312" w:cs="仿宋_GB2312"/>
                <w:sz w:val="20"/>
                <w:szCs w:val="20"/>
              </w:rPr>
            </w:pPr>
          </w:p>
        </w:tc>
      </w:tr>
    </w:tbl>
    <w:p w14:paraId="07A7AB6D"/>
    <w:p w14:paraId="48A9BFED"/>
    <w:p w14:paraId="04FED87C"/>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34EC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8ACEC3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E3E5973">
            <w:pPr>
              <w:spacing w:line="240" w:lineRule="atLeast"/>
              <w:rPr>
                <w:rFonts w:asciiTheme="majorEastAsia" w:hAnsiTheme="majorEastAsia" w:eastAsiaTheme="majorEastAsia" w:cstheme="majorEastAsia"/>
                <w:spacing w:val="-20"/>
                <w:sz w:val="20"/>
                <w:szCs w:val="20"/>
              </w:rPr>
            </w:pPr>
          </w:p>
          <w:p w14:paraId="1FD2307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1DF006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3667F4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65D199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45CD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66849EE">
            <w:pPr>
              <w:spacing w:line="240" w:lineRule="atLeast"/>
              <w:jc w:val="left"/>
              <w:rPr>
                <w:rFonts w:ascii="仿宋_GB2312" w:hAnsi="仿宋_GB2312" w:eastAsia="仿宋_GB2312" w:cs="仿宋_GB2312"/>
                <w:sz w:val="20"/>
                <w:szCs w:val="20"/>
              </w:rPr>
            </w:pPr>
          </w:p>
        </w:tc>
        <w:tc>
          <w:tcPr>
            <w:tcW w:w="555" w:type="dxa"/>
            <w:vMerge w:val="continue"/>
          </w:tcPr>
          <w:p w14:paraId="729BA9BE">
            <w:pPr>
              <w:spacing w:line="240" w:lineRule="atLeast"/>
              <w:jc w:val="left"/>
              <w:rPr>
                <w:rFonts w:ascii="仿宋_GB2312" w:hAnsi="仿宋_GB2312" w:eastAsia="仿宋_GB2312" w:cs="仿宋_GB2312"/>
                <w:sz w:val="20"/>
                <w:szCs w:val="20"/>
              </w:rPr>
            </w:pPr>
          </w:p>
        </w:tc>
        <w:tc>
          <w:tcPr>
            <w:tcW w:w="784" w:type="dxa"/>
            <w:vAlign w:val="center"/>
          </w:tcPr>
          <w:p w14:paraId="0342997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E1C5C7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7B62C5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8EF87E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62A6D3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8DD536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468862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AAF7C5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5E4430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3263C74">
            <w:pPr>
              <w:spacing w:line="240" w:lineRule="atLeast"/>
              <w:jc w:val="left"/>
              <w:rPr>
                <w:rFonts w:ascii="仿宋_GB2312" w:hAnsi="仿宋_GB2312" w:eastAsia="仿宋_GB2312" w:cs="仿宋_GB2312"/>
                <w:sz w:val="20"/>
                <w:szCs w:val="20"/>
              </w:rPr>
            </w:pPr>
          </w:p>
        </w:tc>
      </w:tr>
      <w:tr w14:paraId="462FB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7" w:hRule="atLeast"/>
        </w:trPr>
        <w:tc>
          <w:tcPr>
            <w:tcW w:w="611" w:type="dxa"/>
            <w:vAlign w:val="center"/>
          </w:tcPr>
          <w:p w14:paraId="5A82ED9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224</w:t>
            </w:r>
          </w:p>
        </w:tc>
        <w:tc>
          <w:tcPr>
            <w:tcW w:w="555" w:type="dxa"/>
            <w:vAlign w:val="center"/>
          </w:tcPr>
          <w:p w14:paraId="588F720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1B43420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地质灾害防治资质单位地质灾害治理工程项目备案</w:t>
            </w:r>
          </w:p>
        </w:tc>
        <w:tc>
          <w:tcPr>
            <w:tcW w:w="660" w:type="dxa"/>
            <w:vAlign w:val="center"/>
          </w:tcPr>
          <w:p w14:paraId="677927C3">
            <w:pPr>
              <w:snapToGrid w:val="0"/>
              <w:spacing w:line="240" w:lineRule="atLeast"/>
              <w:jc w:val="center"/>
              <w:rPr>
                <w:rFonts w:ascii="仿宋_GB2312" w:hAnsi="仿宋_GB2312" w:eastAsia="仿宋_GB2312" w:cs="仿宋_GB2312"/>
                <w:sz w:val="20"/>
                <w:szCs w:val="20"/>
              </w:rPr>
            </w:pPr>
          </w:p>
        </w:tc>
        <w:tc>
          <w:tcPr>
            <w:tcW w:w="615" w:type="dxa"/>
            <w:vAlign w:val="center"/>
          </w:tcPr>
          <w:p w14:paraId="71E0718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37AAE6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地质勘查和矿产资源保护监督科</w:t>
            </w:r>
          </w:p>
        </w:tc>
        <w:tc>
          <w:tcPr>
            <w:tcW w:w="4605" w:type="dxa"/>
            <w:vAlign w:val="center"/>
          </w:tcPr>
          <w:p w14:paraId="79CFFDE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【部门规章】《地质灾害危险性评估单位资质管理办法》（2005年国土资源部令第29号公布，2019年第二次修正）第六条： 从事地质灾害危险性评估的单位，按照本办法的规定取得相应的资质证书后，方可在资质证书许可范围内承担地质灾害危险性评估业务。</w:t>
            </w:r>
          </w:p>
          <w:p w14:paraId="5FDF6A4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县级以上自然资源主管部门负责对本行政区域内从事地质灾害危险性评估活动的单位进行监督检查。</w:t>
            </w:r>
          </w:p>
          <w:p w14:paraId="5C3E478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第二十七条： 资质单位应当在签订地质灾害危险性评估项目合同后十日内，到项目所在地的县级自然资源主管部门进行资质和项目备案。</w:t>
            </w:r>
          </w:p>
          <w:p w14:paraId="7934AE7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评估项目跨行政区域的，资质单位应当向项目所跨行政区域共同的上一级自然资源主管部门备案。</w:t>
            </w:r>
          </w:p>
        </w:tc>
        <w:tc>
          <w:tcPr>
            <w:tcW w:w="3585" w:type="dxa"/>
            <w:vAlign w:val="center"/>
          </w:tcPr>
          <w:p w14:paraId="7F8FCCD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1.受理阶段责任：审查备案材料是否齐全，是否在规定的时间内提交备案。备案材料不全的，通知申请机构一次性补齐。</w:t>
            </w:r>
          </w:p>
          <w:p w14:paraId="43EAB22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2.审查阶段责任：对地质灾害治理工程勘察设计机构和专家资格，评审标准、程序是否合规等进行审查。</w:t>
            </w:r>
          </w:p>
          <w:p w14:paraId="5E8026D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3.决定阶段责任：作出备案或不予以备案决定（不予备案的应当告知理由）。</w:t>
            </w:r>
          </w:p>
          <w:p w14:paraId="72CE828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9515" w:type="dxa"/>
            <w:vAlign w:val="center"/>
          </w:tcPr>
          <w:p w14:paraId="268FD62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2048FC7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24104F3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3.【法律】《中华人民共和国行政许可法》第三十七条：行政机关对行政许可申请进行审.查后，除了当场作出行政许可决定的，应在法定期限内按照规定程序作出行政许可决定。</w:t>
            </w:r>
          </w:p>
        </w:tc>
        <w:tc>
          <w:tcPr>
            <w:tcW w:w="330" w:type="dxa"/>
            <w:vAlign w:val="center"/>
          </w:tcPr>
          <w:p w14:paraId="7C9B6E6F">
            <w:pPr>
              <w:snapToGrid w:val="0"/>
              <w:spacing w:line="240" w:lineRule="atLeast"/>
              <w:jc w:val="center"/>
              <w:rPr>
                <w:rFonts w:ascii="仿宋_GB2312" w:hAnsi="仿宋_GB2312" w:eastAsia="仿宋_GB2312" w:cs="仿宋_GB2312"/>
                <w:sz w:val="20"/>
                <w:szCs w:val="20"/>
              </w:rPr>
            </w:pPr>
          </w:p>
        </w:tc>
      </w:tr>
    </w:tbl>
    <w:p w14:paraId="019AE95B"/>
    <w:p w14:paraId="4DDA952D"/>
    <w:tbl>
      <w:tblPr>
        <w:tblStyle w:val="7"/>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00D1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082D467">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AE23433">
            <w:pPr>
              <w:spacing w:line="240" w:lineRule="atLeast"/>
              <w:rPr>
                <w:rFonts w:asciiTheme="majorEastAsia" w:hAnsiTheme="majorEastAsia" w:eastAsiaTheme="majorEastAsia" w:cstheme="majorEastAsia"/>
                <w:spacing w:val="-20"/>
                <w:sz w:val="20"/>
                <w:szCs w:val="20"/>
              </w:rPr>
            </w:pPr>
          </w:p>
          <w:p w14:paraId="5E55B37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A0989C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67CCAE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297106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E7D9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0A13A69">
            <w:pPr>
              <w:spacing w:line="240" w:lineRule="atLeast"/>
              <w:jc w:val="left"/>
              <w:rPr>
                <w:rFonts w:ascii="仿宋_GB2312" w:hAnsi="仿宋_GB2312" w:eastAsia="仿宋_GB2312" w:cs="仿宋_GB2312"/>
                <w:sz w:val="20"/>
                <w:szCs w:val="20"/>
              </w:rPr>
            </w:pPr>
          </w:p>
        </w:tc>
        <w:tc>
          <w:tcPr>
            <w:tcW w:w="555" w:type="dxa"/>
            <w:vMerge w:val="continue"/>
          </w:tcPr>
          <w:p w14:paraId="6AF6F9B7">
            <w:pPr>
              <w:spacing w:line="240" w:lineRule="atLeast"/>
              <w:jc w:val="left"/>
              <w:rPr>
                <w:rFonts w:ascii="仿宋_GB2312" w:hAnsi="仿宋_GB2312" w:eastAsia="仿宋_GB2312" w:cs="仿宋_GB2312"/>
                <w:sz w:val="20"/>
                <w:szCs w:val="20"/>
              </w:rPr>
            </w:pPr>
          </w:p>
        </w:tc>
        <w:tc>
          <w:tcPr>
            <w:tcW w:w="784" w:type="dxa"/>
            <w:vAlign w:val="center"/>
          </w:tcPr>
          <w:p w14:paraId="0E9A87D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557D0D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99A885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368FCD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618515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7C7805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572BBA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ED6D44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05534A6">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B1B5204">
            <w:pPr>
              <w:spacing w:line="240" w:lineRule="atLeast"/>
              <w:jc w:val="left"/>
              <w:rPr>
                <w:rFonts w:ascii="仿宋_GB2312" w:hAnsi="仿宋_GB2312" w:eastAsia="仿宋_GB2312" w:cs="仿宋_GB2312"/>
                <w:sz w:val="20"/>
                <w:szCs w:val="20"/>
              </w:rPr>
            </w:pPr>
          </w:p>
        </w:tc>
      </w:tr>
      <w:tr w14:paraId="4D5CA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7" w:hRule="atLeast"/>
        </w:trPr>
        <w:tc>
          <w:tcPr>
            <w:tcW w:w="611" w:type="dxa"/>
            <w:vAlign w:val="center"/>
          </w:tcPr>
          <w:p w14:paraId="4A45371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225</w:t>
            </w:r>
          </w:p>
        </w:tc>
        <w:tc>
          <w:tcPr>
            <w:tcW w:w="555" w:type="dxa"/>
            <w:vAlign w:val="center"/>
          </w:tcPr>
          <w:p w14:paraId="4F535F1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36623D4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无偿收回闲置的非农建设占用耕地的审批</w:t>
            </w:r>
          </w:p>
        </w:tc>
        <w:tc>
          <w:tcPr>
            <w:tcW w:w="660" w:type="dxa"/>
            <w:vAlign w:val="center"/>
          </w:tcPr>
          <w:p w14:paraId="0AF9E967">
            <w:pPr>
              <w:snapToGrid w:val="0"/>
              <w:spacing w:line="240" w:lineRule="atLeast"/>
              <w:jc w:val="center"/>
              <w:rPr>
                <w:rFonts w:ascii="仿宋_GB2312" w:hAnsi="仿宋_GB2312" w:eastAsia="仿宋_GB2312" w:cs="仿宋_GB2312"/>
                <w:sz w:val="20"/>
                <w:szCs w:val="20"/>
              </w:rPr>
            </w:pPr>
          </w:p>
        </w:tc>
        <w:tc>
          <w:tcPr>
            <w:tcW w:w="615" w:type="dxa"/>
            <w:vAlign w:val="center"/>
          </w:tcPr>
          <w:p w14:paraId="5174B8F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DA2AE2F">
            <w:pPr>
              <w:snapToGrid w:val="0"/>
              <w:spacing w:line="240" w:lineRule="atLeast"/>
              <w:jc w:val="center"/>
              <w:rPr>
                <w:rFonts w:ascii="仿宋_GB2312" w:hAnsi="仿宋_GB2312" w:eastAsia="仿宋_GB2312" w:cs="仿宋_GB2312"/>
                <w:color w:val="FF0000"/>
                <w:sz w:val="20"/>
                <w:szCs w:val="20"/>
              </w:rPr>
            </w:pPr>
            <w:r>
              <w:rPr>
                <w:rFonts w:hint="eastAsia" w:ascii="仿宋_GB2312" w:hAnsi="仿宋_GB2312" w:eastAsia="仿宋_GB2312" w:cs="仿宋_GB2312"/>
                <w:color w:val="FF0000"/>
                <w:sz w:val="20"/>
                <w:szCs w:val="20"/>
              </w:rPr>
              <w:t>自然资源开发利用科</w:t>
            </w:r>
          </w:p>
        </w:tc>
        <w:tc>
          <w:tcPr>
            <w:tcW w:w="4605" w:type="dxa"/>
            <w:vAlign w:val="center"/>
          </w:tcPr>
          <w:p w14:paraId="2FD0E58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土地管理法》第三十八条：禁止任何单位和个人闲置、荒芜耕地。已经办理审批手续的非农业建设占用耕地，一年内不用而又可以耕种并收获的，应当由原耕种该幅耕地的集体或者个人恢复耕种，也可以由用地单位组织耕种；一年以上未动工建设的，应当按照省、自治区、直辖市的规定缴纳闲置费；连续二年未使用的，经原批准机关批准，由县级以上人民政府无偿收回用地单位的土地使用权；该幅土地原为农民集体所有的，应当交由原农村集体经济组织恢复耕种。</w:t>
            </w:r>
          </w:p>
          <w:p w14:paraId="752D514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在城市规划区范围内，以出让方式取得土地使用权进行房地产开发的闲置土地，依照《中华人民共和国城市房地产管理法》的有关规定办理。</w:t>
            </w:r>
          </w:p>
        </w:tc>
        <w:tc>
          <w:tcPr>
            <w:tcW w:w="3585" w:type="dxa"/>
            <w:vAlign w:val="center"/>
          </w:tcPr>
          <w:p w14:paraId="6296DB5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1.受理阶段责任：审查审批材料是否齐全。备案材料不全的，通知申请机构一次性补齐。</w:t>
            </w:r>
          </w:p>
          <w:p w14:paraId="77441AA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2.审核责任：依法对申请材料进行审查，提出审查意见。</w:t>
            </w:r>
          </w:p>
          <w:p w14:paraId="272A93F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3.决定责任：作出书面决定,法定告知。</w:t>
            </w:r>
          </w:p>
          <w:p w14:paraId="3BBEC9A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9515" w:type="dxa"/>
            <w:vAlign w:val="center"/>
          </w:tcPr>
          <w:p w14:paraId="034C860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661AC36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435D514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3.【法律】《中华人民共和国行政许可法》第三十七条：行政机关对行政许可申请进行审.查后，除了当场作出行政许可决定的，应在法定期限内按照规定程序作出行政许可决定。</w:t>
            </w:r>
          </w:p>
        </w:tc>
        <w:tc>
          <w:tcPr>
            <w:tcW w:w="330" w:type="dxa"/>
            <w:vAlign w:val="center"/>
          </w:tcPr>
          <w:p w14:paraId="63D05E10">
            <w:pPr>
              <w:snapToGrid w:val="0"/>
              <w:spacing w:line="240" w:lineRule="atLeast"/>
              <w:jc w:val="center"/>
              <w:rPr>
                <w:rFonts w:ascii="仿宋_GB2312" w:hAnsi="仿宋_GB2312" w:eastAsia="仿宋_GB2312" w:cs="仿宋_GB2312"/>
                <w:sz w:val="20"/>
                <w:szCs w:val="20"/>
              </w:rPr>
            </w:pPr>
          </w:p>
        </w:tc>
      </w:tr>
    </w:tbl>
    <w:p w14:paraId="0376AB0D"/>
    <w:sectPr>
      <w:footerReference r:id="rId3" w:type="default"/>
      <w:pgSz w:w="23811" w:h="16838" w:orient="landscape"/>
      <w:pgMar w:top="782" w:right="1157" w:bottom="782" w:left="11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7EEA8">
    <w:pPr>
      <w:pStyle w:val="4"/>
    </w:pPr>
    <w:r>
      <mc:AlternateContent>
        <mc:Choice Requires="wps">
          <w:drawing>
            <wp:anchor distT="0" distB="0" distL="114300" distR="114300" simplePos="0" relativeHeight="251659264" behindDoc="0" locked="0" layoutInCell="1" allowOverlap="1">
              <wp:simplePos x="0" y="0"/>
              <wp:positionH relativeFrom="margin">
                <wp:posOffset>6786245</wp:posOffset>
              </wp:positionH>
              <wp:positionV relativeFrom="paragraph">
                <wp:posOffset>228600</wp:posOffset>
              </wp:positionV>
              <wp:extent cx="89535" cy="230505"/>
              <wp:effectExtent l="0" t="0" r="0" b="10795"/>
              <wp:wrapNone/>
              <wp:docPr id="1" name="文本框 1"/>
              <wp:cNvGraphicFramePr/>
              <a:graphic xmlns:a="http://schemas.openxmlformats.org/drawingml/2006/main">
                <a:graphicData uri="http://schemas.microsoft.com/office/word/2010/wordprocessingShape">
                  <wps:wsp>
                    <wps:cNvSpPr txBox="1"/>
                    <wps:spPr>
                      <a:xfrm>
                        <a:off x="0" y="0"/>
                        <a:ext cx="89535" cy="230505"/>
                      </a:xfrm>
                      <a:prstGeom prst="rect">
                        <a:avLst/>
                      </a:prstGeom>
                      <a:noFill/>
                      <a:ln w="6350">
                        <a:noFill/>
                      </a:ln>
                    </wps:spPr>
                    <wps:txbx>
                      <w:txbxContent>
                        <w:p w14:paraId="6F9AADF0">
                          <w:pPr>
                            <w:pStyle w:val="4"/>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534.35pt;margin-top:18pt;height:18.15pt;width:7.05pt;mso-position-horizontal-relative:margin;mso-wrap-style:none;z-index:251659264;mso-width-relative:page;mso-height-relative:page;" filled="f" stroked="f" coordsize="21600,21600" o:gfxdata="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viaK9cAAAALAQAADwAAAAAAAAABACAAAAAiAAAAZHJzL2Rvd25yZXYueG1sUEsB&#10;AhQAFAAAAAgAh07iQKVbf+IvAgAAUgQAAA4AAAAAAAAAAQAgAAAAJgEAAGRycy9lMm9Eb2MueG1s&#10;UEsFBgAAAAAGAAYAWQEAAMcFAAAAAA==&#10;">
              <v:fill on="f" focussize="0,0"/>
              <v:stroke on="f" weight="0.5pt"/>
              <v:imagedata o:title=""/>
              <o:lock v:ext="edit" aspectratio="f"/>
              <v:textbox inset="0mm,0mm,0mm,0mm" style="mso-fit-shape-to-text:t;">
                <w:txbxContent>
                  <w:p w14:paraId="6F9AADF0">
                    <w:pPr>
                      <w:pStyle w:val="4"/>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System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kyZDA1ODcwMzkxZmNlN2E4ZjkwMTg4MmNiODIzNTYifQ=="/>
  </w:docVars>
  <w:rsids>
    <w:rsidRoot w:val="002F6BD4"/>
    <w:rsid w:val="000D7A9A"/>
    <w:rsid w:val="00121353"/>
    <w:rsid w:val="001F305C"/>
    <w:rsid w:val="00243553"/>
    <w:rsid w:val="002F6BD4"/>
    <w:rsid w:val="00435AF6"/>
    <w:rsid w:val="005A0F7E"/>
    <w:rsid w:val="006507AA"/>
    <w:rsid w:val="006D2540"/>
    <w:rsid w:val="00904AB4"/>
    <w:rsid w:val="01911D0E"/>
    <w:rsid w:val="020149A5"/>
    <w:rsid w:val="028340E0"/>
    <w:rsid w:val="03522419"/>
    <w:rsid w:val="03A04F32"/>
    <w:rsid w:val="06EA39DF"/>
    <w:rsid w:val="08726BB2"/>
    <w:rsid w:val="08EB30F3"/>
    <w:rsid w:val="0B310B66"/>
    <w:rsid w:val="0B61769D"/>
    <w:rsid w:val="0B866A2E"/>
    <w:rsid w:val="0CCA634C"/>
    <w:rsid w:val="0CF602B9"/>
    <w:rsid w:val="0FEB5776"/>
    <w:rsid w:val="10945C61"/>
    <w:rsid w:val="10CD7582"/>
    <w:rsid w:val="1108138E"/>
    <w:rsid w:val="1128487D"/>
    <w:rsid w:val="117535E3"/>
    <w:rsid w:val="11AE4CBE"/>
    <w:rsid w:val="12D06EB6"/>
    <w:rsid w:val="13DA3E13"/>
    <w:rsid w:val="14B35C59"/>
    <w:rsid w:val="16D76A65"/>
    <w:rsid w:val="17AC6222"/>
    <w:rsid w:val="18356D99"/>
    <w:rsid w:val="189F7A56"/>
    <w:rsid w:val="1AA068B6"/>
    <w:rsid w:val="1B680F12"/>
    <w:rsid w:val="1BC21057"/>
    <w:rsid w:val="1C0B488B"/>
    <w:rsid w:val="1C3342CD"/>
    <w:rsid w:val="1D5030CD"/>
    <w:rsid w:val="1D7D0CE4"/>
    <w:rsid w:val="1E795B39"/>
    <w:rsid w:val="1FBA5176"/>
    <w:rsid w:val="206C021E"/>
    <w:rsid w:val="24CF7C82"/>
    <w:rsid w:val="25BD4A76"/>
    <w:rsid w:val="26143832"/>
    <w:rsid w:val="26DE174A"/>
    <w:rsid w:val="27C517EE"/>
    <w:rsid w:val="28D15A0A"/>
    <w:rsid w:val="2A827AD4"/>
    <w:rsid w:val="2CD05FD9"/>
    <w:rsid w:val="2D452C20"/>
    <w:rsid w:val="2E1001F4"/>
    <w:rsid w:val="2EEF6C5E"/>
    <w:rsid w:val="2F096E7C"/>
    <w:rsid w:val="2FA958D0"/>
    <w:rsid w:val="2FC91983"/>
    <w:rsid w:val="2FCD0E90"/>
    <w:rsid w:val="300C5C28"/>
    <w:rsid w:val="30C70D34"/>
    <w:rsid w:val="311F752F"/>
    <w:rsid w:val="31864723"/>
    <w:rsid w:val="31D07E79"/>
    <w:rsid w:val="33590AD6"/>
    <w:rsid w:val="34BB3AAE"/>
    <w:rsid w:val="34D348B8"/>
    <w:rsid w:val="34E81911"/>
    <w:rsid w:val="35135FB0"/>
    <w:rsid w:val="37291397"/>
    <w:rsid w:val="389C4783"/>
    <w:rsid w:val="392043CB"/>
    <w:rsid w:val="398B2F1B"/>
    <w:rsid w:val="39A405D1"/>
    <w:rsid w:val="3ABE3914"/>
    <w:rsid w:val="3B1B2DC0"/>
    <w:rsid w:val="3C0E35B2"/>
    <w:rsid w:val="3D174696"/>
    <w:rsid w:val="3DC603C2"/>
    <w:rsid w:val="3E5C147A"/>
    <w:rsid w:val="3E8F4051"/>
    <w:rsid w:val="3F4C14EF"/>
    <w:rsid w:val="3F5355C6"/>
    <w:rsid w:val="3F9C12A3"/>
    <w:rsid w:val="40A75E90"/>
    <w:rsid w:val="40F75912"/>
    <w:rsid w:val="410E283E"/>
    <w:rsid w:val="412E1653"/>
    <w:rsid w:val="4179432A"/>
    <w:rsid w:val="41957F8D"/>
    <w:rsid w:val="41D20A03"/>
    <w:rsid w:val="429C26CE"/>
    <w:rsid w:val="42BB7828"/>
    <w:rsid w:val="43B0124E"/>
    <w:rsid w:val="43B86527"/>
    <w:rsid w:val="441F0A36"/>
    <w:rsid w:val="44673668"/>
    <w:rsid w:val="44C20B3B"/>
    <w:rsid w:val="45E5262D"/>
    <w:rsid w:val="47064679"/>
    <w:rsid w:val="47ED5082"/>
    <w:rsid w:val="48B73E3A"/>
    <w:rsid w:val="48F6174F"/>
    <w:rsid w:val="4933371F"/>
    <w:rsid w:val="49BC3F58"/>
    <w:rsid w:val="49D37AE3"/>
    <w:rsid w:val="4A1733C6"/>
    <w:rsid w:val="4A4C0E65"/>
    <w:rsid w:val="4AAD4767"/>
    <w:rsid w:val="4C627426"/>
    <w:rsid w:val="4C9227C6"/>
    <w:rsid w:val="4DFF1E22"/>
    <w:rsid w:val="4F002D03"/>
    <w:rsid w:val="4F601699"/>
    <w:rsid w:val="4FCB6460"/>
    <w:rsid w:val="50203FF1"/>
    <w:rsid w:val="504F7091"/>
    <w:rsid w:val="50533BEF"/>
    <w:rsid w:val="505E04E8"/>
    <w:rsid w:val="50C55B49"/>
    <w:rsid w:val="50EA1387"/>
    <w:rsid w:val="51204302"/>
    <w:rsid w:val="51722440"/>
    <w:rsid w:val="51B178D7"/>
    <w:rsid w:val="51EB4853"/>
    <w:rsid w:val="525766D1"/>
    <w:rsid w:val="53032E1B"/>
    <w:rsid w:val="54537C17"/>
    <w:rsid w:val="5576645F"/>
    <w:rsid w:val="56695772"/>
    <w:rsid w:val="56A63783"/>
    <w:rsid w:val="572617C1"/>
    <w:rsid w:val="58483691"/>
    <w:rsid w:val="58694A68"/>
    <w:rsid w:val="58E524A0"/>
    <w:rsid w:val="58E8067D"/>
    <w:rsid w:val="59B14918"/>
    <w:rsid w:val="59BF43C4"/>
    <w:rsid w:val="5A10004D"/>
    <w:rsid w:val="5AD00DCE"/>
    <w:rsid w:val="5AE62059"/>
    <w:rsid w:val="5BA20C44"/>
    <w:rsid w:val="5BB56CBC"/>
    <w:rsid w:val="5C0B1FE3"/>
    <w:rsid w:val="5C5345AF"/>
    <w:rsid w:val="5CB169DD"/>
    <w:rsid w:val="5D537A94"/>
    <w:rsid w:val="5F507772"/>
    <w:rsid w:val="607977E8"/>
    <w:rsid w:val="615707D0"/>
    <w:rsid w:val="628E1C9B"/>
    <w:rsid w:val="64CA2D32"/>
    <w:rsid w:val="65531A62"/>
    <w:rsid w:val="6569799D"/>
    <w:rsid w:val="65707045"/>
    <w:rsid w:val="658F0577"/>
    <w:rsid w:val="66846F11"/>
    <w:rsid w:val="66F82AAA"/>
    <w:rsid w:val="67007834"/>
    <w:rsid w:val="67046C9A"/>
    <w:rsid w:val="67050CAA"/>
    <w:rsid w:val="676123CB"/>
    <w:rsid w:val="678D5B25"/>
    <w:rsid w:val="67ED70C3"/>
    <w:rsid w:val="68112EB4"/>
    <w:rsid w:val="682D4F2F"/>
    <w:rsid w:val="686765C5"/>
    <w:rsid w:val="68A65864"/>
    <w:rsid w:val="68BF7FE7"/>
    <w:rsid w:val="69360540"/>
    <w:rsid w:val="69427065"/>
    <w:rsid w:val="6B23444C"/>
    <w:rsid w:val="6B430E02"/>
    <w:rsid w:val="6CEA7FC1"/>
    <w:rsid w:val="6D9B170F"/>
    <w:rsid w:val="6D9D7236"/>
    <w:rsid w:val="6DC61E74"/>
    <w:rsid w:val="6E11552E"/>
    <w:rsid w:val="6E414AA0"/>
    <w:rsid w:val="6E697C6D"/>
    <w:rsid w:val="6EA62978"/>
    <w:rsid w:val="70B56AB7"/>
    <w:rsid w:val="71E43796"/>
    <w:rsid w:val="73994ACC"/>
    <w:rsid w:val="73E02686"/>
    <w:rsid w:val="74730CF0"/>
    <w:rsid w:val="7486266F"/>
    <w:rsid w:val="75752846"/>
    <w:rsid w:val="764112E9"/>
    <w:rsid w:val="76705E46"/>
    <w:rsid w:val="767C1CFA"/>
    <w:rsid w:val="76A952ED"/>
    <w:rsid w:val="770E18B7"/>
    <w:rsid w:val="77CD4B10"/>
    <w:rsid w:val="77F126FC"/>
    <w:rsid w:val="782C7B34"/>
    <w:rsid w:val="78924692"/>
    <w:rsid w:val="78E9198C"/>
    <w:rsid w:val="7B234AF2"/>
    <w:rsid w:val="7CEA11B2"/>
    <w:rsid w:val="7DAE4B47"/>
    <w:rsid w:val="7DFF1847"/>
    <w:rsid w:val="7E01551A"/>
    <w:rsid w:val="7F857B2A"/>
    <w:rsid w:val="7F8E1ED7"/>
    <w:rsid w:val="7FB54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unhideWhenUsed/>
    <w:qFormat/>
    <w:uiPriority w:val="0"/>
    <w:pPr>
      <w:spacing w:after="120"/>
    </w:pPr>
  </w:style>
  <w:style w:type="paragraph" w:styleId="3">
    <w:name w:val="Title"/>
    <w:basedOn w:val="1"/>
    <w:next w:val="1"/>
    <w:qFormat/>
    <w:uiPriority w:val="0"/>
    <w:pPr>
      <w:spacing w:before="240" w:after="60"/>
      <w:jc w:val="center"/>
      <w:outlineLvl w:val="0"/>
    </w:pPr>
    <w:rPr>
      <w:rFonts w:ascii="Arial" w:hAnsi="Arial" w:eastAsia="宋体" w:cs="Times New Roman"/>
      <w:b/>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微软用户</Company>
  <Pages>222</Pages>
  <Words>23998</Words>
  <Characters>24388</Characters>
  <Lines>4510</Lines>
  <Paragraphs>1269</Paragraphs>
  <TotalTime>5</TotalTime>
  <ScaleCrop>false</ScaleCrop>
  <LinksUpToDate>false</LinksUpToDate>
  <CharactersWithSpaces>24448</CharactersWithSpaces>
  <Application>WPS Office_12.1.0.20784_F1E327BC-269C-435d-A152-05C5408002CA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2024-01-29T09:50:00Z</dcterms:created>
  <dc:creator>HP</dc:creator>
  <cp:lastModifiedBy>肖海珍</cp:lastModifiedBy>
  <dcterms:modified xsi:type="dcterms:W3CDTF">2025-05-20T10:10:39Z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DD16CCC2B0BE451F9A8D3D13098BD07D</vt:lpwstr>
  </property>
  <property fmtid="{D5CDD505-2E9C-101B-9397-08002B2CF9AE}" pid="4" name="KSOTemplateDocerSaveRecord">
    <vt:lpwstr>eyJoZGlkIjoiMGYzY2VhY2FhYjRkMjc0NzE5MGE2NjA1ZWFjYTk0M2YiLCJ1c2VySWQiOiIxMzc5MDYzMDA4In0=</vt:lpwstr>
  </property>
</Properties>
</file>