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C28B5">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玉林市自然资源局权责清单</w:t>
      </w:r>
    </w:p>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582"/>
        <w:gridCol w:w="3060"/>
        <w:gridCol w:w="8373"/>
        <w:gridCol w:w="330"/>
      </w:tblGrid>
      <w:tr w14:paraId="3FBB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3EA8969C">
            <w:pPr>
              <w:snapToGrid w:val="0"/>
              <w:spacing w:line="240" w:lineRule="atLeast"/>
              <w:rPr>
                <w:rFonts w:asciiTheme="majorEastAsia" w:hAnsiTheme="majorEastAsia" w:eastAsiaTheme="majorEastAsia" w:cstheme="majorEastAsia"/>
                <w:sz w:val="20"/>
                <w:szCs w:val="20"/>
              </w:rPr>
            </w:pPr>
          </w:p>
          <w:p w14:paraId="77A18340">
            <w:pPr>
              <w:snapToGrid w:val="0"/>
              <w:spacing w:line="240" w:lineRule="atLeast"/>
              <w:rPr>
                <w:rFonts w:asciiTheme="majorEastAsia" w:hAnsiTheme="majorEastAsia" w:eastAsiaTheme="majorEastAsia" w:cstheme="majorEastAsia"/>
                <w:sz w:val="20"/>
                <w:szCs w:val="20"/>
              </w:rPr>
            </w:pPr>
          </w:p>
          <w:p w14:paraId="46B255D4">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3E419A2F">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6F0DB6A9">
            <w:pPr>
              <w:spacing w:line="240" w:lineRule="atLeast"/>
              <w:rPr>
                <w:rFonts w:asciiTheme="majorEastAsia" w:hAnsiTheme="majorEastAsia" w:eastAsiaTheme="majorEastAsia" w:cstheme="majorEastAsia"/>
                <w:sz w:val="20"/>
                <w:szCs w:val="20"/>
              </w:rPr>
            </w:pPr>
          </w:p>
          <w:p w14:paraId="4DCEBB2B">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612" w:type="dxa"/>
            <w:gridSpan w:val="5"/>
          </w:tcPr>
          <w:p w14:paraId="68F3EE7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433" w:type="dxa"/>
            <w:gridSpan w:val="2"/>
          </w:tcPr>
          <w:p w14:paraId="3AB20B9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9B792A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7EB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376" w:type="dxa"/>
            <w:vMerge w:val="continue"/>
          </w:tcPr>
          <w:p w14:paraId="48CE4719">
            <w:pPr>
              <w:spacing w:line="240" w:lineRule="atLeast"/>
              <w:jc w:val="left"/>
              <w:rPr>
                <w:rFonts w:ascii="仿宋_GB2312" w:hAnsi="仿宋_GB2312" w:eastAsia="仿宋_GB2312" w:cs="仿宋_GB2312"/>
                <w:sz w:val="20"/>
                <w:szCs w:val="20"/>
              </w:rPr>
            </w:pPr>
          </w:p>
        </w:tc>
        <w:tc>
          <w:tcPr>
            <w:tcW w:w="619" w:type="dxa"/>
            <w:vMerge w:val="continue"/>
          </w:tcPr>
          <w:p w14:paraId="71206D51">
            <w:pPr>
              <w:spacing w:line="240" w:lineRule="atLeast"/>
              <w:jc w:val="left"/>
              <w:rPr>
                <w:rFonts w:ascii="仿宋_GB2312" w:hAnsi="仿宋_GB2312" w:eastAsia="仿宋_GB2312" w:cs="仿宋_GB2312"/>
                <w:sz w:val="20"/>
                <w:szCs w:val="20"/>
              </w:rPr>
            </w:pPr>
          </w:p>
        </w:tc>
        <w:tc>
          <w:tcPr>
            <w:tcW w:w="645" w:type="dxa"/>
            <w:vAlign w:val="center"/>
          </w:tcPr>
          <w:p w14:paraId="5CA1A1B0">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37A5C1AA">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67A1E094">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2601D9F0">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582" w:type="dxa"/>
            <w:vAlign w:val="center"/>
          </w:tcPr>
          <w:p w14:paraId="0F6F14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060" w:type="dxa"/>
            <w:vAlign w:val="center"/>
          </w:tcPr>
          <w:p w14:paraId="7230D7D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4EDCAD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373" w:type="dxa"/>
            <w:vAlign w:val="center"/>
          </w:tcPr>
          <w:p w14:paraId="20105C2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9A9E1EA">
            <w:pPr>
              <w:spacing w:line="240" w:lineRule="atLeast"/>
              <w:jc w:val="left"/>
              <w:rPr>
                <w:rFonts w:ascii="仿宋_GB2312" w:hAnsi="仿宋_GB2312" w:eastAsia="仿宋_GB2312" w:cs="仿宋_GB2312"/>
                <w:sz w:val="20"/>
                <w:szCs w:val="20"/>
              </w:rPr>
            </w:pPr>
          </w:p>
        </w:tc>
      </w:tr>
      <w:tr w14:paraId="1F49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2" w:hRule="atLeast"/>
        </w:trPr>
        <w:tc>
          <w:tcPr>
            <w:tcW w:w="376" w:type="dxa"/>
            <w:vAlign w:val="center"/>
          </w:tcPr>
          <w:p w14:paraId="303329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619" w:type="dxa"/>
            <w:vAlign w:val="center"/>
          </w:tcPr>
          <w:p w14:paraId="3CC0E2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63747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639EA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103CD4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6A7E83F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建设项目用地预审</w:t>
            </w:r>
          </w:p>
        </w:tc>
        <w:tc>
          <w:tcPr>
            <w:tcW w:w="600" w:type="dxa"/>
            <w:vAlign w:val="center"/>
          </w:tcPr>
          <w:p w14:paraId="21C9B8DA">
            <w:pPr>
              <w:snapToGrid w:val="0"/>
              <w:spacing w:line="240" w:lineRule="atLeast"/>
              <w:jc w:val="center"/>
              <w:rPr>
                <w:rFonts w:ascii="仿宋_GB2312" w:hAnsi="仿宋_GB2312" w:eastAsia="仿宋_GB2312" w:cs="仿宋_GB2312"/>
                <w:sz w:val="20"/>
                <w:szCs w:val="20"/>
              </w:rPr>
            </w:pPr>
          </w:p>
        </w:tc>
        <w:tc>
          <w:tcPr>
            <w:tcW w:w="660" w:type="dxa"/>
            <w:vAlign w:val="center"/>
          </w:tcPr>
          <w:p w14:paraId="23CC46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55E4BA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582" w:type="dxa"/>
            <w:vAlign w:val="center"/>
          </w:tcPr>
          <w:p w14:paraId="302C0E0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1.【法律】《中华人民共和国土地管理法》第五十二条：建设项目可行性研究论证时，自然资源主管部门可以根据土地利用总体规划、土地利用年度计划和建设用地标准，对建设用地有关事项进行审查，并提出意见。</w:t>
            </w:r>
          </w:p>
          <w:p w14:paraId="35B4EF1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行政法规】《中华人民共和国土地管理法实施条例》（1998年国务院令第256号公布，2021年国务院令第743号第三次修订）第二十四条第一款：（一）建设项目批准、核准前或者备案前后，由自然资源主管部门对建设项目用地事项进行审查，提出建设项目用地预审意见。</w:t>
            </w:r>
          </w:p>
          <w:p w14:paraId="4A92EA2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部门规章】《建设项目用地预审管理办法》（2001年国土资源部令第7号发布，2016年国土资源部令第68号第二次修正）第四条：需人民政府或有批准权的人民政府发展和改革等部门审批的建设项目，由该人民政府的国土资源主管部门预审。需核准和备案的建设项目，由与核准、备案机关同级的国土资源主管部门预审。</w:t>
            </w:r>
          </w:p>
        </w:tc>
        <w:tc>
          <w:tcPr>
            <w:tcW w:w="3060" w:type="dxa"/>
            <w:vAlign w:val="center"/>
          </w:tcPr>
          <w:p w14:paraId="1E64A3EF">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1.受理责任：公示应当提交的材料；一次性告知补正材料；依法受理或不予受理（不予受理应当告知理由）。</w:t>
            </w:r>
          </w:p>
          <w:p w14:paraId="508C4A5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2.审查责任：材料审核；提出审查意见。    </w:t>
            </w:r>
          </w:p>
          <w:p w14:paraId="5FEED35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3.决定责任：根据审查意见，作出预审决定，制作预审文件。</w:t>
            </w:r>
          </w:p>
          <w:p w14:paraId="6DE7F250">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4.送达责任：制发预审文件；信息公开。</w:t>
            </w:r>
          </w:p>
          <w:p w14:paraId="2F948D40">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5.事后监管环节责任：分管领导对审批后的相关事宜实施监督管理。</w:t>
            </w:r>
          </w:p>
          <w:p w14:paraId="3593166E">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6.其他法律法规规章文件规定应履行的责任。</w:t>
            </w:r>
          </w:p>
        </w:tc>
        <w:tc>
          <w:tcPr>
            <w:tcW w:w="8373" w:type="dxa"/>
            <w:vAlign w:val="center"/>
          </w:tcPr>
          <w:p w14:paraId="5A0E3AC2">
            <w:pPr>
              <w:snapToGrid w:val="0"/>
              <w:spacing w:line="240" w:lineRule="atLeast"/>
              <w:rPr>
                <w:rFonts w:ascii="仿宋_GB2312" w:hAnsi="仿宋_GB2312" w:eastAsia="仿宋_GB2312" w:cs="仿宋_GB2312"/>
                <w:sz w:val="20"/>
                <w:szCs w:val="20"/>
              </w:rPr>
            </w:pPr>
          </w:p>
          <w:p w14:paraId="72B5CF9D">
            <w:pPr>
              <w:snapToGrid w:val="0"/>
              <w:spacing w:line="240" w:lineRule="atLeast"/>
              <w:rPr>
                <w:rFonts w:ascii="仿宋_GB2312" w:hAnsi="仿宋_GB2312" w:eastAsia="仿宋_GB2312" w:cs="仿宋_GB2312"/>
                <w:sz w:val="20"/>
                <w:szCs w:val="20"/>
              </w:rPr>
            </w:pPr>
          </w:p>
          <w:p w14:paraId="5F1359F9">
            <w:pPr>
              <w:snapToGrid w:val="0"/>
              <w:spacing w:line="240" w:lineRule="atLeast"/>
              <w:rPr>
                <w:rFonts w:ascii="仿宋_GB2312" w:hAnsi="仿宋_GB2312" w:eastAsia="仿宋_GB2312" w:cs="仿宋_GB2312"/>
                <w:sz w:val="20"/>
                <w:szCs w:val="20"/>
              </w:rPr>
            </w:pPr>
          </w:p>
          <w:p w14:paraId="7D3258ED">
            <w:pPr>
              <w:snapToGrid w:val="0"/>
              <w:spacing w:line="240" w:lineRule="atLeast"/>
              <w:rPr>
                <w:rFonts w:ascii="仿宋_GB2312" w:hAnsi="仿宋_GB2312" w:eastAsia="仿宋_GB2312" w:cs="仿宋_GB2312"/>
                <w:sz w:val="20"/>
                <w:szCs w:val="20"/>
              </w:rPr>
            </w:pPr>
          </w:p>
          <w:p w14:paraId="06B01F44">
            <w:pPr>
              <w:snapToGrid w:val="0"/>
              <w:spacing w:line="240" w:lineRule="atLeast"/>
              <w:rPr>
                <w:rFonts w:ascii="仿宋_GB2312" w:hAnsi="仿宋_GB2312" w:eastAsia="仿宋_GB2312" w:cs="仿宋_GB2312"/>
                <w:sz w:val="20"/>
                <w:szCs w:val="20"/>
              </w:rPr>
            </w:pPr>
          </w:p>
          <w:p w14:paraId="54649129">
            <w:pPr>
              <w:snapToGrid w:val="0"/>
              <w:spacing w:line="240" w:lineRule="atLeast"/>
              <w:rPr>
                <w:rFonts w:ascii="仿宋_GB2312" w:hAnsi="仿宋_GB2312" w:eastAsia="仿宋_GB2312" w:cs="仿宋_GB2312"/>
                <w:sz w:val="20"/>
                <w:szCs w:val="20"/>
              </w:rPr>
            </w:pPr>
          </w:p>
          <w:p w14:paraId="396D0B61">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3722AB1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735FB9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E4440F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0909E0D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规范性文件】《关于进一步加强和改进建设项目用地预审工作的通知》（国土资发〔2012〕74号）第四点第（十）条：加强用地预审跟踪监管。用地预审意见是项目审批（核准）的前置条件，也是建设用地审批的重要依据。预审意见提出的相关要求，在建设用地审批环节必须加以落实。各级国土资源主管部门应在建设用地审批的审查环节，进一步加大对预审意见落实情况的审核力度，对未能落实预审意见提出的要求的，不得通过审核，必要时应当组织专家论证。</w:t>
            </w:r>
          </w:p>
          <w:p w14:paraId="2159E96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6．【规范性文件】《关于进一步加强和改进建设项目用地预审工作的通知》（国土资发〔2012〕74号）第四点第（十）条：为进一步加强用地预审和建设用地审批的衔接，切实发挥用地预审的前置把关作用，部将不定期抽查各类用地预审制度的执行情况，国家土地督察机构将其纳入督察范围，对未按规定进行用地预审和用地预审意见落实不到位的，将依据有关规定严肃处理。</w:t>
            </w:r>
          </w:p>
          <w:p w14:paraId="2D37B5A5">
            <w:pPr>
              <w:snapToGrid w:val="0"/>
              <w:spacing w:line="240" w:lineRule="atLeast"/>
              <w:ind w:firstLine="400" w:firstLineChars="200"/>
              <w:rPr>
                <w:rFonts w:ascii="仿宋_GB2312" w:hAnsi="仿宋_GB2312" w:eastAsia="仿宋_GB2312" w:cs="仿宋_GB2312"/>
                <w:sz w:val="20"/>
                <w:szCs w:val="20"/>
              </w:rPr>
            </w:pPr>
          </w:p>
          <w:p w14:paraId="0FE605C0">
            <w:pPr>
              <w:snapToGrid w:val="0"/>
              <w:spacing w:line="240" w:lineRule="atLeast"/>
              <w:ind w:firstLine="400" w:firstLineChars="200"/>
              <w:rPr>
                <w:rFonts w:ascii="仿宋_GB2312" w:hAnsi="仿宋_GB2312" w:eastAsia="仿宋_GB2312" w:cs="仿宋_GB2312"/>
                <w:sz w:val="20"/>
                <w:szCs w:val="20"/>
              </w:rPr>
            </w:pPr>
          </w:p>
          <w:p w14:paraId="05650C85">
            <w:pPr>
              <w:snapToGrid w:val="0"/>
              <w:spacing w:line="240" w:lineRule="atLeast"/>
              <w:ind w:firstLine="400" w:firstLineChars="200"/>
              <w:rPr>
                <w:rFonts w:ascii="仿宋_GB2312" w:hAnsi="仿宋_GB2312" w:eastAsia="仿宋_GB2312" w:cs="仿宋_GB2312"/>
                <w:sz w:val="20"/>
                <w:szCs w:val="20"/>
              </w:rPr>
            </w:pPr>
          </w:p>
          <w:p w14:paraId="6383F349">
            <w:pPr>
              <w:snapToGrid w:val="0"/>
              <w:spacing w:line="240" w:lineRule="atLeast"/>
              <w:ind w:firstLine="400" w:firstLineChars="200"/>
              <w:rPr>
                <w:rFonts w:ascii="仿宋_GB2312" w:hAnsi="仿宋_GB2312" w:eastAsia="仿宋_GB2312" w:cs="仿宋_GB2312"/>
                <w:sz w:val="20"/>
                <w:szCs w:val="20"/>
              </w:rPr>
            </w:pPr>
          </w:p>
          <w:p w14:paraId="18945AA6">
            <w:pPr>
              <w:snapToGrid w:val="0"/>
              <w:spacing w:line="240" w:lineRule="atLeast"/>
              <w:ind w:firstLine="400" w:firstLineChars="200"/>
              <w:rPr>
                <w:rFonts w:ascii="仿宋_GB2312" w:hAnsi="仿宋_GB2312" w:eastAsia="仿宋_GB2312" w:cs="仿宋_GB2312"/>
                <w:sz w:val="20"/>
                <w:szCs w:val="20"/>
              </w:rPr>
            </w:pPr>
          </w:p>
          <w:p w14:paraId="3D9AE026">
            <w:pPr>
              <w:snapToGrid w:val="0"/>
              <w:spacing w:line="240" w:lineRule="atLeast"/>
              <w:ind w:firstLine="400" w:firstLineChars="200"/>
              <w:rPr>
                <w:rFonts w:ascii="仿宋_GB2312" w:hAnsi="仿宋_GB2312" w:eastAsia="仿宋_GB2312" w:cs="仿宋_GB2312"/>
                <w:sz w:val="20"/>
                <w:szCs w:val="20"/>
              </w:rPr>
            </w:pPr>
          </w:p>
          <w:p w14:paraId="7FA95BFF">
            <w:pPr>
              <w:snapToGrid w:val="0"/>
              <w:spacing w:line="240" w:lineRule="atLeast"/>
              <w:ind w:firstLine="400" w:firstLineChars="200"/>
              <w:rPr>
                <w:rFonts w:ascii="仿宋_GB2312" w:hAnsi="仿宋_GB2312" w:eastAsia="仿宋_GB2312" w:cs="仿宋_GB2312"/>
                <w:sz w:val="20"/>
                <w:szCs w:val="20"/>
              </w:rPr>
            </w:pPr>
          </w:p>
          <w:p w14:paraId="1076D85C">
            <w:pPr>
              <w:snapToGrid w:val="0"/>
              <w:spacing w:line="240" w:lineRule="atLeast"/>
              <w:ind w:firstLine="400" w:firstLineChars="200"/>
              <w:rPr>
                <w:rFonts w:ascii="仿宋_GB2312" w:hAnsi="仿宋_GB2312" w:eastAsia="仿宋_GB2312" w:cs="仿宋_GB2312"/>
                <w:sz w:val="20"/>
                <w:szCs w:val="20"/>
              </w:rPr>
            </w:pPr>
          </w:p>
          <w:p w14:paraId="375FD836">
            <w:pPr>
              <w:snapToGrid w:val="0"/>
              <w:spacing w:line="240" w:lineRule="atLeast"/>
              <w:ind w:firstLine="400" w:firstLineChars="200"/>
              <w:rPr>
                <w:rFonts w:ascii="仿宋_GB2312" w:hAnsi="仿宋_GB2312" w:eastAsia="仿宋_GB2312" w:cs="仿宋_GB2312"/>
                <w:sz w:val="20"/>
                <w:szCs w:val="20"/>
              </w:rPr>
            </w:pPr>
          </w:p>
          <w:p w14:paraId="1FDEA31B">
            <w:pPr>
              <w:snapToGrid w:val="0"/>
              <w:spacing w:line="240" w:lineRule="atLeast"/>
              <w:rPr>
                <w:rFonts w:ascii="仿宋_GB2312" w:hAnsi="仿宋_GB2312" w:eastAsia="仿宋_GB2312" w:cs="仿宋_GB2312"/>
                <w:sz w:val="20"/>
                <w:szCs w:val="20"/>
              </w:rPr>
            </w:pPr>
          </w:p>
        </w:tc>
        <w:tc>
          <w:tcPr>
            <w:tcW w:w="330" w:type="dxa"/>
            <w:vAlign w:val="center"/>
          </w:tcPr>
          <w:p w14:paraId="413724C3">
            <w:pPr>
              <w:snapToGrid w:val="0"/>
              <w:spacing w:line="240" w:lineRule="atLeast"/>
              <w:jc w:val="center"/>
              <w:rPr>
                <w:rFonts w:ascii="仿宋_GB2312" w:hAnsi="仿宋_GB2312" w:eastAsia="仿宋_GB2312" w:cs="仿宋_GB2312"/>
                <w:sz w:val="20"/>
                <w:szCs w:val="20"/>
              </w:rPr>
            </w:pPr>
          </w:p>
        </w:tc>
      </w:tr>
    </w:tbl>
    <w:p w14:paraId="08203D41"/>
    <w:tbl>
      <w:tblPr>
        <w:tblStyle w:val="5"/>
        <w:tblW w:w="22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117"/>
        <w:gridCol w:w="3975"/>
        <w:gridCol w:w="7950"/>
        <w:gridCol w:w="360"/>
      </w:tblGrid>
      <w:tr w14:paraId="5589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3F63271E">
            <w:pPr>
              <w:snapToGrid w:val="0"/>
              <w:spacing w:line="240" w:lineRule="atLeast"/>
              <w:rPr>
                <w:rFonts w:asciiTheme="majorEastAsia" w:hAnsiTheme="majorEastAsia" w:eastAsiaTheme="majorEastAsia" w:cstheme="majorEastAsia"/>
                <w:sz w:val="20"/>
                <w:szCs w:val="20"/>
              </w:rPr>
            </w:pPr>
          </w:p>
          <w:p w14:paraId="2FC62875">
            <w:pPr>
              <w:snapToGrid w:val="0"/>
              <w:spacing w:line="240" w:lineRule="atLeast"/>
              <w:rPr>
                <w:rFonts w:asciiTheme="majorEastAsia" w:hAnsiTheme="majorEastAsia" w:eastAsiaTheme="majorEastAsia" w:cstheme="majorEastAsia"/>
                <w:sz w:val="20"/>
                <w:szCs w:val="20"/>
              </w:rPr>
            </w:pPr>
          </w:p>
          <w:p w14:paraId="5DB9510B">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0E970F37">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2BDD4B0A">
            <w:pPr>
              <w:spacing w:line="240" w:lineRule="atLeast"/>
              <w:rPr>
                <w:rFonts w:asciiTheme="majorEastAsia" w:hAnsiTheme="majorEastAsia" w:eastAsiaTheme="majorEastAsia" w:cstheme="majorEastAsia"/>
                <w:sz w:val="20"/>
                <w:szCs w:val="20"/>
              </w:rPr>
            </w:pPr>
          </w:p>
          <w:p w14:paraId="175CD342">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47" w:type="dxa"/>
            <w:gridSpan w:val="5"/>
          </w:tcPr>
          <w:p w14:paraId="35CC04B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285" w:type="dxa"/>
            <w:gridSpan w:val="3"/>
            <w:vAlign w:val="center"/>
          </w:tcPr>
          <w:p w14:paraId="09391D96">
            <w:pPr>
              <w:snapToGrid w:val="0"/>
              <w:spacing w:line="240" w:lineRule="atLeast"/>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责任清单</w:t>
            </w:r>
          </w:p>
        </w:tc>
      </w:tr>
      <w:tr w14:paraId="750F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15D4795E">
            <w:pPr>
              <w:spacing w:line="240" w:lineRule="atLeast"/>
              <w:jc w:val="left"/>
              <w:rPr>
                <w:rFonts w:ascii="仿宋_GB2312" w:hAnsi="仿宋_GB2312" w:eastAsia="仿宋_GB2312" w:cs="仿宋_GB2312"/>
                <w:sz w:val="20"/>
                <w:szCs w:val="20"/>
              </w:rPr>
            </w:pPr>
          </w:p>
        </w:tc>
        <w:tc>
          <w:tcPr>
            <w:tcW w:w="619" w:type="dxa"/>
            <w:vMerge w:val="continue"/>
          </w:tcPr>
          <w:p w14:paraId="507AC844">
            <w:pPr>
              <w:spacing w:line="240" w:lineRule="atLeast"/>
              <w:jc w:val="left"/>
              <w:rPr>
                <w:rFonts w:ascii="仿宋_GB2312" w:hAnsi="仿宋_GB2312" w:eastAsia="仿宋_GB2312" w:cs="仿宋_GB2312"/>
                <w:sz w:val="20"/>
                <w:szCs w:val="20"/>
              </w:rPr>
            </w:pPr>
          </w:p>
        </w:tc>
        <w:tc>
          <w:tcPr>
            <w:tcW w:w="645" w:type="dxa"/>
            <w:vAlign w:val="center"/>
          </w:tcPr>
          <w:p w14:paraId="15332B3D">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18250EC0">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1EB182BD">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4A97DB77">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117" w:type="dxa"/>
            <w:vAlign w:val="center"/>
          </w:tcPr>
          <w:p w14:paraId="46BB712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975" w:type="dxa"/>
            <w:vAlign w:val="center"/>
          </w:tcPr>
          <w:p w14:paraId="178C9A6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F8AD1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950" w:type="dxa"/>
            <w:vAlign w:val="center"/>
          </w:tcPr>
          <w:p w14:paraId="5308865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60" w:type="dxa"/>
          </w:tcPr>
          <w:p w14:paraId="5FCB7E67">
            <w:pPr>
              <w:spacing w:line="240" w:lineRule="atLeast"/>
              <w:jc w:val="left"/>
              <w:rPr>
                <w:rFonts w:ascii="仿宋_GB2312" w:hAnsi="仿宋_GB2312" w:eastAsia="仿宋_GB2312" w:cs="仿宋_GB2312"/>
                <w:sz w:val="20"/>
                <w:szCs w:val="20"/>
              </w:rPr>
            </w:pPr>
            <w:r>
              <w:rPr>
                <w:rFonts w:hint="eastAsia" w:ascii="仿宋_GB2312" w:hAnsi="仿宋_GB2312" w:eastAsia="仿宋_GB2312" w:cs="仿宋_GB2312"/>
                <w:sz w:val="20"/>
                <w:szCs w:val="20"/>
              </w:rPr>
              <w:t>备注</w:t>
            </w:r>
          </w:p>
        </w:tc>
      </w:tr>
      <w:tr w14:paraId="173A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2" w:hRule="atLeast"/>
        </w:trPr>
        <w:tc>
          <w:tcPr>
            <w:tcW w:w="376" w:type="dxa"/>
            <w:vAlign w:val="center"/>
          </w:tcPr>
          <w:p w14:paraId="0F64212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619" w:type="dxa"/>
            <w:vAlign w:val="center"/>
          </w:tcPr>
          <w:p w14:paraId="0858FF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D3531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028D7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0842F7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688B663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建设项目选址意见书核发</w:t>
            </w:r>
          </w:p>
        </w:tc>
        <w:tc>
          <w:tcPr>
            <w:tcW w:w="600" w:type="dxa"/>
            <w:vAlign w:val="center"/>
          </w:tcPr>
          <w:p w14:paraId="4BB3E019">
            <w:pPr>
              <w:snapToGrid w:val="0"/>
              <w:spacing w:line="240" w:lineRule="atLeast"/>
              <w:jc w:val="center"/>
              <w:rPr>
                <w:rFonts w:ascii="仿宋_GB2312" w:hAnsi="仿宋_GB2312" w:eastAsia="仿宋_GB2312" w:cs="仿宋_GB2312"/>
                <w:sz w:val="20"/>
                <w:szCs w:val="20"/>
              </w:rPr>
            </w:pPr>
          </w:p>
        </w:tc>
        <w:tc>
          <w:tcPr>
            <w:tcW w:w="660" w:type="dxa"/>
            <w:vAlign w:val="center"/>
          </w:tcPr>
          <w:p w14:paraId="51D1BA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7F100F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117" w:type="dxa"/>
            <w:vAlign w:val="center"/>
          </w:tcPr>
          <w:p w14:paraId="558A001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三十六条：按照国家规定需要有关部门批准或者核准的建设项目，以划拨方式提供国有土地使用权的，建设单位在报送有关部门批准或者核准前，应当向城乡规划主管部门申请核发选址意见书。</w:t>
            </w:r>
          </w:p>
          <w:p w14:paraId="08E2FF7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二十四条：按照国家规定需要有关部门批准或者核准的建设项目，以划拨方式提供国有土地使用权的，建设单位应当在报送有关部门审批、核准前，持以下材料向审批、核准部门的同级城乡规划主管部门申请核发选址意见书。</w:t>
            </w:r>
          </w:p>
        </w:tc>
        <w:tc>
          <w:tcPr>
            <w:tcW w:w="3975" w:type="dxa"/>
            <w:vAlign w:val="center"/>
          </w:tcPr>
          <w:p w14:paraId="3A00FE48">
            <w:pPr>
              <w:snapToGrid w:val="0"/>
              <w:spacing w:line="240" w:lineRule="atLeast"/>
              <w:ind w:firstLine="400" w:firstLineChars="200"/>
              <w:jc w:val="left"/>
              <w:rPr>
                <w:rFonts w:ascii="仿宋_GB2312" w:hAnsi="仿宋_GB2312" w:eastAsia="仿宋_GB2312" w:cs="仿宋_GB2312"/>
                <w:sz w:val="20"/>
                <w:szCs w:val="20"/>
              </w:rPr>
            </w:pPr>
            <w:r>
              <w:rPr>
                <w:rFonts w:hint="eastAsia" w:ascii="仿宋_GB2312" w:hAnsi="仿宋_GB2312" w:eastAsia="仿宋_GB2312" w:cs="仿宋_GB2312"/>
                <w:sz w:val="20"/>
                <w:szCs w:val="20"/>
              </w:rPr>
              <w:t>1．受理阶段责任：在办公场所公示依法应当提交的材料；一次性告知补正材料；依法受理或不予受理（不予受理应当告知理由）。</w:t>
            </w:r>
          </w:p>
          <w:p w14:paraId="0D001D91">
            <w:pPr>
              <w:snapToGrid w:val="0"/>
              <w:spacing w:line="240" w:lineRule="atLeast"/>
              <w:jc w:val="lef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2．审查阶段责任：材料审核；提出审查意见。</w:t>
            </w:r>
          </w:p>
          <w:p w14:paraId="50C09B08">
            <w:pPr>
              <w:snapToGrid w:val="0"/>
              <w:spacing w:line="240" w:lineRule="atLeast"/>
              <w:jc w:val="lef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3．决定阶段责任：作出决定（不予行政许可的应当告知理由）；按时办结。</w:t>
            </w:r>
          </w:p>
          <w:p w14:paraId="7F5F702C">
            <w:pPr>
              <w:snapToGrid w:val="0"/>
              <w:spacing w:line="240" w:lineRule="atLeast"/>
              <w:jc w:val="lef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4．送达阶段责任：制发送达建设项目选址意见书；信息公开。</w:t>
            </w:r>
          </w:p>
          <w:p w14:paraId="7C8B8F72">
            <w:pPr>
              <w:snapToGrid w:val="0"/>
              <w:spacing w:line="240" w:lineRule="atLeast"/>
              <w:jc w:val="left"/>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5．事后监管责任：建立健全监督制度，对被许可人从事行政许可事项进行监督检查。</w:t>
            </w:r>
          </w:p>
          <w:p w14:paraId="7DC31D2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6．法律法规规定的其他责任。</w:t>
            </w:r>
          </w:p>
        </w:tc>
        <w:tc>
          <w:tcPr>
            <w:tcW w:w="7950" w:type="dxa"/>
            <w:vAlign w:val="center"/>
          </w:tcPr>
          <w:p w14:paraId="667AD827">
            <w:pPr>
              <w:widowControl/>
              <w:adjustRightInd w:val="0"/>
              <w:snapToGrid w:val="0"/>
              <w:spacing w:line="240" w:lineRule="atLeas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7B6EB045">
            <w:pPr>
              <w:widowControl/>
              <w:adjustRightInd w:val="0"/>
              <w:snapToGrid w:val="0"/>
              <w:spacing w:line="240" w:lineRule="atLeas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3AD53B0">
            <w:pPr>
              <w:widowControl/>
              <w:adjustRightInd w:val="0"/>
              <w:snapToGrid w:val="0"/>
              <w:spacing w:line="240" w:lineRule="atLeas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2222346">
            <w:pPr>
              <w:widowControl/>
              <w:adjustRightInd w:val="0"/>
              <w:snapToGrid w:val="0"/>
              <w:spacing w:line="240" w:lineRule="atLeas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769C8DF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城乡规划法》第五十七条城乡规划主管部门违反本法规定作出行政许可的，上级人民政府城乡规划主管部门有权责令其撤销或者直接撤销该行政许可。因撤销行政许可给当事人合法权益造成损失的，应当依法给予赔偿。</w:t>
            </w:r>
          </w:p>
        </w:tc>
        <w:tc>
          <w:tcPr>
            <w:tcW w:w="360" w:type="dxa"/>
            <w:vAlign w:val="center"/>
          </w:tcPr>
          <w:p w14:paraId="355F006E">
            <w:pPr>
              <w:snapToGrid w:val="0"/>
              <w:spacing w:line="240" w:lineRule="atLeast"/>
              <w:jc w:val="center"/>
              <w:rPr>
                <w:rFonts w:ascii="仿宋_GB2312" w:hAnsi="仿宋_GB2312" w:eastAsia="仿宋_GB2312" w:cs="仿宋_GB2312"/>
                <w:sz w:val="20"/>
                <w:szCs w:val="20"/>
              </w:rPr>
            </w:pPr>
          </w:p>
        </w:tc>
      </w:tr>
    </w:tbl>
    <w:p w14:paraId="2801D0F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8667"/>
        <w:gridCol w:w="2895"/>
        <w:gridCol w:w="6453"/>
        <w:gridCol w:w="330"/>
      </w:tblGrid>
      <w:tr w14:paraId="4F74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7E5EF798">
            <w:pPr>
              <w:snapToGrid w:val="0"/>
              <w:spacing w:line="240" w:lineRule="atLeast"/>
              <w:rPr>
                <w:rFonts w:asciiTheme="majorEastAsia" w:hAnsiTheme="majorEastAsia" w:eastAsiaTheme="majorEastAsia" w:cstheme="majorEastAsia"/>
                <w:sz w:val="20"/>
                <w:szCs w:val="20"/>
              </w:rPr>
            </w:pPr>
          </w:p>
          <w:p w14:paraId="560D907B">
            <w:pPr>
              <w:snapToGrid w:val="0"/>
              <w:spacing w:line="240" w:lineRule="atLeast"/>
              <w:rPr>
                <w:rFonts w:asciiTheme="majorEastAsia" w:hAnsiTheme="majorEastAsia" w:eastAsiaTheme="majorEastAsia" w:cstheme="majorEastAsia"/>
                <w:sz w:val="20"/>
                <w:szCs w:val="20"/>
              </w:rPr>
            </w:pPr>
          </w:p>
          <w:p w14:paraId="7E86060F">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53146260">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70F2119E">
            <w:pPr>
              <w:spacing w:line="240" w:lineRule="atLeast"/>
              <w:rPr>
                <w:rFonts w:asciiTheme="majorEastAsia" w:hAnsiTheme="majorEastAsia" w:eastAsiaTheme="majorEastAsia" w:cstheme="majorEastAsia"/>
                <w:sz w:val="20"/>
                <w:szCs w:val="20"/>
              </w:rPr>
            </w:pPr>
          </w:p>
          <w:p w14:paraId="6F050DB8">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11697" w:type="dxa"/>
            <w:gridSpan w:val="5"/>
          </w:tcPr>
          <w:p w14:paraId="250D178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9348" w:type="dxa"/>
            <w:gridSpan w:val="2"/>
          </w:tcPr>
          <w:p w14:paraId="392B951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E41317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562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39C4A2A8">
            <w:pPr>
              <w:spacing w:line="240" w:lineRule="atLeast"/>
              <w:jc w:val="left"/>
              <w:rPr>
                <w:rFonts w:ascii="仿宋_GB2312" w:hAnsi="仿宋_GB2312" w:eastAsia="仿宋_GB2312" w:cs="仿宋_GB2312"/>
                <w:sz w:val="20"/>
                <w:szCs w:val="20"/>
              </w:rPr>
            </w:pPr>
          </w:p>
        </w:tc>
        <w:tc>
          <w:tcPr>
            <w:tcW w:w="619" w:type="dxa"/>
            <w:vMerge w:val="continue"/>
          </w:tcPr>
          <w:p w14:paraId="75F4C1E6">
            <w:pPr>
              <w:spacing w:line="240" w:lineRule="atLeast"/>
              <w:jc w:val="left"/>
              <w:rPr>
                <w:rFonts w:ascii="仿宋_GB2312" w:hAnsi="仿宋_GB2312" w:eastAsia="仿宋_GB2312" w:cs="仿宋_GB2312"/>
                <w:sz w:val="20"/>
                <w:szCs w:val="20"/>
              </w:rPr>
            </w:pPr>
          </w:p>
        </w:tc>
        <w:tc>
          <w:tcPr>
            <w:tcW w:w="645" w:type="dxa"/>
            <w:vAlign w:val="center"/>
          </w:tcPr>
          <w:p w14:paraId="6F634AD7">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3AB83688">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18D7A143">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072A1F93">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8667" w:type="dxa"/>
            <w:vAlign w:val="center"/>
          </w:tcPr>
          <w:p w14:paraId="685958F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2895" w:type="dxa"/>
            <w:vAlign w:val="center"/>
          </w:tcPr>
          <w:p w14:paraId="6BC0AC5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1E6BA3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453" w:type="dxa"/>
            <w:vAlign w:val="center"/>
          </w:tcPr>
          <w:p w14:paraId="43F68C6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86513D8">
            <w:pPr>
              <w:spacing w:line="240" w:lineRule="atLeast"/>
              <w:jc w:val="left"/>
              <w:rPr>
                <w:rFonts w:ascii="仿宋_GB2312" w:hAnsi="仿宋_GB2312" w:eastAsia="仿宋_GB2312" w:cs="仿宋_GB2312"/>
                <w:sz w:val="20"/>
                <w:szCs w:val="20"/>
              </w:rPr>
            </w:pPr>
          </w:p>
        </w:tc>
      </w:tr>
      <w:tr w14:paraId="2DC4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376" w:type="dxa"/>
            <w:vAlign w:val="center"/>
          </w:tcPr>
          <w:p w14:paraId="4B53FD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619" w:type="dxa"/>
            <w:vAlign w:val="center"/>
          </w:tcPr>
          <w:p w14:paraId="788D5E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6A79D4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5F5F6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0F51D6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6466125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开采矿产资源审批</w:t>
            </w:r>
          </w:p>
        </w:tc>
        <w:tc>
          <w:tcPr>
            <w:tcW w:w="600" w:type="dxa"/>
            <w:vAlign w:val="center"/>
          </w:tcPr>
          <w:p w14:paraId="52F27618">
            <w:pPr>
              <w:snapToGrid w:val="0"/>
              <w:spacing w:line="240" w:lineRule="atLeast"/>
              <w:jc w:val="center"/>
              <w:rPr>
                <w:rFonts w:ascii="仿宋_GB2312" w:hAnsi="仿宋_GB2312" w:eastAsia="仿宋_GB2312" w:cs="仿宋_GB2312"/>
                <w:sz w:val="20"/>
                <w:szCs w:val="20"/>
              </w:rPr>
            </w:pPr>
          </w:p>
        </w:tc>
        <w:tc>
          <w:tcPr>
            <w:tcW w:w="660" w:type="dxa"/>
            <w:vAlign w:val="center"/>
          </w:tcPr>
          <w:p w14:paraId="789A02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086A6CB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8667" w:type="dxa"/>
            <w:vAlign w:val="center"/>
          </w:tcPr>
          <w:p w14:paraId="60DA7982">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1.【法律】《中华人民共和国矿产资源法》第三条第三款 ： 勘查、开采矿产资源，必须依法分别申请、经批准取得探矿权、采矿权，并办理登记；但是，已经依法申请取得采矿权的矿山企业在划定的矿区范围内为本企业的生产而进行的勘查除外。</w:t>
            </w:r>
          </w:p>
          <w:p w14:paraId="5977886D">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第六条： 除按下列规定可以转让外，探矿权、采矿权不得转让：……（二）已取得采矿权的矿山企业，因企业合并、分立，与他人合资、合作经营，或者因企业资产出售以及有其他变更企业资产产权的情形而需要变更采矿权主体的，经依法批准可以将采矿权转让他人采矿。前款规定的具体办法和施行步骤由国务院规定。</w:t>
            </w:r>
          </w:p>
          <w:p w14:paraId="6D34721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第十八条：矿山企业变更矿区范围，必须报请原审批机关批准，并报请原颁发采矿许可证的机关重新核发采矿许可证。</w:t>
            </w:r>
          </w:p>
          <w:p w14:paraId="4893D9D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第二十一条：关闭矿山，必须提出矿山闭坑报告及有关采掘工程、</w:t>
            </w:r>
            <w:r>
              <w:rPr>
                <w:rFonts w:hint="eastAsia" w:eastAsia="仿宋_GB2312"/>
                <w:snapToGrid w:val="0"/>
                <w:color w:val="000000"/>
                <w:sz w:val="20"/>
                <w:szCs w:val="20"/>
                <w:lang w:eastAsia="zh-CN"/>
              </w:rPr>
              <w:t>安全隐患</w:t>
            </w:r>
            <w:r>
              <w:rPr>
                <w:rFonts w:hint="eastAsia" w:eastAsia="仿宋_GB2312"/>
                <w:snapToGrid w:val="0"/>
                <w:color w:val="000000"/>
                <w:sz w:val="20"/>
                <w:szCs w:val="20"/>
              </w:rPr>
              <w:t>、土地复垦利用、环境保护的资料，并按照国家规定报请审查批准。</w:t>
            </w:r>
          </w:p>
          <w:p w14:paraId="0F93DA33">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矿产资源开采登记管理办法》（1998年国务院令第241号公布，2014年国务院令第653号修订）第三条第三款：开采下列矿产资源，由省、自治区、直辖市人民政府地质矿产主管部门审批登记，颁发采矿许可证：（一）本条第一款、第二款规定以外的矿产储量规模中型以上的矿产资源；（二）国务院地质矿产主管部门授权省、自治区、直辖市人民政府地质矿产主管部门审批登记的矿产资源。</w:t>
            </w:r>
          </w:p>
          <w:p w14:paraId="3A3AEE3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条第四款：开采本条第一款、第二款、第三款规定以外的矿产资源，由县级以上地方人民政府负责地质矿产管理工作的部门，按照省、自治区、直辖市人民代表大会常务委员会制定的管理办法审批登记，颁发采矿许可证。</w:t>
            </w:r>
          </w:p>
          <w:p w14:paraId="6F821A5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第三条第五款：矿区范围跨县级以上行政区域的，由所涉及行政区域的共同上一级登记管理机关审批登记，颁发采矿许可证。</w:t>
            </w:r>
          </w:p>
          <w:p w14:paraId="311842FE">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第四条：采矿权申请人在提出采矿权申请前，应当根据经批准的地质勘查储量报告，向登记管理机关申请划定矿区范围。需要申请立项，设立矿山企业的，应当根据划定的矿区范围，按照国家规定办理有关手续。</w:t>
            </w:r>
          </w:p>
          <w:p w14:paraId="3AE35DE2">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条第一款：采矿许可证有效期，按照矿山建设规模确定：大型以上的，采矿许可证有效期最长为30年；中型的，采矿许可证有效期最长为20年；小型的，采矿许可证有效期最长为10年。采矿许可证有效期满，需要继续采矿的，采矿权人应当在采矿许可证有效期届满的30日前，到登记管理机关办理延续登记手续。</w:t>
            </w:r>
          </w:p>
          <w:p w14:paraId="7E41A2E8">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五条：有下列情形之一的，采矿权人应当在采矿许可证有效期内，向登记管理机关申请变更登记：（一）变更矿区范围的；（二）变更主要开采矿种的；（三）变更开采方式的；（四）变更矿山企业名称的；（五）经依法批准转让采矿权的。</w:t>
            </w:r>
          </w:p>
          <w:p w14:paraId="026F710D">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第十六条：采矿权人在采矿许可证有效期内或有效期届满，停办、关闭矿山的，应当自决定停办或关闭矿山之日起30日内，向原发证机关申请办理采矿许可证注销登记手续。</w:t>
            </w:r>
          </w:p>
          <w:p w14:paraId="057331B2">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3.【行政法规】《探矿权采矿权转让管理办法》（1998年国务院令第242号公布，2014年国务院令第653号修订）第四条： 国务院地质矿产主管部门和省、自治区、直辖市人民政府地质矿产主管部门是探矿权、采矿权转让的审批管理机关。国务院地质矿产主管部门负责由其审批发证的探矿权、采矿权转让的审批。省、自治区、直辖市人民政府地质矿产主管部门负责本条第二款规定以外的探矿权、采矿权转让的审批。</w:t>
            </w:r>
          </w:p>
          <w:p w14:paraId="3916B503">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地方性法规】《广西壮族自治区矿产资源管理条例》（2000年12月2日广西壮族自治区第九届人民代表大会常务委员会第二十一次会议通过，根据2016年11月30日广西壮族自治区第十二届人民代表大会常务委员会第二十六次会议《关于废止和修改部分地方性法规的决定》修正）第十八条： 开采矿产资源，应当向县级以上地质矿产主管部门办理采矿登记手续，取得采矿许可证……</w:t>
            </w:r>
          </w:p>
          <w:p w14:paraId="372384B4">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第二十一条第一款：采矿权申请人在提出采矿权申请前，应当持经批准的勘查报告或者地质资料，按照本条例第二十条规定的权限向地质矿产主管部门申请划定矿区范围。</w:t>
            </w:r>
          </w:p>
          <w:p w14:paraId="1BAA3138">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六条第一款：采矿许可证有效期，按照矿山建设规模确定：大型以上的，采矿许可证有效期最长为30年；中型的，采矿许可证有效期最长为20年；小型的，采矿许可证有效期最长为10年。采矿许可证有效期满，需要继续采矿的，采矿权人应当在采矿许可证有效期届满的30日前，到原发证机关办理延续登记手续。发证机关应在接到报告之日起15日内审批完毕。</w:t>
            </w:r>
          </w:p>
          <w:p w14:paraId="7000A64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第二十七条：在采矿许可证有效期内，有下列情形之一的，采矿权人应当在变更前向地质矿产主管部门申请办</w:t>
            </w:r>
            <w:r>
              <w:rPr>
                <w:rFonts w:hint="eastAsia" w:eastAsia="仿宋_GB2312"/>
                <w:snapToGrid w:val="0"/>
                <w:color w:val="000000"/>
                <w:spacing w:val="-2"/>
                <w:sz w:val="20"/>
                <w:szCs w:val="20"/>
              </w:rPr>
              <w:t>理变更登记：（一）变更矿区范围的；（二）变更主要开采矿种的；（三）变更开采方式的；（四）变更矿山企业名称的；（五）经依法批准转让采矿权的；（六）变更生产规模的。</w:t>
            </w:r>
          </w:p>
          <w:p w14:paraId="67E46690">
            <w:pPr>
              <w:snapToGrid w:val="0"/>
              <w:spacing w:line="240" w:lineRule="exact"/>
              <w:rPr>
                <w:rFonts w:ascii="仿宋_GB2312" w:hAnsi="仿宋_GB2312" w:eastAsia="仿宋_GB2312" w:cs="仿宋_GB2312"/>
                <w:sz w:val="20"/>
                <w:szCs w:val="20"/>
              </w:rPr>
            </w:pPr>
            <w:r>
              <w:rPr>
                <w:rFonts w:hint="eastAsia" w:eastAsia="仿宋_GB2312"/>
                <w:snapToGrid w:val="0"/>
                <w:color w:val="000000"/>
                <w:sz w:val="20"/>
                <w:szCs w:val="20"/>
              </w:rPr>
              <w:t>第二十八条：采矿权人在采矿许可证有效期内或者有</w:t>
            </w:r>
            <w:r>
              <w:rPr>
                <w:rFonts w:hint="eastAsia" w:eastAsia="仿宋_GB2312"/>
                <w:snapToGrid w:val="0"/>
                <w:color w:val="000000"/>
                <w:spacing w:val="-2"/>
                <w:sz w:val="20"/>
                <w:szCs w:val="20"/>
              </w:rPr>
              <w:t>效期届满，停办、关闭矿山的，应当自决定停办或者关闭矿山之日起30日内，向原发证机关申请办理采矿许可证注销登记手续。发证机关应在接到报告之日起15日内审批完毕。</w:t>
            </w:r>
          </w:p>
        </w:tc>
        <w:tc>
          <w:tcPr>
            <w:tcW w:w="2895" w:type="dxa"/>
            <w:vAlign w:val="center"/>
          </w:tcPr>
          <w:p w14:paraId="5F0DC5C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1.受理责任：公示依法应当提交的材料，一次性告知补正材料，依法受理或不予受理（不予受理应当告知理由）。</w:t>
            </w:r>
          </w:p>
          <w:p w14:paraId="3AC0959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2.审查责任：对申请材料进行审查、提出审查意见。</w:t>
            </w:r>
          </w:p>
          <w:p w14:paraId="647F3A2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3.决定责任：作出行政许可或者不予行政许可决定，法定告知（不予批准的要说明理由）。</w:t>
            </w:r>
          </w:p>
          <w:p w14:paraId="664B240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4．送达责任：依法制作采矿许可证、采矿登记通知等材料并送达。</w:t>
            </w:r>
          </w:p>
          <w:p w14:paraId="215248F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前事后监管责任：（1）采矿权延续登记前置相关材料组织审查等工作；（2）涉及的矿业权价出让收益评估管理有关工作；（3）取得采矿许可证后开展定期和不定期检查，根据检查情况，依法采取相关处置措施。</w:t>
            </w:r>
          </w:p>
          <w:p w14:paraId="30F15C5D">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6453" w:type="dxa"/>
            <w:vAlign w:val="center"/>
          </w:tcPr>
          <w:p w14:paraId="34A9EF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618F853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1D97017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35418E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行政法规】《矿产资源开采登记管理办法》（1998年国务院令第241号公布，2014年国务院令第653号修订）第六条第一款：登记管理机关应当自收到申请之日起40日内，作出准予登记或不予登记的决定，并通知采矿权申请人。</w:t>
            </w:r>
          </w:p>
          <w:p w14:paraId="49CB63D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第二十五条：审批管理机关工作人员徇私舞弊、滥用职权、玩忽职守、构成犯罪的，依法追究刑事责任；尚不构成犯罪的，依法给予行政处分。</w:t>
            </w:r>
          </w:p>
          <w:p w14:paraId="42F5616D">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5．【地方性法规】《广西壮族自治区矿产资源管理条例》（2000年12月2日广西壮族自治区第九届人民代表大会常务委员会第二十一次会议通过，根据2016年11月30日广西壮族自治区第十二届人民代表大会常务委员会第二十六次会议《关于废止和修改部分地方性法规的决定》修正）第八条：县级以上地质矿产主管部门负责本行政区域内矿产资源勘查、开采的监督管理工作，有关主管部门协助同级地质矿产主管部门做好矿产资源勘查、开采的监督管理工作。</w:t>
            </w:r>
          </w:p>
        </w:tc>
        <w:tc>
          <w:tcPr>
            <w:tcW w:w="330" w:type="dxa"/>
            <w:vAlign w:val="center"/>
          </w:tcPr>
          <w:p w14:paraId="32AA538A">
            <w:pPr>
              <w:snapToGrid w:val="0"/>
              <w:spacing w:line="240" w:lineRule="atLeast"/>
              <w:jc w:val="center"/>
              <w:rPr>
                <w:rFonts w:ascii="仿宋_GB2312" w:hAnsi="仿宋_GB2312" w:eastAsia="仿宋_GB2312" w:cs="仿宋_GB2312"/>
                <w:sz w:val="20"/>
                <w:szCs w:val="20"/>
              </w:rPr>
            </w:pPr>
          </w:p>
        </w:tc>
      </w:tr>
    </w:tbl>
    <w:p w14:paraId="54A6410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7122"/>
        <w:gridCol w:w="3135"/>
        <w:gridCol w:w="7758"/>
        <w:gridCol w:w="330"/>
      </w:tblGrid>
      <w:tr w14:paraId="2B48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43FEF4">
            <w:pPr>
              <w:snapToGrid w:val="0"/>
              <w:spacing w:line="240" w:lineRule="atLeast"/>
              <w:jc w:val="left"/>
              <w:rPr>
                <w:rFonts w:asciiTheme="majorEastAsia" w:hAnsiTheme="majorEastAsia" w:eastAsiaTheme="majorEastAsia" w:cstheme="majorEastAsia"/>
                <w:spacing w:val="-23"/>
                <w:sz w:val="20"/>
                <w:szCs w:val="20"/>
              </w:rPr>
            </w:pPr>
          </w:p>
          <w:p w14:paraId="1419E2C7">
            <w:pPr>
              <w:snapToGrid w:val="0"/>
              <w:spacing w:line="240" w:lineRule="atLeast"/>
              <w:jc w:val="left"/>
              <w:rPr>
                <w:rFonts w:asciiTheme="majorEastAsia" w:hAnsiTheme="majorEastAsia" w:eastAsiaTheme="majorEastAsia" w:cstheme="majorEastAsia"/>
                <w:spacing w:val="-23"/>
                <w:sz w:val="20"/>
                <w:szCs w:val="20"/>
              </w:rPr>
            </w:pPr>
          </w:p>
          <w:p w14:paraId="0C8742AA">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F46A9AD">
            <w:pPr>
              <w:spacing w:line="240" w:lineRule="atLeast"/>
              <w:rPr>
                <w:rFonts w:asciiTheme="majorEastAsia" w:hAnsiTheme="majorEastAsia" w:eastAsiaTheme="majorEastAsia" w:cstheme="majorEastAsia"/>
                <w:spacing w:val="-20"/>
                <w:sz w:val="20"/>
                <w:szCs w:val="20"/>
              </w:rPr>
            </w:pPr>
          </w:p>
          <w:p w14:paraId="56581E4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981" w:type="dxa"/>
            <w:gridSpan w:val="5"/>
          </w:tcPr>
          <w:p w14:paraId="7287221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893" w:type="dxa"/>
            <w:gridSpan w:val="2"/>
          </w:tcPr>
          <w:p w14:paraId="329EFB6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4AD723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482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69A4648">
            <w:pPr>
              <w:spacing w:line="240" w:lineRule="atLeast"/>
              <w:jc w:val="left"/>
              <w:rPr>
                <w:rFonts w:ascii="仿宋_GB2312" w:hAnsi="仿宋_GB2312" w:eastAsia="仿宋_GB2312" w:cs="仿宋_GB2312"/>
                <w:sz w:val="20"/>
                <w:szCs w:val="20"/>
              </w:rPr>
            </w:pPr>
          </w:p>
        </w:tc>
        <w:tc>
          <w:tcPr>
            <w:tcW w:w="555" w:type="dxa"/>
            <w:vMerge w:val="continue"/>
          </w:tcPr>
          <w:p w14:paraId="0E676CFC">
            <w:pPr>
              <w:spacing w:line="240" w:lineRule="atLeast"/>
              <w:jc w:val="left"/>
              <w:rPr>
                <w:rFonts w:ascii="仿宋_GB2312" w:hAnsi="仿宋_GB2312" w:eastAsia="仿宋_GB2312" w:cs="仿宋_GB2312"/>
                <w:sz w:val="20"/>
                <w:szCs w:val="20"/>
              </w:rPr>
            </w:pPr>
          </w:p>
        </w:tc>
        <w:tc>
          <w:tcPr>
            <w:tcW w:w="600" w:type="dxa"/>
            <w:vAlign w:val="center"/>
          </w:tcPr>
          <w:p w14:paraId="6A71FDE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033712A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437C5DDF">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3448B5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7122" w:type="dxa"/>
            <w:vAlign w:val="center"/>
          </w:tcPr>
          <w:p w14:paraId="3E6670F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135" w:type="dxa"/>
            <w:vAlign w:val="center"/>
          </w:tcPr>
          <w:p w14:paraId="6104F14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07E3B7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758" w:type="dxa"/>
            <w:vAlign w:val="center"/>
          </w:tcPr>
          <w:p w14:paraId="572A64D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DADB8DA">
            <w:pPr>
              <w:spacing w:line="240" w:lineRule="atLeast"/>
              <w:jc w:val="left"/>
              <w:rPr>
                <w:rFonts w:ascii="仿宋_GB2312" w:hAnsi="仿宋_GB2312" w:eastAsia="仿宋_GB2312" w:cs="仿宋_GB2312"/>
                <w:sz w:val="20"/>
                <w:szCs w:val="20"/>
              </w:rPr>
            </w:pPr>
          </w:p>
        </w:tc>
      </w:tr>
      <w:tr w14:paraId="5368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797D95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555" w:type="dxa"/>
            <w:vAlign w:val="center"/>
          </w:tcPr>
          <w:p w14:paraId="172974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AB724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81132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235F62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44913E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开采矿产资源划定矿区范围批准</w:t>
            </w:r>
          </w:p>
        </w:tc>
        <w:tc>
          <w:tcPr>
            <w:tcW w:w="645" w:type="dxa"/>
            <w:vAlign w:val="center"/>
          </w:tcPr>
          <w:p w14:paraId="5B7F10EC">
            <w:pPr>
              <w:snapToGrid w:val="0"/>
              <w:spacing w:line="240" w:lineRule="atLeast"/>
              <w:jc w:val="center"/>
              <w:rPr>
                <w:rFonts w:ascii="仿宋_GB2312" w:hAnsi="仿宋_GB2312" w:eastAsia="仿宋_GB2312" w:cs="仿宋_GB2312"/>
                <w:sz w:val="20"/>
                <w:szCs w:val="20"/>
              </w:rPr>
            </w:pPr>
          </w:p>
        </w:tc>
        <w:tc>
          <w:tcPr>
            <w:tcW w:w="585" w:type="dxa"/>
            <w:vAlign w:val="center"/>
          </w:tcPr>
          <w:p w14:paraId="056260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19537C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7122" w:type="dxa"/>
            <w:vAlign w:val="center"/>
          </w:tcPr>
          <w:p w14:paraId="64CD7C4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1.【法规】《矿产资源开采登记管理办法》（1998年2月12日国务院令第241号发布，自发布之日起施行，2014年7月29日予以修改）第四条  采矿权申请人在提出采矿权申请前，应当根据经批准的地质勘查储量报告，向登记管理机关申请划定矿区范围。需要申请立项，设立矿山企业的，应当根据划定的矿区范围，按照国家规定办理有关手续。</w:t>
            </w:r>
          </w:p>
          <w:p w14:paraId="4E61899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法规】《广西壮族自治区矿产资源管理条例》（2000年12月2日广西壮族自治区第九届人民代表大会常务委员会第二十一次会议通过，自2001年1月1日起施行，根据2016年11月30日广西壮族自治区第十二届人民代表大会常务委员会第二十六次会议《关于废止和修改部分地方性法规的决定》修正）第二十一条  采矿权申请人在提出采矿权申请前，应当持经批准的勘查报告或者地质资料，按照本条例第二十条规定的权限向地质矿产主管部门申请划定矿区范围。</w:t>
            </w:r>
          </w:p>
          <w:p w14:paraId="575A2FD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地质矿产主管部门在划定矿区范围时，认为申请的矿区范围需要实测的，采矿权申请人应当聘请具有测绘资格的单位实地勘测。</w:t>
            </w:r>
          </w:p>
          <w:p w14:paraId="78BC62C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需要申请立项，设立矿山企业的，应当根据划定的矿区范围，按照国家有关规定办理有关手续。</w:t>
            </w:r>
          </w:p>
        </w:tc>
        <w:tc>
          <w:tcPr>
            <w:tcW w:w="3135" w:type="dxa"/>
            <w:vAlign w:val="center"/>
          </w:tcPr>
          <w:p w14:paraId="39D2A2D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1.受理责任：公示依法应当提交的材料，一次性告知补正材料，依法受理或不予受理（不予受理应当告知理由）。</w:t>
            </w:r>
          </w:p>
          <w:p w14:paraId="578480E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2.审查责任：对申请材料进行审查、提出审查意见。</w:t>
            </w:r>
          </w:p>
          <w:p w14:paraId="45F2F4B0">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3.决定责任：作出行政许可或者不予行政许可决定，法定告知（不予批准的要说明理由）。</w:t>
            </w:r>
          </w:p>
          <w:p w14:paraId="1180470C">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4.送达责任： 依法制作划定矿区范围批复等材料并送达。</w:t>
            </w:r>
          </w:p>
          <w:p w14:paraId="5977234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5.事前事后监管责任：</w:t>
            </w:r>
          </w:p>
          <w:p w14:paraId="46AE01F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（1）采矿权出让相关工作；</w:t>
            </w:r>
          </w:p>
          <w:p w14:paraId="6A8CBAFD">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（2）划定矿区范围登记前置的地质储量报告的组织审查工作、矿业权出让收益评估管理等有关工作；</w:t>
            </w:r>
          </w:p>
          <w:p w14:paraId="38E9150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（3）划定矿区范围后按规定开展采矿登记相关材料的编制情况，开展定期和不定期检查，根据检查情况，依法采取相关处置措施。</w:t>
            </w:r>
          </w:p>
          <w:p w14:paraId="1F48879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6.其他法律法规规章文件规定应履行的责任。</w:t>
            </w:r>
          </w:p>
        </w:tc>
        <w:tc>
          <w:tcPr>
            <w:tcW w:w="7758" w:type="dxa"/>
            <w:vAlign w:val="center"/>
          </w:tcPr>
          <w:p w14:paraId="6FB48611">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1.【法律】《中华人民共和国行政许可法》第三十二条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 （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 行政机关受理或者不予受理行政许可申请，应当出具加盖本行政机关专用印章和注明日期的书面凭证。</w:t>
            </w:r>
          </w:p>
          <w:p w14:paraId="3B7E4B67">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 2.【法律】《中华人民共和国行政许可法》第三十四条 行政机关应当对申请人提交的申请材料进行审查。 申请人提交的申请材料齐全、符合法定形式，行政机关能够当场作出决定的，应当当场作出书面的行政许可决定。 根据法定条件和程序，需要对申请材料的实质内容进行核实的，行政机关应当指派两名以上工作人员进行核查。</w:t>
            </w:r>
          </w:p>
          <w:p w14:paraId="459D330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3.【法律】《中华人民共和国行政许可法》第三十七条 行政机关对行政许可申请进行审查后，除当场作出行政许可决定的外，应当在法定期限内按照规定程序作出行政许可决定。 第三十八条 申请人的申请符合法定条件、标准的，行政机关应当依法作出准予行政许可的书面决定。 行政机关依法作出不予行政许可的书面决定的，应当说明理由，并告知申请人享有依法申请行政复议或者提起行政诉讼的权利。</w:t>
            </w:r>
          </w:p>
          <w:p w14:paraId="4C2473D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法规】《矿产资源开采登记管理办法》（1998年国务院令第241号公布，2014年国务院令第653号修订）第六条第一款，登记管理机关应当自收到申请之日起40日内，作出准予登记或不予登记的决定，并通知采矿权申请人。第二十五条 审批管理机关工作人员徇私舞弊、滥用职权、玩忽职守、构成犯罪的，依法追究刑事责任；尚不构成犯罪的，依法给予行政处分。</w:t>
            </w:r>
          </w:p>
          <w:p w14:paraId="0957957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法规】《广西壮族自治区矿产资源管理条例》（2000年12月2日广西壮族自治区第九届人民代表大会常务委员会第二十一次会议通过，自2011年1月1日起施行，根据2016年11月30日广西壮族自治区第十二届人民代表大会常务委员会第二十六次会议《关于废止和修改部分地方性法规的决定》修正）第八条 县级以上地质矿产主管部门负责本行政区域内矿产资源勘查、开采的监督管理工作，有关主管部门协助同级地质矿产主管部门做好矿产资源勘查、开采的监督管理工作。</w:t>
            </w:r>
          </w:p>
        </w:tc>
        <w:tc>
          <w:tcPr>
            <w:tcW w:w="330" w:type="dxa"/>
            <w:vAlign w:val="center"/>
          </w:tcPr>
          <w:p w14:paraId="43FD074D">
            <w:pPr>
              <w:snapToGrid w:val="0"/>
              <w:spacing w:line="240" w:lineRule="atLeast"/>
              <w:jc w:val="center"/>
              <w:rPr>
                <w:rFonts w:ascii="仿宋_GB2312" w:hAnsi="仿宋_GB2312" w:eastAsia="仿宋_GB2312" w:cs="仿宋_GB2312"/>
                <w:sz w:val="20"/>
                <w:szCs w:val="20"/>
              </w:rPr>
            </w:pPr>
          </w:p>
        </w:tc>
      </w:tr>
    </w:tbl>
    <w:p w14:paraId="0259DB12"/>
    <w:p w14:paraId="19AF428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177"/>
        <w:gridCol w:w="4065"/>
        <w:gridCol w:w="7773"/>
        <w:gridCol w:w="330"/>
      </w:tblGrid>
      <w:tr w14:paraId="7935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1086C1F2">
            <w:pPr>
              <w:snapToGrid w:val="0"/>
              <w:spacing w:line="240" w:lineRule="atLeast"/>
              <w:rPr>
                <w:rFonts w:asciiTheme="majorEastAsia" w:hAnsiTheme="majorEastAsia" w:eastAsiaTheme="majorEastAsia" w:cstheme="majorEastAsia"/>
                <w:sz w:val="20"/>
                <w:szCs w:val="20"/>
              </w:rPr>
            </w:pPr>
          </w:p>
          <w:p w14:paraId="7F9CBD00">
            <w:pPr>
              <w:snapToGrid w:val="0"/>
              <w:spacing w:line="240" w:lineRule="atLeast"/>
              <w:rPr>
                <w:rFonts w:asciiTheme="majorEastAsia" w:hAnsiTheme="majorEastAsia" w:eastAsiaTheme="majorEastAsia" w:cstheme="majorEastAsia"/>
                <w:sz w:val="20"/>
                <w:szCs w:val="20"/>
              </w:rPr>
            </w:pPr>
          </w:p>
          <w:p w14:paraId="0C52DBCE">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24B533A1">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4BA11CE4">
            <w:pPr>
              <w:spacing w:line="240" w:lineRule="atLeast"/>
              <w:rPr>
                <w:rFonts w:asciiTheme="majorEastAsia" w:hAnsiTheme="majorEastAsia" w:eastAsiaTheme="majorEastAsia" w:cstheme="majorEastAsia"/>
                <w:sz w:val="20"/>
                <w:szCs w:val="20"/>
              </w:rPr>
            </w:pPr>
          </w:p>
          <w:p w14:paraId="5F63D20D">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207" w:type="dxa"/>
            <w:gridSpan w:val="5"/>
          </w:tcPr>
          <w:p w14:paraId="4B90D4E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838" w:type="dxa"/>
            <w:gridSpan w:val="2"/>
          </w:tcPr>
          <w:p w14:paraId="64CA1E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E1F539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841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63087BD2">
            <w:pPr>
              <w:spacing w:line="240" w:lineRule="atLeast"/>
              <w:jc w:val="left"/>
              <w:rPr>
                <w:rFonts w:ascii="仿宋_GB2312" w:hAnsi="仿宋_GB2312" w:eastAsia="仿宋_GB2312" w:cs="仿宋_GB2312"/>
                <w:sz w:val="20"/>
                <w:szCs w:val="20"/>
              </w:rPr>
            </w:pPr>
          </w:p>
        </w:tc>
        <w:tc>
          <w:tcPr>
            <w:tcW w:w="619" w:type="dxa"/>
            <w:vMerge w:val="continue"/>
          </w:tcPr>
          <w:p w14:paraId="3CE56CF5">
            <w:pPr>
              <w:spacing w:line="240" w:lineRule="atLeast"/>
              <w:jc w:val="left"/>
              <w:rPr>
                <w:rFonts w:ascii="仿宋_GB2312" w:hAnsi="仿宋_GB2312" w:eastAsia="仿宋_GB2312" w:cs="仿宋_GB2312"/>
                <w:sz w:val="20"/>
                <w:szCs w:val="20"/>
              </w:rPr>
            </w:pPr>
          </w:p>
        </w:tc>
        <w:tc>
          <w:tcPr>
            <w:tcW w:w="645" w:type="dxa"/>
            <w:vAlign w:val="center"/>
          </w:tcPr>
          <w:p w14:paraId="13D859B4">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16E6675F">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12EAF8CE">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69000F34">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177" w:type="dxa"/>
            <w:vAlign w:val="center"/>
          </w:tcPr>
          <w:p w14:paraId="72B5CE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065" w:type="dxa"/>
            <w:vAlign w:val="center"/>
          </w:tcPr>
          <w:p w14:paraId="3A080E9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8B51F4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773" w:type="dxa"/>
            <w:vAlign w:val="center"/>
          </w:tcPr>
          <w:p w14:paraId="266585D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636AF0D">
            <w:pPr>
              <w:spacing w:line="240" w:lineRule="atLeast"/>
              <w:jc w:val="left"/>
              <w:rPr>
                <w:rFonts w:ascii="仿宋_GB2312" w:hAnsi="仿宋_GB2312" w:eastAsia="仿宋_GB2312" w:cs="仿宋_GB2312"/>
                <w:sz w:val="20"/>
                <w:szCs w:val="20"/>
              </w:rPr>
            </w:pPr>
          </w:p>
        </w:tc>
      </w:tr>
      <w:tr w14:paraId="7451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7" w:hRule="atLeast"/>
        </w:trPr>
        <w:tc>
          <w:tcPr>
            <w:tcW w:w="376" w:type="dxa"/>
            <w:vAlign w:val="center"/>
          </w:tcPr>
          <w:p w14:paraId="1A13A4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619" w:type="dxa"/>
            <w:vAlign w:val="center"/>
          </w:tcPr>
          <w:p w14:paraId="0B0146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D9E2C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51616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7E7F504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54716DE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政府投资的地质灾害治理工程竣工验收</w:t>
            </w:r>
          </w:p>
        </w:tc>
        <w:tc>
          <w:tcPr>
            <w:tcW w:w="600" w:type="dxa"/>
            <w:vAlign w:val="center"/>
          </w:tcPr>
          <w:p w14:paraId="41ACF8C5">
            <w:pPr>
              <w:snapToGrid w:val="0"/>
              <w:spacing w:line="240" w:lineRule="atLeast"/>
              <w:jc w:val="center"/>
              <w:rPr>
                <w:rFonts w:ascii="仿宋_GB2312" w:hAnsi="仿宋_GB2312" w:eastAsia="仿宋_GB2312" w:cs="仿宋_GB2312"/>
                <w:sz w:val="20"/>
                <w:szCs w:val="20"/>
              </w:rPr>
            </w:pPr>
          </w:p>
        </w:tc>
        <w:tc>
          <w:tcPr>
            <w:tcW w:w="660" w:type="dxa"/>
            <w:vAlign w:val="center"/>
          </w:tcPr>
          <w:p w14:paraId="7788F8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78B1AB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177" w:type="dxa"/>
            <w:vAlign w:val="center"/>
          </w:tcPr>
          <w:p w14:paraId="6862D4FD">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【行政法规】《地质灾害防治条例》（</w:t>
            </w:r>
            <w:r>
              <w:rPr>
                <w:rFonts w:hint="eastAsia" w:eastAsia="仿宋_GB2312"/>
                <w:snapToGrid w:val="0"/>
                <w:color w:val="000000"/>
                <w:sz w:val="20"/>
                <w:szCs w:val="20"/>
              </w:rPr>
              <w:t>2003</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394</w:t>
            </w:r>
            <w:r>
              <w:rPr>
                <w:rFonts w:hint="eastAsia" w:eastAsia="仿宋_GB2312" w:cs="宋体"/>
                <w:snapToGrid w:val="0"/>
                <w:color w:val="000000"/>
                <w:sz w:val="20"/>
                <w:szCs w:val="20"/>
              </w:rPr>
              <w:t>号）第三十八条：政府投资的地质灾害治理工程竣工后，由县级以上人民政府国土资源主管部门组织竣工验收。其他地质灾害治理工程竣工后，由责任单位组织竣工验收；竣工验收时，应当有国土资源主管部门参加。</w:t>
            </w:r>
          </w:p>
        </w:tc>
        <w:tc>
          <w:tcPr>
            <w:tcW w:w="4065" w:type="dxa"/>
            <w:vAlign w:val="center"/>
          </w:tcPr>
          <w:p w14:paraId="6E492D1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1.受理责任：公示依法应当提交的材料，一次性告知补正材料，依法受理或不予受理（不予受理应当告知理由）。</w:t>
            </w:r>
          </w:p>
          <w:p w14:paraId="1A7458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2.审查责任：对申请材料进行审查、提出审查意见。</w:t>
            </w:r>
          </w:p>
          <w:p w14:paraId="2A6CDD6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3.决定责任：作出行政许可或者不予行政许可决定，法定告知（不予批准的要说明理由）。</w:t>
            </w:r>
          </w:p>
          <w:p w14:paraId="39514F9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 依法制作相关证书、通知等材料并送达。</w:t>
            </w:r>
          </w:p>
          <w:p w14:paraId="65581C5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5．事后监管责任：开展定期和不定期检查，根据检查情况，依法采取相关处置措施。</w:t>
            </w:r>
          </w:p>
          <w:p w14:paraId="01F1649B">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773" w:type="dxa"/>
            <w:vAlign w:val="center"/>
          </w:tcPr>
          <w:p w14:paraId="3034F5E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2486B2F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D74316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许可法》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6510C7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00DC879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规范性文件】《广西壮族自治区地质灾害防治项目管理办法》（桂国土资发〔2011〕115号）第三十五条地质灾害治理工程项目竣工验收合格后，由项目所在地的县（市、区）人民政府负责后期维护及监测的具体工作，确保治理工程发挥应有的作用。同时按《地质资料管理条例》的有关规定进行资料归档。经过一水文年的监测，没有新隐患出现，该治理的灾害点应当销号，可不再落实防治措施；对不可能彻底根治的地质灾害，可辅以监测、搬迁等其他措施进行综合防治。</w:t>
            </w:r>
          </w:p>
          <w:p w14:paraId="06E81556">
            <w:pPr>
              <w:widowControl/>
              <w:adjustRightInd w:val="0"/>
              <w:snapToGrid w:val="0"/>
              <w:spacing w:line="299" w:lineRule="exact"/>
              <w:ind w:firstLine="400" w:firstLineChars="200"/>
            </w:pPr>
            <w:r>
              <w:rPr>
                <w:rFonts w:hint="eastAsia" w:eastAsia="仿宋_GB2312"/>
                <w:snapToGrid w:val="0"/>
                <w:color w:val="000000"/>
                <w:sz w:val="20"/>
                <w:szCs w:val="20"/>
              </w:rPr>
              <w:t>5—2.【规范性文件】《广西壮族自治区地质灾害防治项目管理办法》（桂国土资发〔2011〕115号）第三十七条自治区国土资源管理部门负责对地质灾害防治项目实施的监督，一经发现任何违法违规行为，将依法依规进行严肃处理。</w:t>
            </w:r>
          </w:p>
        </w:tc>
        <w:tc>
          <w:tcPr>
            <w:tcW w:w="330" w:type="dxa"/>
            <w:vAlign w:val="center"/>
          </w:tcPr>
          <w:p w14:paraId="0A8CC936">
            <w:pPr>
              <w:snapToGrid w:val="0"/>
              <w:spacing w:line="240" w:lineRule="atLeast"/>
              <w:jc w:val="center"/>
              <w:rPr>
                <w:rFonts w:ascii="仿宋_GB2312" w:hAnsi="仿宋_GB2312" w:eastAsia="仿宋_GB2312" w:cs="仿宋_GB2312"/>
                <w:sz w:val="20"/>
                <w:szCs w:val="20"/>
              </w:rPr>
            </w:pPr>
          </w:p>
        </w:tc>
      </w:tr>
    </w:tbl>
    <w:p w14:paraId="68C3E0E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177"/>
        <w:gridCol w:w="4110"/>
        <w:gridCol w:w="7728"/>
        <w:gridCol w:w="330"/>
      </w:tblGrid>
      <w:tr w14:paraId="0C2D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6417AD71">
            <w:pPr>
              <w:snapToGrid w:val="0"/>
              <w:spacing w:line="240" w:lineRule="atLeast"/>
              <w:rPr>
                <w:rFonts w:asciiTheme="majorEastAsia" w:hAnsiTheme="majorEastAsia" w:eastAsiaTheme="majorEastAsia" w:cstheme="majorEastAsia"/>
                <w:sz w:val="20"/>
                <w:szCs w:val="20"/>
              </w:rPr>
            </w:pPr>
          </w:p>
          <w:p w14:paraId="02353B45">
            <w:pPr>
              <w:snapToGrid w:val="0"/>
              <w:spacing w:line="240" w:lineRule="atLeast"/>
              <w:rPr>
                <w:rFonts w:asciiTheme="majorEastAsia" w:hAnsiTheme="majorEastAsia" w:eastAsiaTheme="majorEastAsia" w:cstheme="majorEastAsia"/>
                <w:sz w:val="20"/>
                <w:szCs w:val="20"/>
              </w:rPr>
            </w:pPr>
          </w:p>
          <w:p w14:paraId="131CF775">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50982F4D">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64729FC0">
            <w:pPr>
              <w:spacing w:line="240" w:lineRule="atLeast"/>
              <w:rPr>
                <w:rFonts w:asciiTheme="majorEastAsia" w:hAnsiTheme="majorEastAsia" w:eastAsiaTheme="majorEastAsia" w:cstheme="majorEastAsia"/>
                <w:sz w:val="20"/>
                <w:szCs w:val="20"/>
              </w:rPr>
            </w:pPr>
          </w:p>
          <w:p w14:paraId="24B20538">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207" w:type="dxa"/>
            <w:gridSpan w:val="5"/>
          </w:tcPr>
          <w:p w14:paraId="442AC3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838" w:type="dxa"/>
            <w:gridSpan w:val="2"/>
          </w:tcPr>
          <w:p w14:paraId="1BE099B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B16562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262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42E2C5ED">
            <w:pPr>
              <w:spacing w:line="240" w:lineRule="atLeast"/>
              <w:jc w:val="left"/>
              <w:rPr>
                <w:rFonts w:ascii="仿宋_GB2312" w:hAnsi="仿宋_GB2312" w:eastAsia="仿宋_GB2312" w:cs="仿宋_GB2312"/>
                <w:sz w:val="20"/>
                <w:szCs w:val="20"/>
              </w:rPr>
            </w:pPr>
          </w:p>
        </w:tc>
        <w:tc>
          <w:tcPr>
            <w:tcW w:w="619" w:type="dxa"/>
            <w:vMerge w:val="continue"/>
          </w:tcPr>
          <w:p w14:paraId="79A8091A">
            <w:pPr>
              <w:spacing w:line="240" w:lineRule="atLeast"/>
              <w:jc w:val="left"/>
              <w:rPr>
                <w:rFonts w:ascii="仿宋_GB2312" w:hAnsi="仿宋_GB2312" w:eastAsia="仿宋_GB2312" w:cs="仿宋_GB2312"/>
                <w:sz w:val="20"/>
                <w:szCs w:val="20"/>
              </w:rPr>
            </w:pPr>
          </w:p>
        </w:tc>
        <w:tc>
          <w:tcPr>
            <w:tcW w:w="645" w:type="dxa"/>
            <w:vAlign w:val="center"/>
          </w:tcPr>
          <w:p w14:paraId="1C521AA5">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66724ED4">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6D05860A">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09EA3AC6">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177" w:type="dxa"/>
            <w:vAlign w:val="center"/>
          </w:tcPr>
          <w:p w14:paraId="0DE04B6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10" w:type="dxa"/>
            <w:vAlign w:val="center"/>
          </w:tcPr>
          <w:p w14:paraId="6DE13ED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6106D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728" w:type="dxa"/>
            <w:vAlign w:val="center"/>
          </w:tcPr>
          <w:p w14:paraId="100ED08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2463D11">
            <w:pPr>
              <w:spacing w:line="240" w:lineRule="atLeast"/>
              <w:jc w:val="left"/>
              <w:rPr>
                <w:rFonts w:ascii="仿宋_GB2312" w:hAnsi="仿宋_GB2312" w:eastAsia="仿宋_GB2312" w:cs="仿宋_GB2312"/>
                <w:sz w:val="20"/>
                <w:szCs w:val="20"/>
              </w:rPr>
            </w:pPr>
          </w:p>
        </w:tc>
      </w:tr>
      <w:tr w14:paraId="7286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8" w:hRule="atLeast"/>
        </w:trPr>
        <w:tc>
          <w:tcPr>
            <w:tcW w:w="376" w:type="dxa"/>
            <w:vAlign w:val="center"/>
          </w:tcPr>
          <w:p w14:paraId="5EE800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w:t>
            </w:r>
          </w:p>
        </w:tc>
        <w:tc>
          <w:tcPr>
            <w:tcW w:w="619" w:type="dxa"/>
            <w:vAlign w:val="center"/>
          </w:tcPr>
          <w:p w14:paraId="70E820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407A7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6F1D65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9A1E2E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0CD833F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建设用地改变用途审核</w:t>
            </w:r>
          </w:p>
        </w:tc>
        <w:tc>
          <w:tcPr>
            <w:tcW w:w="600" w:type="dxa"/>
            <w:vAlign w:val="center"/>
          </w:tcPr>
          <w:p w14:paraId="624D1DC1">
            <w:pPr>
              <w:snapToGrid w:val="0"/>
              <w:spacing w:line="240" w:lineRule="atLeast"/>
              <w:jc w:val="center"/>
              <w:rPr>
                <w:rFonts w:ascii="仿宋_GB2312" w:hAnsi="仿宋_GB2312" w:eastAsia="仿宋_GB2312" w:cs="仿宋_GB2312"/>
                <w:sz w:val="20"/>
                <w:szCs w:val="20"/>
              </w:rPr>
            </w:pPr>
          </w:p>
        </w:tc>
        <w:tc>
          <w:tcPr>
            <w:tcW w:w="660" w:type="dxa"/>
            <w:vAlign w:val="center"/>
          </w:tcPr>
          <w:p w14:paraId="38DF2E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72B931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177" w:type="dxa"/>
            <w:vAlign w:val="center"/>
          </w:tcPr>
          <w:p w14:paraId="6A406AC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十六条：建设单位使用国有土地的，应当按照土地使用权出让等有偿使用合同的约定或者土地使用权划拨批准文件的规定使用土地；确需改变该幅土地建设用途的，应当经有关人民政府自然资源主管部门同意，报原批准用地的人民政府批准。其中，在城市规划区内改变土地用途的，在报批前，应当先经有关城市规划行政主管部门同意。</w:t>
            </w:r>
          </w:p>
          <w:p w14:paraId="5908EC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法律】《中华人民共和国城市房地产管理法》第十八条：土地使用者需要改变土地使用权出让合同约定的土地用途的，必须取得出让方和市、县人民政府城市规划行政主管部门的同意，签订土地使用权出让合同变更协议或者重新签订土地使用权出让合同，相应调整土地使用权出让金。</w:t>
            </w:r>
          </w:p>
        </w:tc>
        <w:tc>
          <w:tcPr>
            <w:tcW w:w="4110" w:type="dxa"/>
            <w:vAlign w:val="center"/>
          </w:tcPr>
          <w:p w14:paraId="0F3B66D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275E66A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6CC504A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3.送审责任：在法定期限内提出审核意见，上报市人民政府批准。</w:t>
            </w:r>
          </w:p>
          <w:p w14:paraId="641C07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4．送达责任：获市人民政府准予许可的，送达审批决定。</w:t>
            </w:r>
          </w:p>
          <w:p w14:paraId="6F5333B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3AD11D4B">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 其他法律法规规章文件规定应履行的责任。</w:t>
            </w:r>
          </w:p>
        </w:tc>
        <w:tc>
          <w:tcPr>
            <w:tcW w:w="7728" w:type="dxa"/>
            <w:vAlign w:val="center"/>
          </w:tcPr>
          <w:p w14:paraId="6F3CE4F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51905F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0051509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ECDE85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6B3D41F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EF7BF2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5ABC462E">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2260434D">
            <w:pPr>
              <w:snapToGrid w:val="0"/>
              <w:spacing w:line="240" w:lineRule="atLeast"/>
              <w:jc w:val="center"/>
              <w:rPr>
                <w:rFonts w:ascii="仿宋_GB2312" w:hAnsi="仿宋_GB2312" w:eastAsia="仿宋_GB2312" w:cs="仿宋_GB2312"/>
                <w:sz w:val="20"/>
                <w:szCs w:val="20"/>
              </w:rPr>
            </w:pPr>
          </w:p>
        </w:tc>
      </w:tr>
    </w:tbl>
    <w:p w14:paraId="27594B08"/>
    <w:p w14:paraId="4B6CA11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102"/>
        <w:gridCol w:w="4215"/>
        <w:gridCol w:w="7698"/>
        <w:gridCol w:w="330"/>
      </w:tblGrid>
      <w:tr w14:paraId="7DD8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1E8BBBCB">
            <w:pPr>
              <w:snapToGrid w:val="0"/>
              <w:spacing w:line="240" w:lineRule="atLeast"/>
              <w:rPr>
                <w:rFonts w:asciiTheme="majorEastAsia" w:hAnsiTheme="majorEastAsia" w:eastAsiaTheme="majorEastAsia" w:cstheme="majorEastAsia"/>
                <w:sz w:val="20"/>
                <w:szCs w:val="20"/>
              </w:rPr>
            </w:pPr>
          </w:p>
          <w:p w14:paraId="28C70A90">
            <w:pPr>
              <w:snapToGrid w:val="0"/>
              <w:spacing w:line="240" w:lineRule="atLeast"/>
              <w:rPr>
                <w:rFonts w:asciiTheme="majorEastAsia" w:hAnsiTheme="majorEastAsia" w:eastAsiaTheme="majorEastAsia" w:cstheme="majorEastAsia"/>
                <w:sz w:val="20"/>
                <w:szCs w:val="20"/>
              </w:rPr>
            </w:pPr>
          </w:p>
          <w:p w14:paraId="27D0B36F">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425E6ABB">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753BA6FC">
            <w:pPr>
              <w:spacing w:line="240" w:lineRule="atLeast"/>
              <w:rPr>
                <w:rFonts w:asciiTheme="majorEastAsia" w:hAnsiTheme="majorEastAsia" w:eastAsiaTheme="majorEastAsia" w:cstheme="majorEastAsia"/>
                <w:sz w:val="20"/>
                <w:szCs w:val="20"/>
              </w:rPr>
            </w:pPr>
          </w:p>
          <w:p w14:paraId="64ECD692">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32" w:type="dxa"/>
            <w:gridSpan w:val="5"/>
          </w:tcPr>
          <w:p w14:paraId="765133F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13" w:type="dxa"/>
            <w:gridSpan w:val="2"/>
          </w:tcPr>
          <w:p w14:paraId="0231BF0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87AE89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D5C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376" w:type="dxa"/>
            <w:vMerge w:val="continue"/>
          </w:tcPr>
          <w:p w14:paraId="0FD1C8B6">
            <w:pPr>
              <w:spacing w:line="240" w:lineRule="atLeast"/>
              <w:jc w:val="left"/>
              <w:rPr>
                <w:rFonts w:ascii="仿宋_GB2312" w:hAnsi="仿宋_GB2312" w:eastAsia="仿宋_GB2312" w:cs="仿宋_GB2312"/>
                <w:sz w:val="20"/>
                <w:szCs w:val="20"/>
              </w:rPr>
            </w:pPr>
          </w:p>
        </w:tc>
        <w:tc>
          <w:tcPr>
            <w:tcW w:w="619" w:type="dxa"/>
            <w:vMerge w:val="continue"/>
          </w:tcPr>
          <w:p w14:paraId="6936A073">
            <w:pPr>
              <w:spacing w:line="240" w:lineRule="atLeast"/>
              <w:jc w:val="left"/>
              <w:rPr>
                <w:rFonts w:ascii="仿宋_GB2312" w:hAnsi="仿宋_GB2312" w:eastAsia="仿宋_GB2312" w:cs="仿宋_GB2312"/>
                <w:sz w:val="20"/>
                <w:szCs w:val="20"/>
              </w:rPr>
            </w:pPr>
          </w:p>
        </w:tc>
        <w:tc>
          <w:tcPr>
            <w:tcW w:w="645" w:type="dxa"/>
            <w:vAlign w:val="center"/>
          </w:tcPr>
          <w:p w14:paraId="48DD3A28">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63239CB4">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06BE344D">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4CD4E36F">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102" w:type="dxa"/>
            <w:vAlign w:val="center"/>
          </w:tcPr>
          <w:p w14:paraId="688E4AE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15" w:type="dxa"/>
            <w:vAlign w:val="center"/>
          </w:tcPr>
          <w:p w14:paraId="12CCBA8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1B75D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98" w:type="dxa"/>
            <w:vAlign w:val="center"/>
          </w:tcPr>
          <w:p w14:paraId="4E95058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B4F286E">
            <w:pPr>
              <w:spacing w:line="240" w:lineRule="atLeast"/>
              <w:jc w:val="left"/>
              <w:rPr>
                <w:rFonts w:ascii="仿宋_GB2312" w:hAnsi="仿宋_GB2312" w:eastAsia="仿宋_GB2312" w:cs="仿宋_GB2312"/>
                <w:sz w:val="20"/>
                <w:szCs w:val="20"/>
              </w:rPr>
            </w:pPr>
          </w:p>
        </w:tc>
      </w:tr>
      <w:tr w14:paraId="449B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2" w:hRule="atLeast"/>
        </w:trPr>
        <w:tc>
          <w:tcPr>
            <w:tcW w:w="376" w:type="dxa"/>
            <w:vAlign w:val="center"/>
          </w:tcPr>
          <w:p w14:paraId="0D26D4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w:t>
            </w:r>
          </w:p>
        </w:tc>
        <w:tc>
          <w:tcPr>
            <w:tcW w:w="619" w:type="dxa"/>
            <w:vAlign w:val="center"/>
          </w:tcPr>
          <w:p w14:paraId="7CC247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18F4A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D318F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19B8B7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4DD7BF1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划拨土地使用权和地上建筑物及附着物所有权转让、出租、抵押审批</w:t>
            </w:r>
          </w:p>
        </w:tc>
        <w:tc>
          <w:tcPr>
            <w:tcW w:w="600" w:type="dxa"/>
            <w:vAlign w:val="center"/>
          </w:tcPr>
          <w:p w14:paraId="32EC0726">
            <w:pPr>
              <w:snapToGrid w:val="0"/>
              <w:spacing w:line="240" w:lineRule="atLeast"/>
              <w:jc w:val="center"/>
              <w:rPr>
                <w:rFonts w:ascii="仿宋_GB2312" w:hAnsi="仿宋_GB2312" w:eastAsia="仿宋_GB2312" w:cs="仿宋_GB2312"/>
                <w:sz w:val="20"/>
                <w:szCs w:val="20"/>
              </w:rPr>
            </w:pPr>
          </w:p>
        </w:tc>
        <w:tc>
          <w:tcPr>
            <w:tcW w:w="660" w:type="dxa"/>
            <w:vAlign w:val="center"/>
          </w:tcPr>
          <w:p w14:paraId="2B2974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35E074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102" w:type="dxa"/>
            <w:vAlign w:val="center"/>
          </w:tcPr>
          <w:p w14:paraId="3EE5E8F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行政法规】《中华人民共和国城镇国有土地使用权出让和转让暂行条例》（1990年国务院令第55号，2020年国务院令第732号修订）第十九条：土地使用权转让是指土地使用者将土地使用权再转移的行为，包括出售、交换和赠与。未按土地使用权出让合同规定的期限和条件投资开发、利用土地的，土地使用权不得转让；</w:t>
            </w:r>
          </w:p>
          <w:p w14:paraId="54639D9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第二十条：土地使用权转让应当签订转让合同；</w:t>
            </w:r>
          </w:p>
          <w:p w14:paraId="340D520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第二十五条：土地使用权和地上建筑物、其他附着物所有权转让，应当依照规定办理过户登记。</w:t>
            </w:r>
          </w:p>
          <w:p w14:paraId="6817EE13">
            <w:pPr>
              <w:snapToGrid w:val="0"/>
              <w:spacing w:line="240" w:lineRule="atLeast"/>
              <w:rPr>
                <w:rFonts w:ascii="仿宋_GB2312" w:hAnsi="仿宋_GB2312" w:eastAsia="仿宋_GB2312" w:cs="仿宋_GB2312"/>
                <w:sz w:val="20"/>
                <w:szCs w:val="20"/>
              </w:rPr>
            </w:pPr>
            <w:r>
              <w:rPr>
                <w:rFonts w:hint="eastAsia" w:eastAsia="仿宋_GB2312" w:cs="宋体"/>
                <w:snapToGrid w:val="0"/>
                <w:color w:val="000000"/>
                <w:sz w:val="20"/>
                <w:szCs w:val="20"/>
              </w:rPr>
              <w:t>第四十五条：符合下列条件的，经市、县人民政府土地管理部门和房产管理部门批准，其划拨土地使用权和地上建筑物、其他附着物所有权可以转让、出租、抵押：（一）土地使用者为公司、企业、其他经济组织和个人；（二）领有国有土地使用证；（三）具有地上建筑物、其他附着物合法的产权证明；（四）依照本条例第二章的规定签订土地使用权出让合同，向当地市、县人民政府补交土地使用权出让金或者以转让、出租、抵押所获收益抵交土地使用权出让金。转让、出租、抵押前款划拨土地使用权的，分别依照本条例第三章、第四章和第五章的规定办理。</w:t>
            </w:r>
          </w:p>
        </w:tc>
        <w:tc>
          <w:tcPr>
            <w:tcW w:w="4215" w:type="dxa"/>
            <w:vAlign w:val="center"/>
          </w:tcPr>
          <w:p w14:paraId="178FCF0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3AB3A49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13E1A41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3.送审责任：在法定期限内提出审核意见，上报市人民政府批准。</w:t>
            </w:r>
          </w:p>
          <w:p w14:paraId="62B12A6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4．送达责任：获市人民政府准予许可的，送达审批决定。</w:t>
            </w:r>
          </w:p>
          <w:p w14:paraId="4D975FC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1BCFF9AC">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98" w:type="dxa"/>
            <w:vAlign w:val="center"/>
          </w:tcPr>
          <w:p w14:paraId="7E74BB3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7D01A0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24B3C2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A811A2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7001F82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13FEA80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3EB4D67E">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6480B685">
            <w:pPr>
              <w:snapToGrid w:val="0"/>
              <w:spacing w:line="240" w:lineRule="atLeast"/>
              <w:jc w:val="center"/>
              <w:rPr>
                <w:rFonts w:ascii="仿宋_GB2312" w:hAnsi="仿宋_GB2312" w:eastAsia="仿宋_GB2312" w:cs="仿宋_GB2312"/>
                <w:sz w:val="20"/>
                <w:szCs w:val="20"/>
              </w:rPr>
            </w:pPr>
          </w:p>
        </w:tc>
      </w:tr>
    </w:tbl>
    <w:p w14:paraId="1636C4CB"/>
    <w:p w14:paraId="2644DDA6"/>
    <w:p w14:paraId="521B5E5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072"/>
        <w:gridCol w:w="4245"/>
        <w:gridCol w:w="7698"/>
        <w:gridCol w:w="330"/>
      </w:tblGrid>
      <w:tr w14:paraId="105D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48160B76">
            <w:pPr>
              <w:snapToGrid w:val="0"/>
              <w:spacing w:line="240" w:lineRule="atLeast"/>
              <w:rPr>
                <w:rFonts w:asciiTheme="majorEastAsia" w:hAnsiTheme="majorEastAsia" w:eastAsiaTheme="majorEastAsia" w:cstheme="majorEastAsia"/>
                <w:sz w:val="20"/>
                <w:szCs w:val="20"/>
              </w:rPr>
            </w:pPr>
          </w:p>
          <w:p w14:paraId="41583BAE">
            <w:pPr>
              <w:snapToGrid w:val="0"/>
              <w:spacing w:line="240" w:lineRule="atLeast"/>
              <w:rPr>
                <w:rFonts w:asciiTheme="majorEastAsia" w:hAnsiTheme="majorEastAsia" w:eastAsiaTheme="majorEastAsia" w:cstheme="majorEastAsia"/>
                <w:sz w:val="20"/>
                <w:szCs w:val="20"/>
              </w:rPr>
            </w:pPr>
          </w:p>
          <w:p w14:paraId="3BD3F2A0">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2F7CA211">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47F1F680">
            <w:pPr>
              <w:spacing w:line="240" w:lineRule="atLeast"/>
              <w:rPr>
                <w:rFonts w:asciiTheme="majorEastAsia" w:hAnsiTheme="majorEastAsia" w:eastAsiaTheme="majorEastAsia" w:cstheme="majorEastAsia"/>
                <w:sz w:val="20"/>
                <w:szCs w:val="20"/>
              </w:rPr>
            </w:pPr>
          </w:p>
          <w:p w14:paraId="4AF962A2">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02" w:type="dxa"/>
            <w:gridSpan w:val="5"/>
          </w:tcPr>
          <w:p w14:paraId="0CC267F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43" w:type="dxa"/>
            <w:gridSpan w:val="2"/>
          </w:tcPr>
          <w:p w14:paraId="30010CE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7C344E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0B4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3ACA6D8A">
            <w:pPr>
              <w:spacing w:line="240" w:lineRule="atLeast"/>
              <w:jc w:val="left"/>
              <w:rPr>
                <w:rFonts w:ascii="仿宋_GB2312" w:hAnsi="仿宋_GB2312" w:eastAsia="仿宋_GB2312" w:cs="仿宋_GB2312"/>
                <w:sz w:val="20"/>
                <w:szCs w:val="20"/>
              </w:rPr>
            </w:pPr>
          </w:p>
        </w:tc>
        <w:tc>
          <w:tcPr>
            <w:tcW w:w="619" w:type="dxa"/>
            <w:vMerge w:val="continue"/>
          </w:tcPr>
          <w:p w14:paraId="0DEC78DA">
            <w:pPr>
              <w:spacing w:line="240" w:lineRule="atLeast"/>
              <w:jc w:val="left"/>
              <w:rPr>
                <w:rFonts w:ascii="仿宋_GB2312" w:hAnsi="仿宋_GB2312" w:eastAsia="仿宋_GB2312" w:cs="仿宋_GB2312"/>
                <w:sz w:val="20"/>
                <w:szCs w:val="20"/>
              </w:rPr>
            </w:pPr>
          </w:p>
        </w:tc>
        <w:tc>
          <w:tcPr>
            <w:tcW w:w="645" w:type="dxa"/>
            <w:vAlign w:val="center"/>
          </w:tcPr>
          <w:p w14:paraId="50103EEB">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255B9B9A">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43A7FE65">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55E7AC9C">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072" w:type="dxa"/>
            <w:vAlign w:val="center"/>
          </w:tcPr>
          <w:p w14:paraId="12F22C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45" w:type="dxa"/>
            <w:vAlign w:val="center"/>
          </w:tcPr>
          <w:p w14:paraId="2BF0BFE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0CFE8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98" w:type="dxa"/>
            <w:vAlign w:val="center"/>
          </w:tcPr>
          <w:p w14:paraId="4354DFF8">
            <w:pPr>
              <w:snapToGrid w:val="0"/>
              <w:spacing w:line="240" w:lineRule="atLeast"/>
              <w:ind w:firstLine="200" w:firstLineChars="100"/>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91188E5">
            <w:pPr>
              <w:spacing w:line="240" w:lineRule="atLeast"/>
              <w:jc w:val="left"/>
              <w:rPr>
                <w:rFonts w:ascii="仿宋_GB2312" w:hAnsi="仿宋_GB2312" w:eastAsia="仿宋_GB2312" w:cs="仿宋_GB2312"/>
                <w:sz w:val="20"/>
                <w:szCs w:val="20"/>
              </w:rPr>
            </w:pPr>
          </w:p>
        </w:tc>
      </w:tr>
      <w:tr w14:paraId="551D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2" w:hRule="atLeast"/>
        </w:trPr>
        <w:tc>
          <w:tcPr>
            <w:tcW w:w="376" w:type="dxa"/>
            <w:vAlign w:val="center"/>
          </w:tcPr>
          <w:p w14:paraId="17E9FF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w:t>
            </w:r>
          </w:p>
        </w:tc>
        <w:tc>
          <w:tcPr>
            <w:tcW w:w="619" w:type="dxa"/>
            <w:vAlign w:val="center"/>
          </w:tcPr>
          <w:p w14:paraId="7FB2B49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E8092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4A2E20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434CE8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2306808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乡（镇）村企业使用集体建设用地审批</w:t>
            </w:r>
          </w:p>
        </w:tc>
        <w:tc>
          <w:tcPr>
            <w:tcW w:w="600" w:type="dxa"/>
            <w:vAlign w:val="center"/>
          </w:tcPr>
          <w:p w14:paraId="10442384">
            <w:pPr>
              <w:snapToGrid w:val="0"/>
              <w:spacing w:line="240" w:lineRule="atLeast"/>
              <w:jc w:val="center"/>
              <w:rPr>
                <w:rFonts w:ascii="仿宋_GB2312" w:hAnsi="仿宋_GB2312" w:eastAsia="仿宋_GB2312" w:cs="仿宋_GB2312"/>
                <w:sz w:val="20"/>
                <w:szCs w:val="20"/>
              </w:rPr>
            </w:pPr>
          </w:p>
        </w:tc>
        <w:tc>
          <w:tcPr>
            <w:tcW w:w="660" w:type="dxa"/>
            <w:vAlign w:val="center"/>
          </w:tcPr>
          <w:p w14:paraId="2A6593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67E872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72" w:type="dxa"/>
            <w:vAlign w:val="center"/>
          </w:tcPr>
          <w:p w14:paraId="3B0B2F1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1.【法律】《中华人民共和国土地管理法》第六十条第一款 ：农村集体经济组织使用乡（镇）土地利用总体规划确定的建设用地兴办企业或者与其他单位、个人以土地使用权入股、联营等形式共同举办企业的，应当持有关批准文件，向县级以上地方人民政府自然资源主管部门提出申请，按照省、自治区、直辖市规定的批准权限，由县级以上地方人民政府批准；其中，涉及占用农用地的，依照本法第四十四条的规定办理审批手续。</w:t>
            </w:r>
          </w:p>
          <w:p w14:paraId="38F7A8B6">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地方性法规】《广西壮族自治区实施〈中华人民共和国土地管理法〉办法》（2001年7月29日广西壮族自治区第九届人民代表大会常务委员会第二十五次会议通过，自2001年9月1日起施行，2019年7月25日修正）第四十三条第一款 ：农村集体经济组织使用乡（镇）土地利用总体规划确定的建设用地兴办企业或者以土地使用权入股、联营等形式与其他单位、个人共同举办企业以及乡（镇）村公共设施、公益事业建设需要使用土地的，由设区的市、县（市）人民政府批准。</w:t>
            </w:r>
          </w:p>
        </w:tc>
        <w:tc>
          <w:tcPr>
            <w:tcW w:w="4245" w:type="dxa"/>
            <w:vAlign w:val="center"/>
          </w:tcPr>
          <w:p w14:paraId="2088795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779A24D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1B25374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3.送审责任：在法定期限内提出审核意见，上报市人民政府批准。</w:t>
            </w:r>
          </w:p>
          <w:p w14:paraId="420E139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4．送达责任：获市人民政府准予许可的，送达审批决定。</w:t>
            </w:r>
          </w:p>
          <w:p w14:paraId="467AB8B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6757B6E1">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98" w:type="dxa"/>
            <w:vAlign w:val="center"/>
          </w:tcPr>
          <w:p w14:paraId="546B24A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9B67C0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B6666C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FEFEAE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35EA032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1448F8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2C312F2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1ECCBF7C">
            <w:pPr>
              <w:snapToGrid w:val="0"/>
              <w:spacing w:line="240" w:lineRule="atLeast"/>
              <w:jc w:val="center"/>
              <w:rPr>
                <w:rFonts w:ascii="仿宋_GB2312" w:hAnsi="仿宋_GB2312" w:eastAsia="仿宋_GB2312" w:cs="仿宋_GB2312"/>
                <w:sz w:val="20"/>
                <w:szCs w:val="20"/>
              </w:rPr>
            </w:pPr>
          </w:p>
        </w:tc>
      </w:tr>
    </w:tbl>
    <w:p w14:paraId="5758A3D6"/>
    <w:p w14:paraId="496A715F"/>
    <w:p w14:paraId="2548EC8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19"/>
        <w:gridCol w:w="645"/>
        <w:gridCol w:w="600"/>
        <w:gridCol w:w="660"/>
        <w:gridCol w:w="1125"/>
        <w:gridCol w:w="6087"/>
        <w:gridCol w:w="4260"/>
        <w:gridCol w:w="7668"/>
        <w:gridCol w:w="330"/>
      </w:tblGrid>
      <w:tr w14:paraId="4FE0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6" w:type="dxa"/>
            <w:vMerge w:val="restart"/>
            <w:vAlign w:val="center"/>
          </w:tcPr>
          <w:p w14:paraId="1EF8B0FE">
            <w:pPr>
              <w:snapToGrid w:val="0"/>
              <w:spacing w:line="240" w:lineRule="atLeast"/>
              <w:rPr>
                <w:rFonts w:asciiTheme="majorEastAsia" w:hAnsiTheme="majorEastAsia" w:eastAsiaTheme="majorEastAsia" w:cstheme="majorEastAsia"/>
                <w:sz w:val="20"/>
                <w:szCs w:val="20"/>
              </w:rPr>
            </w:pPr>
          </w:p>
          <w:p w14:paraId="517CE7A7">
            <w:pPr>
              <w:snapToGrid w:val="0"/>
              <w:spacing w:line="240" w:lineRule="atLeast"/>
              <w:rPr>
                <w:rFonts w:asciiTheme="majorEastAsia" w:hAnsiTheme="majorEastAsia" w:eastAsiaTheme="majorEastAsia" w:cstheme="majorEastAsia"/>
                <w:sz w:val="20"/>
                <w:szCs w:val="20"/>
              </w:rPr>
            </w:pPr>
          </w:p>
          <w:p w14:paraId="73D40136">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746B3A07">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619" w:type="dxa"/>
            <w:vMerge w:val="restart"/>
            <w:vAlign w:val="center"/>
          </w:tcPr>
          <w:p w14:paraId="2133F6C9">
            <w:pPr>
              <w:spacing w:line="240" w:lineRule="atLeast"/>
              <w:rPr>
                <w:rFonts w:asciiTheme="majorEastAsia" w:hAnsiTheme="majorEastAsia" w:eastAsiaTheme="majorEastAsia" w:cstheme="majorEastAsia"/>
                <w:sz w:val="20"/>
                <w:szCs w:val="20"/>
              </w:rPr>
            </w:pPr>
          </w:p>
          <w:p w14:paraId="602FC312">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17" w:type="dxa"/>
            <w:gridSpan w:val="5"/>
          </w:tcPr>
          <w:p w14:paraId="11F4599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28" w:type="dxa"/>
            <w:gridSpan w:val="2"/>
          </w:tcPr>
          <w:p w14:paraId="2014FB8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B706DD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161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6" w:type="dxa"/>
            <w:vMerge w:val="continue"/>
          </w:tcPr>
          <w:p w14:paraId="7BB162A5">
            <w:pPr>
              <w:spacing w:line="240" w:lineRule="atLeast"/>
              <w:jc w:val="left"/>
              <w:rPr>
                <w:rFonts w:ascii="仿宋_GB2312" w:hAnsi="仿宋_GB2312" w:eastAsia="仿宋_GB2312" w:cs="仿宋_GB2312"/>
                <w:sz w:val="20"/>
                <w:szCs w:val="20"/>
              </w:rPr>
            </w:pPr>
          </w:p>
        </w:tc>
        <w:tc>
          <w:tcPr>
            <w:tcW w:w="619" w:type="dxa"/>
            <w:vMerge w:val="continue"/>
          </w:tcPr>
          <w:p w14:paraId="3170E927">
            <w:pPr>
              <w:spacing w:line="240" w:lineRule="atLeast"/>
              <w:jc w:val="left"/>
              <w:rPr>
                <w:rFonts w:ascii="仿宋_GB2312" w:hAnsi="仿宋_GB2312" w:eastAsia="仿宋_GB2312" w:cs="仿宋_GB2312"/>
                <w:sz w:val="20"/>
                <w:szCs w:val="20"/>
              </w:rPr>
            </w:pPr>
          </w:p>
        </w:tc>
        <w:tc>
          <w:tcPr>
            <w:tcW w:w="645" w:type="dxa"/>
            <w:vAlign w:val="center"/>
          </w:tcPr>
          <w:p w14:paraId="7D682A47">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38C382AF">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2BB3A6B8">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5CF748CD">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087" w:type="dxa"/>
            <w:vAlign w:val="center"/>
          </w:tcPr>
          <w:p w14:paraId="723AD98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60" w:type="dxa"/>
            <w:vAlign w:val="center"/>
          </w:tcPr>
          <w:p w14:paraId="59B4B59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9AB1D8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68" w:type="dxa"/>
            <w:vAlign w:val="center"/>
          </w:tcPr>
          <w:p w14:paraId="0F0D560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CE0BFE2">
            <w:pPr>
              <w:spacing w:line="240" w:lineRule="atLeast"/>
              <w:jc w:val="left"/>
              <w:rPr>
                <w:rFonts w:ascii="仿宋_GB2312" w:hAnsi="仿宋_GB2312" w:eastAsia="仿宋_GB2312" w:cs="仿宋_GB2312"/>
                <w:sz w:val="20"/>
                <w:szCs w:val="20"/>
              </w:rPr>
            </w:pPr>
          </w:p>
        </w:tc>
      </w:tr>
      <w:tr w14:paraId="4513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376" w:type="dxa"/>
            <w:vAlign w:val="center"/>
          </w:tcPr>
          <w:p w14:paraId="061B88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w:t>
            </w:r>
          </w:p>
        </w:tc>
        <w:tc>
          <w:tcPr>
            <w:tcW w:w="619" w:type="dxa"/>
            <w:vAlign w:val="center"/>
          </w:tcPr>
          <w:p w14:paraId="6FA042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D75AD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23BB9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54C97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70C24DD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乡（镇）村公共设施、公益事业使用集体建设用地审批</w:t>
            </w:r>
          </w:p>
        </w:tc>
        <w:tc>
          <w:tcPr>
            <w:tcW w:w="600" w:type="dxa"/>
            <w:vAlign w:val="center"/>
          </w:tcPr>
          <w:p w14:paraId="21AB0D46">
            <w:pPr>
              <w:snapToGrid w:val="0"/>
              <w:spacing w:line="240" w:lineRule="atLeast"/>
              <w:jc w:val="center"/>
              <w:rPr>
                <w:rFonts w:ascii="仿宋_GB2312" w:hAnsi="仿宋_GB2312" w:eastAsia="仿宋_GB2312" w:cs="仿宋_GB2312"/>
                <w:sz w:val="20"/>
                <w:szCs w:val="20"/>
              </w:rPr>
            </w:pPr>
          </w:p>
        </w:tc>
        <w:tc>
          <w:tcPr>
            <w:tcW w:w="660" w:type="dxa"/>
            <w:vAlign w:val="center"/>
          </w:tcPr>
          <w:p w14:paraId="662BEF4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133955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87" w:type="dxa"/>
            <w:vAlign w:val="center"/>
          </w:tcPr>
          <w:p w14:paraId="3CDA979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1.【法律】《中华人民共和国土地管理法》第六十一条：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p>
          <w:p w14:paraId="3BAAAEFB">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2.【地方性法规】《广西壮族自治区实施〈中华人民共和国土地管理法〉办法》（</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29</w:t>
            </w:r>
            <w:r>
              <w:rPr>
                <w:rFonts w:hint="eastAsia" w:eastAsia="仿宋_GB2312" w:cs="宋体"/>
                <w:snapToGrid w:val="0"/>
                <w:color w:val="000000"/>
                <w:sz w:val="20"/>
                <w:szCs w:val="20"/>
              </w:rPr>
              <w:t>日广西壮族自治区第九届人民代表大会常务委员会第二十五次会议通过，自</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9</w:t>
            </w:r>
            <w:r>
              <w:rPr>
                <w:rFonts w:hint="eastAsia" w:eastAsia="仿宋_GB2312" w:cs="宋体"/>
                <w:snapToGrid w:val="0"/>
                <w:color w:val="000000"/>
                <w:sz w:val="20"/>
                <w:szCs w:val="20"/>
              </w:rPr>
              <w:t>月</w:t>
            </w:r>
            <w:r>
              <w:rPr>
                <w:rFonts w:hint="eastAsia" w:eastAsia="仿宋_GB2312"/>
                <w:snapToGrid w:val="0"/>
                <w:color w:val="000000"/>
                <w:sz w:val="20"/>
                <w:szCs w:val="20"/>
              </w:rPr>
              <w:t>1</w:t>
            </w:r>
            <w:r>
              <w:rPr>
                <w:rFonts w:hint="eastAsia" w:eastAsia="仿宋_GB2312" w:cs="宋体"/>
                <w:snapToGrid w:val="0"/>
                <w:color w:val="000000"/>
                <w:sz w:val="20"/>
                <w:szCs w:val="20"/>
              </w:rPr>
              <w:t>日起施行，</w:t>
            </w:r>
            <w:r>
              <w:rPr>
                <w:rFonts w:hint="eastAsia" w:eastAsia="仿宋_GB2312"/>
                <w:snapToGrid w:val="0"/>
                <w:color w:val="000000"/>
                <w:sz w:val="20"/>
                <w:szCs w:val="20"/>
              </w:rPr>
              <w:t>2019</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25</w:t>
            </w:r>
            <w:r>
              <w:rPr>
                <w:rFonts w:hint="eastAsia" w:eastAsia="仿宋_GB2312" w:cs="宋体"/>
                <w:snapToGrid w:val="0"/>
                <w:color w:val="000000"/>
                <w:sz w:val="20"/>
                <w:szCs w:val="20"/>
              </w:rPr>
              <w:t>日修正）第四十三条第一款 ：农村集体经济组织使用乡（镇）土地利用总体规划确定的建设用地兴办企业或者以土地使用权入股、联营等形式与其他单位、个人共同举办企业以及乡（镇）村公共设施、公益事业建设需要使用土地的，由设区的市、县（市）人民政府批准。</w:t>
            </w:r>
          </w:p>
        </w:tc>
        <w:tc>
          <w:tcPr>
            <w:tcW w:w="4260" w:type="dxa"/>
            <w:vAlign w:val="center"/>
          </w:tcPr>
          <w:p w14:paraId="1C7B3CD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77F9A8E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79E29B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3.送审责任：在法定期限内提出审核意见，上报同级人民政府批准。</w:t>
            </w:r>
          </w:p>
          <w:p w14:paraId="5F7CB12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4．送达责任：获同级人民政府准予许可的，送达审批决定。</w:t>
            </w:r>
          </w:p>
          <w:p w14:paraId="4083ABC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1DB70457">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68" w:type="dxa"/>
            <w:vAlign w:val="center"/>
          </w:tcPr>
          <w:p w14:paraId="552FA65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E54470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074D2C6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67FBB9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6FE9A08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45F5EE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6FA231C5">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595E701C">
            <w:pPr>
              <w:snapToGrid w:val="0"/>
              <w:spacing w:line="240" w:lineRule="atLeast"/>
              <w:jc w:val="center"/>
              <w:rPr>
                <w:rFonts w:ascii="仿宋_GB2312" w:hAnsi="仿宋_GB2312" w:eastAsia="仿宋_GB2312" w:cs="仿宋_GB2312"/>
                <w:sz w:val="20"/>
                <w:szCs w:val="20"/>
              </w:rPr>
            </w:pPr>
          </w:p>
        </w:tc>
      </w:tr>
    </w:tbl>
    <w:p w14:paraId="775902AC"/>
    <w:p w14:paraId="1462C0E7"/>
    <w:p w14:paraId="7E38FA4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558"/>
        <w:gridCol w:w="645"/>
        <w:gridCol w:w="600"/>
        <w:gridCol w:w="660"/>
        <w:gridCol w:w="1125"/>
        <w:gridCol w:w="6087"/>
        <w:gridCol w:w="4260"/>
        <w:gridCol w:w="7668"/>
        <w:gridCol w:w="330"/>
      </w:tblGrid>
      <w:tr w14:paraId="599E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37" w:type="dxa"/>
            <w:vMerge w:val="restart"/>
            <w:vAlign w:val="center"/>
          </w:tcPr>
          <w:p w14:paraId="1A918970">
            <w:pPr>
              <w:snapToGrid w:val="0"/>
              <w:spacing w:line="240" w:lineRule="atLeast"/>
              <w:rPr>
                <w:rFonts w:asciiTheme="majorEastAsia" w:hAnsiTheme="majorEastAsia" w:eastAsiaTheme="majorEastAsia" w:cstheme="majorEastAsia"/>
                <w:sz w:val="20"/>
                <w:szCs w:val="20"/>
              </w:rPr>
            </w:pPr>
          </w:p>
          <w:p w14:paraId="77055ACE">
            <w:pPr>
              <w:snapToGrid w:val="0"/>
              <w:spacing w:line="240" w:lineRule="atLeast"/>
              <w:rPr>
                <w:rFonts w:asciiTheme="majorEastAsia" w:hAnsiTheme="majorEastAsia" w:eastAsiaTheme="majorEastAsia" w:cstheme="majorEastAsia"/>
                <w:sz w:val="20"/>
                <w:szCs w:val="20"/>
              </w:rPr>
            </w:pPr>
          </w:p>
          <w:p w14:paraId="1FC31290">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序</w:t>
            </w:r>
          </w:p>
          <w:p w14:paraId="1EEB11A7">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号</w:t>
            </w:r>
          </w:p>
        </w:tc>
        <w:tc>
          <w:tcPr>
            <w:tcW w:w="558" w:type="dxa"/>
            <w:vMerge w:val="restart"/>
            <w:vAlign w:val="center"/>
          </w:tcPr>
          <w:p w14:paraId="65FDBA6C">
            <w:pPr>
              <w:spacing w:line="240" w:lineRule="atLeast"/>
              <w:rPr>
                <w:rFonts w:asciiTheme="majorEastAsia" w:hAnsiTheme="majorEastAsia" w:eastAsiaTheme="majorEastAsia" w:cstheme="majorEastAsia"/>
                <w:sz w:val="20"/>
                <w:szCs w:val="20"/>
              </w:rPr>
            </w:pPr>
          </w:p>
          <w:p w14:paraId="03183DAB">
            <w:pPr>
              <w:snapToGrid w:val="0"/>
              <w:spacing w:line="240" w:lineRule="atLeast"/>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权力分类</w:t>
            </w:r>
          </w:p>
        </w:tc>
        <w:tc>
          <w:tcPr>
            <w:tcW w:w="9117" w:type="dxa"/>
            <w:gridSpan w:val="5"/>
          </w:tcPr>
          <w:p w14:paraId="0C7B967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28" w:type="dxa"/>
            <w:gridSpan w:val="2"/>
          </w:tcPr>
          <w:p w14:paraId="20EF5E2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285A99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ED6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437" w:type="dxa"/>
            <w:vMerge w:val="continue"/>
          </w:tcPr>
          <w:p w14:paraId="43B7A5F8">
            <w:pPr>
              <w:spacing w:line="240" w:lineRule="atLeast"/>
              <w:jc w:val="left"/>
              <w:rPr>
                <w:rFonts w:ascii="仿宋_GB2312" w:hAnsi="仿宋_GB2312" w:eastAsia="仿宋_GB2312" w:cs="仿宋_GB2312"/>
                <w:sz w:val="20"/>
                <w:szCs w:val="20"/>
              </w:rPr>
            </w:pPr>
          </w:p>
        </w:tc>
        <w:tc>
          <w:tcPr>
            <w:tcW w:w="558" w:type="dxa"/>
            <w:vMerge w:val="continue"/>
          </w:tcPr>
          <w:p w14:paraId="6663F6CF">
            <w:pPr>
              <w:spacing w:line="240" w:lineRule="atLeast"/>
              <w:jc w:val="left"/>
              <w:rPr>
                <w:rFonts w:ascii="仿宋_GB2312" w:hAnsi="仿宋_GB2312" w:eastAsia="仿宋_GB2312" w:cs="仿宋_GB2312"/>
                <w:sz w:val="20"/>
                <w:szCs w:val="20"/>
              </w:rPr>
            </w:pPr>
          </w:p>
        </w:tc>
        <w:tc>
          <w:tcPr>
            <w:tcW w:w="645" w:type="dxa"/>
            <w:vAlign w:val="center"/>
          </w:tcPr>
          <w:p w14:paraId="3302AE50">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项目名称</w:t>
            </w:r>
          </w:p>
        </w:tc>
        <w:tc>
          <w:tcPr>
            <w:tcW w:w="600" w:type="dxa"/>
            <w:vAlign w:val="center"/>
          </w:tcPr>
          <w:p w14:paraId="68B379E7">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18"/>
                <w:szCs w:val="18"/>
              </w:rPr>
              <w:t>子项名称</w:t>
            </w:r>
          </w:p>
        </w:tc>
        <w:tc>
          <w:tcPr>
            <w:tcW w:w="660" w:type="dxa"/>
            <w:vAlign w:val="center"/>
          </w:tcPr>
          <w:p w14:paraId="44AC8B29">
            <w:pPr>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实施主体</w:t>
            </w:r>
          </w:p>
        </w:tc>
        <w:tc>
          <w:tcPr>
            <w:tcW w:w="1125" w:type="dxa"/>
            <w:vAlign w:val="center"/>
          </w:tcPr>
          <w:p w14:paraId="74AB488E">
            <w:pPr>
              <w:widowControl/>
              <w:snapToGrid w:val="0"/>
              <w:spacing w:line="240" w:lineRule="exact"/>
              <w:rPr>
                <w:rFonts w:asciiTheme="minorEastAsia" w:hAnsiTheme="minorEastAsia" w:cstheme="minorEastAsia"/>
                <w:sz w:val="20"/>
                <w:szCs w:val="20"/>
              </w:rPr>
            </w:pPr>
            <w:r>
              <w:rPr>
                <w:rFonts w:hint="eastAsia" w:asciiTheme="minorEastAsia" w:hAnsiTheme="minorEastAsia" w:cstheme="minorEastAsia"/>
                <w:sz w:val="20"/>
                <w:szCs w:val="20"/>
              </w:rPr>
              <w:t>承办的内设机构和单位</w:t>
            </w:r>
          </w:p>
        </w:tc>
        <w:tc>
          <w:tcPr>
            <w:tcW w:w="6087" w:type="dxa"/>
            <w:vAlign w:val="center"/>
          </w:tcPr>
          <w:p w14:paraId="5606C7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60" w:type="dxa"/>
            <w:vAlign w:val="center"/>
          </w:tcPr>
          <w:p w14:paraId="181D120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91E6DE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68" w:type="dxa"/>
            <w:vAlign w:val="center"/>
          </w:tcPr>
          <w:p w14:paraId="4F15ED0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A5A928A">
            <w:pPr>
              <w:spacing w:line="240" w:lineRule="atLeast"/>
              <w:jc w:val="left"/>
              <w:rPr>
                <w:rFonts w:ascii="仿宋_GB2312" w:hAnsi="仿宋_GB2312" w:eastAsia="仿宋_GB2312" w:cs="仿宋_GB2312"/>
                <w:sz w:val="20"/>
                <w:szCs w:val="20"/>
              </w:rPr>
            </w:pPr>
          </w:p>
        </w:tc>
      </w:tr>
      <w:tr w14:paraId="7286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437" w:type="dxa"/>
            <w:vAlign w:val="center"/>
          </w:tcPr>
          <w:p w14:paraId="27152A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w:t>
            </w:r>
          </w:p>
        </w:tc>
        <w:tc>
          <w:tcPr>
            <w:tcW w:w="558" w:type="dxa"/>
            <w:vAlign w:val="center"/>
          </w:tcPr>
          <w:p w14:paraId="60DC4A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E7A7C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1B4B9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E5BE0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45" w:type="dxa"/>
            <w:vAlign w:val="center"/>
          </w:tcPr>
          <w:p w14:paraId="59768D7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临时用地审批</w:t>
            </w:r>
          </w:p>
        </w:tc>
        <w:tc>
          <w:tcPr>
            <w:tcW w:w="600" w:type="dxa"/>
            <w:vAlign w:val="center"/>
          </w:tcPr>
          <w:p w14:paraId="7C833502">
            <w:pPr>
              <w:snapToGrid w:val="0"/>
              <w:spacing w:line="240" w:lineRule="atLeast"/>
              <w:jc w:val="center"/>
              <w:rPr>
                <w:rFonts w:ascii="仿宋_GB2312" w:hAnsi="仿宋_GB2312" w:eastAsia="仿宋_GB2312" w:cs="仿宋_GB2312"/>
                <w:sz w:val="20"/>
                <w:szCs w:val="20"/>
              </w:rPr>
            </w:pPr>
          </w:p>
        </w:tc>
        <w:tc>
          <w:tcPr>
            <w:tcW w:w="660" w:type="dxa"/>
            <w:vAlign w:val="center"/>
          </w:tcPr>
          <w:p w14:paraId="1FEF47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25" w:type="dxa"/>
            <w:vAlign w:val="center"/>
          </w:tcPr>
          <w:p w14:paraId="6E99CF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87" w:type="dxa"/>
            <w:vAlign w:val="center"/>
          </w:tcPr>
          <w:p w14:paraId="787C1D1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十七条：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w:t>
            </w:r>
          </w:p>
          <w:p w14:paraId="4E63BD2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临时使用土地的使用者应当按照临时使用土地合同约定的用途使用土地，并不得修建永久性建筑物。</w:t>
            </w:r>
          </w:p>
          <w:p w14:paraId="69F38BE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临时使用土地期限一般不超过二年。</w:t>
            </w:r>
          </w:p>
          <w:p w14:paraId="751E672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实施〈中华人民共和国土地管理法〉办法》（2001年7月29日广西壮族自治区第九届人民代表大会常务委员会第二十五次会议通过，自2001年9月1日起施行，2019年7月25日修正）第四十八条： 因地质勘查、建设项目施工及其他临时设施需要临时使用国有土地或者集体土地的，应当按照下列权限办理审批手续：</w:t>
            </w:r>
          </w:p>
          <w:p w14:paraId="6D05948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（一）临时使用基本农田以外的耕地的，由设区的市人民政府自然资源行政主管部门批准；</w:t>
            </w:r>
          </w:p>
          <w:p w14:paraId="6746CD40">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（二）临时使用不涉及占用耕地的，由县级人民政府自然资源行政主管部门批准。</w:t>
            </w:r>
          </w:p>
        </w:tc>
        <w:tc>
          <w:tcPr>
            <w:tcW w:w="4260" w:type="dxa"/>
            <w:vAlign w:val="center"/>
          </w:tcPr>
          <w:p w14:paraId="2410318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083C92D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36D652D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420760A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7B32E18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19A2F5B6">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68" w:type="dxa"/>
            <w:vAlign w:val="center"/>
          </w:tcPr>
          <w:p w14:paraId="350B7B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87F3C2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E42DA1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0C96F6A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0C46723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77349D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4—1.【法律】《中华人民共和国行政许可法》第四十四条：行政机关作出准予行政许可的决定，应当自作出决定之日起十日内向申请人颁发、送达行政许可证件，或者加贴标签、加盖检验、检测、检疫印章。</w:t>
            </w:r>
          </w:p>
          <w:p w14:paraId="51A11456">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3855EAF9">
            <w:pPr>
              <w:snapToGrid w:val="0"/>
              <w:spacing w:line="240" w:lineRule="atLeast"/>
              <w:jc w:val="center"/>
              <w:rPr>
                <w:rFonts w:ascii="仿宋_GB2312" w:hAnsi="仿宋_GB2312" w:eastAsia="仿宋_GB2312" w:cs="仿宋_GB2312"/>
                <w:sz w:val="20"/>
                <w:szCs w:val="20"/>
              </w:rPr>
            </w:pPr>
          </w:p>
        </w:tc>
      </w:tr>
    </w:tbl>
    <w:p w14:paraId="46C72B42"/>
    <w:p w14:paraId="00AE9639"/>
    <w:p w14:paraId="4EA2A8B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102"/>
        <w:gridCol w:w="4260"/>
        <w:gridCol w:w="7653"/>
        <w:gridCol w:w="330"/>
      </w:tblGrid>
      <w:tr w14:paraId="1E20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16FFDB5">
            <w:pPr>
              <w:snapToGrid w:val="0"/>
              <w:spacing w:line="240" w:lineRule="atLeast"/>
              <w:jc w:val="left"/>
              <w:rPr>
                <w:rFonts w:asciiTheme="majorEastAsia" w:hAnsiTheme="majorEastAsia" w:eastAsiaTheme="majorEastAsia" w:cstheme="majorEastAsia"/>
                <w:spacing w:val="-23"/>
                <w:sz w:val="20"/>
                <w:szCs w:val="20"/>
              </w:rPr>
            </w:pPr>
          </w:p>
          <w:p w14:paraId="61344A67">
            <w:pPr>
              <w:snapToGrid w:val="0"/>
              <w:spacing w:line="240" w:lineRule="atLeast"/>
              <w:jc w:val="left"/>
              <w:rPr>
                <w:rFonts w:asciiTheme="majorEastAsia" w:hAnsiTheme="majorEastAsia" w:eastAsiaTheme="majorEastAsia" w:cstheme="majorEastAsia"/>
                <w:spacing w:val="-23"/>
                <w:sz w:val="20"/>
                <w:szCs w:val="20"/>
              </w:rPr>
            </w:pPr>
          </w:p>
          <w:p w14:paraId="7CC6CBD6">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FFDA7CC">
            <w:pPr>
              <w:spacing w:line="240" w:lineRule="atLeast"/>
              <w:rPr>
                <w:rFonts w:asciiTheme="majorEastAsia" w:hAnsiTheme="majorEastAsia" w:eastAsiaTheme="majorEastAsia" w:cstheme="majorEastAsia"/>
                <w:spacing w:val="-20"/>
                <w:sz w:val="20"/>
                <w:szCs w:val="20"/>
              </w:rPr>
            </w:pPr>
          </w:p>
          <w:p w14:paraId="3862967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61" w:type="dxa"/>
            <w:gridSpan w:val="5"/>
          </w:tcPr>
          <w:p w14:paraId="7FF84B3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13" w:type="dxa"/>
            <w:gridSpan w:val="2"/>
          </w:tcPr>
          <w:p w14:paraId="2494021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4F5CB1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D84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ECE8FED">
            <w:pPr>
              <w:spacing w:line="240" w:lineRule="atLeast"/>
              <w:jc w:val="left"/>
              <w:rPr>
                <w:rFonts w:ascii="仿宋_GB2312" w:hAnsi="仿宋_GB2312" w:eastAsia="仿宋_GB2312" w:cs="仿宋_GB2312"/>
                <w:sz w:val="20"/>
                <w:szCs w:val="20"/>
              </w:rPr>
            </w:pPr>
          </w:p>
        </w:tc>
        <w:tc>
          <w:tcPr>
            <w:tcW w:w="555" w:type="dxa"/>
            <w:vMerge w:val="continue"/>
          </w:tcPr>
          <w:p w14:paraId="472FC841">
            <w:pPr>
              <w:spacing w:line="240" w:lineRule="atLeast"/>
              <w:jc w:val="left"/>
              <w:rPr>
                <w:rFonts w:ascii="仿宋_GB2312" w:hAnsi="仿宋_GB2312" w:eastAsia="仿宋_GB2312" w:cs="仿宋_GB2312"/>
                <w:sz w:val="20"/>
                <w:szCs w:val="20"/>
              </w:rPr>
            </w:pPr>
          </w:p>
        </w:tc>
        <w:tc>
          <w:tcPr>
            <w:tcW w:w="600" w:type="dxa"/>
            <w:vAlign w:val="center"/>
          </w:tcPr>
          <w:p w14:paraId="4C9D9DA5">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699D738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880906F">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2A76F4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102" w:type="dxa"/>
            <w:vAlign w:val="center"/>
          </w:tcPr>
          <w:p w14:paraId="02F6186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60" w:type="dxa"/>
            <w:vAlign w:val="center"/>
          </w:tcPr>
          <w:p w14:paraId="5DEDB8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F4A11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53" w:type="dxa"/>
            <w:vAlign w:val="center"/>
          </w:tcPr>
          <w:p w14:paraId="564307F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6F05963">
            <w:pPr>
              <w:spacing w:line="240" w:lineRule="atLeast"/>
              <w:jc w:val="left"/>
              <w:rPr>
                <w:rFonts w:ascii="仿宋_GB2312" w:hAnsi="仿宋_GB2312" w:eastAsia="仿宋_GB2312" w:cs="仿宋_GB2312"/>
                <w:sz w:val="20"/>
                <w:szCs w:val="20"/>
              </w:rPr>
            </w:pPr>
          </w:p>
        </w:tc>
      </w:tr>
      <w:tr w14:paraId="6F26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B15DE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w:t>
            </w:r>
          </w:p>
        </w:tc>
        <w:tc>
          <w:tcPr>
            <w:tcW w:w="555" w:type="dxa"/>
            <w:vAlign w:val="center"/>
          </w:tcPr>
          <w:p w14:paraId="0118AF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71B3A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1FAEB5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9D2BD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3069B2C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土地开垦区内开发未确定使用权的国有土地从事生产审查</w:t>
            </w:r>
          </w:p>
        </w:tc>
        <w:tc>
          <w:tcPr>
            <w:tcW w:w="645" w:type="dxa"/>
            <w:vAlign w:val="center"/>
          </w:tcPr>
          <w:p w14:paraId="38C5B080">
            <w:pPr>
              <w:snapToGrid w:val="0"/>
              <w:spacing w:line="240" w:lineRule="atLeast"/>
              <w:jc w:val="center"/>
              <w:rPr>
                <w:rFonts w:ascii="仿宋_GB2312" w:hAnsi="仿宋_GB2312" w:eastAsia="仿宋_GB2312" w:cs="仿宋_GB2312"/>
                <w:sz w:val="20"/>
                <w:szCs w:val="20"/>
              </w:rPr>
            </w:pPr>
          </w:p>
        </w:tc>
        <w:tc>
          <w:tcPr>
            <w:tcW w:w="585" w:type="dxa"/>
            <w:vAlign w:val="center"/>
          </w:tcPr>
          <w:p w14:paraId="0B0658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2BB48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102" w:type="dxa"/>
            <w:vAlign w:val="center"/>
          </w:tcPr>
          <w:p w14:paraId="1B297AC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四十一条：开发未确定使用权的国有荒山、荒地、荒滩从事种植业、林业、畜牧业、渔业生产的，经县级以上人民政府依法批准，可以确定给开发单位或者个人长期使用。</w:t>
            </w:r>
          </w:p>
          <w:p w14:paraId="7693D13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2021年7月第三次修订）第九条：禁止任何单位和个人在国土空间规划确定的禁止开垦的范围内从事土地开发活动。按照国土空间规划，开发未确定土地使用权的国有荒山、荒地、荒滩从事种植业、林业、畜牧业、渔业生产的，应当向土地所在地的县级以上地方人民政府自然资源主管部门提出申请，按照省、自治区、直辖市规定的权限，由县级以上地方人民政府批准。</w:t>
            </w:r>
          </w:p>
          <w:p w14:paraId="37D322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 【地方性法规】《广西壮族自治区实施〈中华人民共和国土地管理法〉办法》（2001年7月29日广西壮族自治区第九届人民代表大会常务委员会第二十五次会议通过，2019年7月修正）第三十条：单位和个人在土地利用总体规划确定的土地开垦区内，开发未确定使用权的国有荒山、荒地、荒滩等未利用地从事种植业、林业、畜牧业、渔业生产的，应当向设区的市、县（市）人民政府自然资源行政主管部门提出申请，并按下列权限报经批准后方可进行开发：</w:t>
            </w:r>
          </w:p>
          <w:p w14:paraId="5720DC5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（一）一次性开发不超过50公顷的，由县（市）人民政府批准；</w:t>
            </w:r>
          </w:p>
          <w:p w14:paraId="47905510">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（二）一次性开发超过50公顷的，由设区的市人民政府批准。</w:t>
            </w:r>
          </w:p>
        </w:tc>
        <w:tc>
          <w:tcPr>
            <w:tcW w:w="4260" w:type="dxa"/>
            <w:vAlign w:val="center"/>
          </w:tcPr>
          <w:p w14:paraId="68BD754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1FC8CBA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023E3A5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3.送审责任：在法定期限内提出审核意见，上报同级人民政府批准。</w:t>
            </w:r>
          </w:p>
          <w:p w14:paraId="491F646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4．送达责任：获同级人民政府准予许可的，送达审批决定。</w:t>
            </w:r>
          </w:p>
          <w:p w14:paraId="5CD7E35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38724E39">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53" w:type="dxa"/>
            <w:vAlign w:val="center"/>
          </w:tcPr>
          <w:p w14:paraId="151B67B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7B9B3B2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0EFD20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E3B5FA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1BD204A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323905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331F3F64">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0EC29A0E">
            <w:pPr>
              <w:snapToGrid w:val="0"/>
              <w:spacing w:line="240" w:lineRule="atLeast"/>
              <w:jc w:val="center"/>
              <w:rPr>
                <w:rFonts w:ascii="仿宋_GB2312" w:hAnsi="仿宋_GB2312" w:eastAsia="仿宋_GB2312" w:cs="仿宋_GB2312"/>
                <w:sz w:val="20"/>
                <w:szCs w:val="20"/>
              </w:rPr>
            </w:pPr>
          </w:p>
        </w:tc>
      </w:tr>
    </w:tbl>
    <w:p w14:paraId="247C3E70"/>
    <w:p w14:paraId="000AB8FD"/>
    <w:p w14:paraId="2158C47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72"/>
        <w:gridCol w:w="4320"/>
        <w:gridCol w:w="7623"/>
        <w:gridCol w:w="330"/>
      </w:tblGrid>
      <w:tr w14:paraId="6402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A609BC5">
            <w:pPr>
              <w:snapToGrid w:val="0"/>
              <w:spacing w:line="240" w:lineRule="atLeast"/>
              <w:jc w:val="left"/>
              <w:rPr>
                <w:rFonts w:asciiTheme="majorEastAsia" w:hAnsiTheme="majorEastAsia" w:eastAsiaTheme="majorEastAsia" w:cstheme="majorEastAsia"/>
                <w:spacing w:val="-23"/>
                <w:sz w:val="20"/>
                <w:szCs w:val="20"/>
              </w:rPr>
            </w:pPr>
          </w:p>
          <w:p w14:paraId="67317C75">
            <w:pPr>
              <w:snapToGrid w:val="0"/>
              <w:spacing w:line="240" w:lineRule="atLeast"/>
              <w:jc w:val="left"/>
              <w:rPr>
                <w:rFonts w:asciiTheme="majorEastAsia" w:hAnsiTheme="majorEastAsia" w:eastAsiaTheme="majorEastAsia" w:cstheme="majorEastAsia"/>
                <w:spacing w:val="-23"/>
                <w:sz w:val="20"/>
                <w:szCs w:val="20"/>
              </w:rPr>
            </w:pPr>
          </w:p>
          <w:p w14:paraId="5632B7C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FD1ECA3">
            <w:pPr>
              <w:spacing w:line="240" w:lineRule="atLeast"/>
              <w:rPr>
                <w:rFonts w:asciiTheme="majorEastAsia" w:hAnsiTheme="majorEastAsia" w:eastAsiaTheme="majorEastAsia" w:cstheme="majorEastAsia"/>
                <w:spacing w:val="-20"/>
                <w:sz w:val="20"/>
                <w:szCs w:val="20"/>
              </w:rPr>
            </w:pPr>
          </w:p>
          <w:p w14:paraId="7F61684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31" w:type="dxa"/>
            <w:gridSpan w:val="5"/>
          </w:tcPr>
          <w:p w14:paraId="0FAF4BF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43" w:type="dxa"/>
            <w:gridSpan w:val="2"/>
          </w:tcPr>
          <w:p w14:paraId="47F8908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F68792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34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1BE758B">
            <w:pPr>
              <w:spacing w:line="240" w:lineRule="atLeast"/>
              <w:jc w:val="left"/>
              <w:rPr>
                <w:rFonts w:ascii="仿宋_GB2312" w:hAnsi="仿宋_GB2312" w:eastAsia="仿宋_GB2312" w:cs="仿宋_GB2312"/>
                <w:sz w:val="20"/>
                <w:szCs w:val="20"/>
              </w:rPr>
            </w:pPr>
          </w:p>
        </w:tc>
        <w:tc>
          <w:tcPr>
            <w:tcW w:w="555" w:type="dxa"/>
            <w:vMerge w:val="continue"/>
          </w:tcPr>
          <w:p w14:paraId="2B9E1964">
            <w:pPr>
              <w:spacing w:line="240" w:lineRule="atLeast"/>
              <w:jc w:val="left"/>
              <w:rPr>
                <w:rFonts w:ascii="仿宋_GB2312" w:hAnsi="仿宋_GB2312" w:eastAsia="仿宋_GB2312" w:cs="仿宋_GB2312"/>
                <w:sz w:val="20"/>
                <w:szCs w:val="20"/>
              </w:rPr>
            </w:pPr>
          </w:p>
        </w:tc>
        <w:tc>
          <w:tcPr>
            <w:tcW w:w="600" w:type="dxa"/>
            <w:vAlign w:val="center"/>
          </w:tcPr>
          <w:p w14:paraId="651B1139">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74A3AA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28C7CCF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303EA59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72" w:type="dxa"/>
            <w:vAlign w:val="center"/>
          </w:tcPr>
          <w:p w14:paraId="0F7BEA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20" w:type="dxa"/>
            <w:vAlign w:val="center"/>
          </w:tcPr>
          <w:p w14:paraId="3F1B703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1E4CD2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23" w:type="dxa"/>
            <w:vAlign w:val="center"/>
          </w:tcPr>
          <w:p w14:paraId="53D6E88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214EADF">
            <w:pPr>
              <w:spacing w:line="240" w:lineRule="atLeast"/>
              <w:jc w:val="left"/>
              <w:rPr>
                <w:rFonts w:ascii="仿宋_GB2312" w:hAnsi="仿宋_GB2312" w:eastAsia="仿宋_GB2312" w:cs="仿宋_GB2312"/>
                <w:sz w:val="20"/>
                <w:szCs w:val="20"/>
              </w:rPr>
            </w:pPr>
          </w:p>
        </w:tc>
      </w:tr>
      <w:tr w14:paraId="0C72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1B724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w:t>
            </w:r>
          </w:p>
        </w:tc>
        <w:tc>
          <w:tcPr>
            <w:tcW w:w="555" w:type="dxa"/>
            <w:vAlign w:val="center"/>
          </w:tcPr>
          <w:p w14:paraId="52E289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22B93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CC0FB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7D637F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796CCCB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国有建设用地使用权划拨批准</w:t>
            </w:r>
          </w:p>
        </w:tc>
        <w:tc>
          <w:tcPr>
            <w:tcW w:w="645" w:type="dxa"/>
            <w:vAlign w:val="center"/>
          </w:tcPr>
          <w:p w14:paraId="64183FF8">
            <w:pPr>
              <w:snapToGrid w:val="0"/>
              <w:spacing w:line="240" w:lineRule="atLeast"/>
              <w:jc w:val="center"/>
              <w:rPr>
                <w:rFonts w:ascii="仿宋_GB2312" w:hAnsi="仿宋_GB2312" w:eastAsia="仿宋_GB2312" w:cs="仿宋_GB2312"/>
                <w:sz w:val="20"/>
                <w:szCs w:val="20"/>
              </w:rPr>
            </w:pPr>
          </w:p>
        </w:tc>
        <w:tc>
          <w:tcPr>
            <w:tcW w:w="585" w:type="dxa"/>
            <w:vAlign w:val="center"/>
          </w:tcPr>
          <w:p w14:paraId="3BA709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C96B5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72" w:type="dxa"/>
            <w:vAlign w:val="center"/>
          </w:tcPr>
          <w:p w14:paraId="60CC5BD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【法律】《中华人民共和国土地管理法》第二条：国家依法实行国有土地有偿使用制度。但是，国家在法律规定的范围内划拨国有土地使用权的除外。</w:t>
            </w:r>
          </w:p>
          <w:p w14:paraId="31D28E9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第五十四条：建设单位使用国有土地，应当以出让等有偿使用方式取得；但是，下列建设用地，经县级以上人民政府依法批准，可以以划拨方式取得：</w:t>
            </w:r>
          </w:p>
          <w:p w14:paraId="7D5A269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（一）国家机关用地和军事用地；</w:t>
            </w:r>
          </w:p>
          <w:p w14:paraId="5D43410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（二）城市基础设施用地和公益事业用地；</w:t>
            </w:r>
          </w:p>
          <w:p w14:paraId="335DB63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（三）国家重点扶持的能源、交通、水利等基础设施用地；</w:t>
            </w:r>
          </w:p>
          <w:p w14:paraId="78AF2057">
            <w:pPr>
              <w:snapToGrid w:val="0"/>
              <w:spacing w:line="240" w:lineRule="atLeast"/>
              <w:rPr>
                <w:rFonts w:ascii="仿宋_GB2312" w:hAnsi="仿宋_GB2312" w:eastAsia="仿宋_GB2312" w:cs="仿宋_GB2312"/>
                <w:sz w:val="20"/>
                <w:szCs w:val="20"/>
              </w:rPr>
            </w:pPr>
            <w:r>
              <w:rPr>
                <w:rFonts w:hint="eastAsia" w:eastAsia="仿宋_GB2312" w:cs="宋体"/>
                <w:snapToGrid w:val="0"/>
                <w:color w:val="000000"/>
                <w:sz w:val="20"/>
                <w:szCs w:val="20"/>
              </w:rPr>
              <w:t>（四）法律、行政法规规定的其他用地。</w:t>
            </w:r>
          </w:p>
        </w:tc>
        <w:tc>
          <w:tcPr>
            <w:tcW w:w="4320" w:type="dxa"/>
            <w:vAlign w:val="center"/>
          </w:tcPr>
          <w:p w14:paraId="64DBDAA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644010F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30B8F7A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295D840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683D413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5．事后监管环节责任：分管领导对审批后的相关事宜实施监督管理。</w:t>
            </w:r>
          </w:p>
          <w:p w14:paraId="5500C853">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23" w:type="dxa"/>
            <w:vAlign w:val="center"/>
          </w:tcPr>
          <w:p w14:paraId="78DB20E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C0E19D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6565B66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3D3F73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3581F50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481952A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7F9C641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7E8A21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0C54F7ED">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66FDE161">
            <w:pPr>
              <w:snapToGrid w:val="0"/>
              <w:spacing w:line="240" w:lineRule="atLeast"/>
              <w:jc w:val="center"/>
              <w:rPr>
                <w:rFonts w:ascii="仿宋_GB2312" w:hAnsi="仿宋_GB2312" w:eastAsia="仿宋_GB2312" w:cs="仿宋_GB2312"/>
                <w:sz w:val="20"/>
                <w:szCs w:val="20"/>
              </w:rPr>
            </w:pPr>
          </w:p>
        </w:tc>
      </w:tr>
    </w:tbl>
    <w:p w14:paraId="17A3293C"/>
    <w:p w14:paraId="62333A0A"/>
    <w:p w14:paraId="7C1EC32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50"/>
        <w:gridCol w:w="7608"/>
        <w:gridCol w:w="330"/>
      </w:tblGrid>
      <w:tr w14:paraId="5CB9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C8D8DB3">
            <w:pPr>
              <w:snapToGrid w:val="0"/>
              <w:spacing w:line="240" w:lineRule="atLeast"/>
              <w:jc w:val="left"/>
              <w:rPr>
                <w:rFonts w:asciiTheme="majorEastAsia" w:hAnsiTheme="majorEastAsia" w:eastAsiaTheme="majorEastAsia" w:cstheme="majorEastAsia"/>
                <w:spacing w:val="-23"/>
                <w:sz w:val="20"/>
                <w:szCs w:val="20"/>
              </w:rPr>
            </w:pPr>
          </w:p>
          <w:p w14:paraId="198AD083">
            <w:pPr>
              <w:snapToGrid w:val="0"/>
              <w:spacing w:line="240" w:lineRule="atLeast"/>
              <w:jc w:val="left"/>
              <w:rPr>
                <w:rFonts w:asciiTheme="majorEastAsia" w:hAnsiTheme="majorEastAsia" w:eastAsiaTheme="majorEastAsia" w:cstheme="majorEastAsia"/>
                <w:spacing w:val="-23"/>
                <w:sz w:val="20"/>
                <w:szCs w:val="20"/>
              </w:rPr>
            </w:pPr>
          </w:p>
          <w:p w14:paraId="360EC2F7">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B050C83">
            <w:pPr>
              <w:spacing w:line="240" w:lineRule="atLeast"/>
              <w:rPr>
                <w:rFonts w:asciiTheme="majorEastAsia" w:hAnsiTheme="majorEastAsia" w:eastAsiaTheme="majorEastAsia" w:cstheme="majorEastAsia"/>
                <w:spacing w:val="-20"/>
                <w:sz w:val="20"/>
                <w:szCs w:val="20"/>
              </w:rPr>
            </w:pPr>
          </w:p>
          <w:p w14:paraId="489034A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4CEE2B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379B3E2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17D0EE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96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ECC6E67">
            <w:pPr>
              <w:spacing w:line="240" w:lineRule="atLeast"/>
              <w:jc w:val="left"/>
              <w:rPr>
                <w:rFonts w:ascii="仿宋_GB2312" w:hAnsi="仿宋_GB2312" w:eastAsia="仿宋_GB2312" w:cs="仿宋_GB2312"/>
                <w:sz w:val="20"/>
                <w:szCs w:val="20"/>
              </w:rPr>
            </w:pPr>
          </w:p>
        </w:tc>
        <w:tc>
          <w:tcPr>
            <w:tcW w:w="555" w:type="dxa"/>
            <w:vMerge w:val="continue"/>
          </w:tcPr>
          <w:p w14:paraId="25FD54E5">
            <w:pPr>
              <w:spacing w:line="240" w:lineRule="atLeast"/>
              <w:jc w:val="left"/>
              <w:rPr>
                <w:rFonts w:ascii="仿宋_GB2312" w:hAnsi="仿宋_GB2312" w:eastAsia="仿宋_GB2312" w:cs="仿宋_GB2312"/>
                <w:sz w:val="20"/>
                <w:szCs w:val="20"/>
              </w:rPr>
            </w:pPr>
          </w:p>
        </w:tc>
        <w:tc>
          <w:tcPr>
            <w:tcW w:w="600" w:type="dxa"/>
            <w:vAlign w:val="center"/>
          </w:tcPr>
          <w:p w14:paraId="785E6CD4">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5BBB928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D1331F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29FB3D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6BE174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50" w:type="dxa"/>
            <w:vAlign w:val="center"/>
          </w:tcPr>
          <w:p w14:paraId="7B72F8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E8EB2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608" w:type="dxa"/>
            <w:vAlign w:val="center"/>
          </w:tcPr>
          <w:p w14:paraId="4015214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2F727FB">
            <w:pPr>
              <w:spacing w:line="240" w:lineRule="atLeast"/>
              <w:jc w:val="left"/>
              <w:rPr>
                <w:rFonts w:ascii="仿宋_GB2312" w:hAnsi="仿宋_GB2312" w:eastAsia="仿宋_GB2312" w:cs="仿宋_GB2312"/>
                <w:sz w:val="20"/>
                <w:szCs w:val="20"/>
              </w:rPr>
            </w:pPr>
          </w:p>
        </w:tc>
      </w:tr>
      <w:tr w14:paraId="7D59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5" w:hRule="atLeast"/>
        </w:trPr>
        <w:tc>
          <w:tcPr>
            <w:tcW w:w="611" w:type="dxa"/>
            <w:vAlign w:val="center"/>
          </w:tcPr>
          <w:p w14:paraId="23422D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w:t>
            </w:r>
          </w:p>
        </w:tc>
        <w:tc>
          <w:tcPr>
            <w:tcW w:w="555" w:type="dxa"/>
            <w:vAlign w:val="center"/>
          </w:tcPr>
          <w:p w14:paraId="3B6C9C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E13CD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92E96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4ABFF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2068C17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国有建设用地使用权出让后土地使用权分割转让批准</w:t>
            </w:r>
          </w:p>
        </w:tc>
        <w:tc>
          <w:tcPr>
            <w:tcW w:w="645" w:type="dxa"/>
            <w:vAlign w:val="center"/>
          </w:tcPr>
          <w:p w14:paraId="390B14F1">
            <w:pPr>
              <w:snapToGrid w:val="0"/>
              <w:spacing w:line="240" w:lineRule="atLeast"/>
              <w:jc w:val="center"/>
              <w:rPr>
                <w:rFonts w:ascii="仿宋_GB2312" w:hAnsi="仿宋_GB2312" w:eastAsia="仿宋_GB2312" w:cs="仿宋_GB2312"/>
                <w:sz w:val="20"/>
                <w:szCs w:val="20"/>
              </w:rPr>
            </w:pPr>
          </w:p>
        </w:tc>
        <w:tc>
          <w:tcPr>
            <w:tcW w:w="585" w:type="dxa"/>
            <w:vAlign w:val="center"/>
          </w:tcPr>
          <w:p w14:paraId="18F69C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10FC0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13F6D316">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中华人民共和国城镇国有土地使用权出让和转让暂行条例》（1990年国务院令第55号发布，2020年国务院令第732号修订）第二十五条：土地使用权和地上建筑物、其他附着物所有权转让，应当按照规定办理过户登记。土地使用权和地上建筑物、其他附着物所有权分割转让的，应当经市、县人民政府土地管理部门和房产管理部门批准，并依照规定办理过户登记。</w:t>
            </w:r>
          </w:p>
        </w:tc>
        <w:tc>
          <w:tcPr>
            <w:tcW w:w="4350" w:type="dxa"/>
            <w:vAlign w:val="center"/>
          </w:tcPr>
          <w:p w14:paraId="2CB3D69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02BB7B2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w:t>
            </w:r>
          </w:p>
          <w:p w14:paraId="4EDA849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11E1EF9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753A799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5．事后监管环节责任：对审批后的相关事宜实施监督管理。</w:t>
            </w:r>
          </w:p>
          <w:p w14:paraId="3E3B8406">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608" w:type="dxa"/>
            <w:vAlign w:val="center"/>
          </w:tcPr>
          <w:p w14:paraId="2794963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0B39E35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73A06E2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D699E6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30C70BF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F1DA6D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737DC6A9">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38756428">
            <w:pPr>
              <w:snapToGrid w:val="0"/>
              <w:spacing w:line="240" w:lineRule="atLeast"/>
              <w:jc w:val="center"/>
              <w:rPr>
                <w:rFonts w:ascii="仿宋_GB2312" w:hAnsi="仿宋_GB2312" w:eastAsia="仿宋_GB2312" w:cs="仿宋_GB2312"/>
                <w:sz w:val="20"/>
                <w:szCs w:val="20"/>
              </w:rPr>
            </w:pPr>
          </w:p>
        </w:tc>
      </w:tr>
    </w:tbl>
    <w:p w14:paraId="29EC07C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65"/>
        <w:gridCol w:w="7593"/>
        <w:gridCol w:w="330"/>
      </w:tblGrid>
      <w:tr w14:paraId="4AFE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F91F763">
            <w:pPr>
              <w:snapToGrid w:val="0"/>
              <w:spacing w:line="240" w:lineRule="atLeast"/>
              <w:jc w:val="left"/>
              <w:rPr>
                <w:rFonts w:asciiTheme="majorEastAsia" w:hAnsiTheme="majorEastAsia" w:eastAsiaTheme="majorEastAsia" w:cstheme="majorEastAsia"/>
                <w:spacing w:val="-23"/>
                <w:sz w:val="20"/>
                <w:szCs w:val="20"/>
              </w:rPr>
            </w:pPr>
          </w:p>
          <w:p w14:paraId="123A0DE7">
            <w:pPr>
              <w:snapToGrid w:val="0"/>
              <w:spacing w:line="240" w:lineRule="atLeast"/>
              <w:jc w:val="left"/>
              <w:rPr>
                <w:rFonts w:asciiTheme="majorEastAsia" w:hAnsiTheme="majorEastAsia" w:eastAsiaTheme="majorEastAsia" w:cstheme="majorEastAsia"/>
                <w:spacing w:val="-23"/>
                <w:sz w:val="20"/>
                <w:szCs w:val="20"/>
              </w:rPr>
            </w:pPr>
          </w:p>
          <w:p w14:paraId="6CBFC236">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5194DB0">
            <w:pPr>
              <w:spacing w:line="240" w:lineRule="atLeast"/>
              <w:rPr>
                <w:rFonts w:asciiTheme="majorEastAsia" w:hAnsiTheme="majorEastAsia" w:eastAsiaTheme="majorEastAsia" w:cstheme="majorEastAsia"/>
                <w:spacing w:val="-20"/>
                <w:sz w:val="20"/>
                <w:szCs w:val="20"/>
              </w:rPr>
            </w:pPr>
          </w:p>
          <w:p w14:paraId="68E7AA9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250040B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3504B22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680120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346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289A7B7">
            <w:pPr>
              <w:spacing w:line="240" w:lineRule="atLeast"/>
              <w:jc w:val="left"/>
              <w:rPr>
                <w:rFonts w:ascii="仿宋_GB2312" w:hAnsi="仿宋_GB2312" w:eastAsia="仿宋_GB2312" w:cs="仿宋_GB2312"/>
                <w:sz w:val="20"/>
                <w:szCs w:val="20"/>
              </w:rPr>
            </w:pPr>
          </w:p>
        </w:tc>
        <w:tc>
          <w:tcPr>
            <w:tcW w:w="555" w:type="dxa"/>
            <w:vMerge w:val="continue"/>
          </w:tcPr>
          <w:p w14:paraId="6AC7D4C0">
            <w:pPr>
              <w:spacing w:line="240" w:lineRule="atLeast"/>
              <w:jc w:val="left"/>
              <w:rPr>
                <w:rFonts w:ascii="仿宋_GB2312" w:hAnsi="仿宋_GB2312" w:eastAsia="仿宋_GB2312" w:cs="仿宋_GB2312"/>
                <w:sz w:val="20"/>
                <w:szCs w:val="20"/>
              </w:rPr>
            </w:pPr>
          </w:p>
        </w:tc>
        <w:tc>
          <w:tcPr>
            <w:tcW w:w="600" w:type="dxa"/>
            <w:vAlign w:val="center"/>
          </w:tcPr>
          <w:p w14:paraId="0A14498A">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5F9FA7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51F5662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503060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107B43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65" w:type="dxa"/>
            <w:vAlign w:val="center"/>
          </w:tcPr>
          <w:p w14:paraId="55FA380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96DA46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93" w:type="dxa"/>
            <w:vAlign w:val="center"/>
          </w:tcPr>
          <w:p w14:paraId="3085672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AD5F0E1">
            <w:pPr>
              <w:spacing w:line="240" w:lineRule="atLeast"/>
              <w:jc w:val="left"/>
              <w:rPr>
                <w:rFonts w:ascii="仿宋_GB2312" w:hAnsi="仿宋_GB2312" w:eastAsia="仿宋_GB2312" w:cs="仿宋_GB2312"/>
                <w:sz w:val="20"/>
                <w:szCs w:val="20"/>
              </w:rPr>
            </w:pPr>
          </w:p>
        </w:tc>
      </w:tr>
      <w:tr w14:paraId="75C1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FE4218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w:t>
            </w:r>
          </w:p>
        </w:tc>
        <w:tc>
          <w:tcPr>
            <w:tcW w:w="555" w:type="dxa"/>
            <w:vAlign w:val="center"/>
          </w:tcPr>
          <w:p w14:paraId="5DA343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42A51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D34A2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67A480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0A140D0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非农业建设项目（用地）延期动工审批</w:t>
            </w:r>
          </w:p>
        </w:tc>
        <w:tc>
          <w:tcPr>
            <w:tcW w:w="645" w:type="dxa"/>
            <w:vAlign w:val="center"/>
          </w:tcPr>
          <w:p w14:paraId="30A5B034">
            <w:pPr>
              <w:snapToGrid w:val="0"/>
              <w:spacing w:line="240" w:lineRule="atLeast"/>
              <w:jc w:val="center"/>
              <w:rPr>
                <w:rFonts w:ascii="仿宋_GB2312" w:hAnsi="仿宋_GB2312" w:eastAsia="仿宋_GB2312" w:cs="仿宋_GB2312"/>
                <w:sz w:val="20"/>
                <w:szCs w:val="20"/>
              </w:rPr>
            </w:pPr>
          </w:p>
        </w:tc>
        <w:tc>
          <w:tcPr>
            <w:tcW w:w="585" w:type="dxa"/>
            <w:vAlign w:val="center"/>
          </w:tcPr>
          <w:p w14:paraId="7FDCE0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0F8B6A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0DE0A87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【地方性法规】《广西壮族自治区实施</w:t>
            </w:r>
            <w:r>
              <w:rPr>
                <w:rFonts w:hint="eastAsia" w:eastAsia="仿宋_GB2312"/>
                <w:snapToGrid w:val="0"/>
                <w:color w:val="000000"/>
                <w:sz w:val="20"/>
                <w:szCs w:val="20"/>
              </w:rPr>
              <w:t>〈</w:t>
            </w:r>
            <w:r>
              <w:rPr>
                <w:rFonts w:hint="eastAsia" w:eastAsia="仿宋_GB2312" w:cs="宋体"/>
                <w:snapToGrid w:val="0"/>
                <w:color w:val="000000"/>
                <w:sz w:val="20"/>
                <w:szCs w:val="20"/>
              </w:rPr>
              <w:t>中华人民共和国土地管理法</w:t>
            </w:r>
            <w:r>
              <w:rPr>
                <w:rFonts w:hint="eastAsia" w:eastAsia="仿宋_GB2312"/>
                <w:snapToGrid w:val="0"/>
                <w:color w:val="000000"/>
                <w:sz w:val="20"/>
                <w:szCs w:val="20"/>
              </w:rPr>
              <w:t>〉</w:t>
            </w:r>
            <w:r>
              <w:rPr>
                <w:rFonts w:hint="eastAsia" w:eastAsia="仿宋_GB2312" w:cs="宋体"/>
                <w:snapToGrid w:val="0"/>
                <w:color w:val="000000"/>
                <w:sz w:val="20"/>
                <w:szCs w:val="20"/>
              </w:rPr>
              <w:t>办法》（</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29</w:t>
            </w:r>
            <w:r>
              <w:rPr>
                <w:rFonts w:hint="eastAsia" w:eastAsia="仿宋_GB2312" w:cs="宋体"/>
                <w:snapToGrid w:val="0"/>
                <w:color w:val="000000"/>
                <w:sz w:val="20"/>
                <w:szCs w:val="20"/>
              </w:rPr>
              <w:t>日广西壮族自治区第九届人民代表大会常务委员会第二十五次会议通过，自</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9</w:t>
            </w:r>
            <w:r>
              <w:rPr>
                <w:rFonts w:hint="eastAsia" w:eastAsia="仿宋_GB2312" w:cs="宋体"/>
                <w:snapToGrid w:val="0"/>
                <w:color w:val="000000"/>
                <w:sz w:val="20"/>
                <w:szCs w:val="20"/>
              </w:rPr>
              <w:t>月</w:t>
            </w:r>
            <w:r>
              <w:rPr>
                <w:rFonts w:hint="eastAsia" w:eastAsia="仿宋_GB2312"/>
                <w:snapToGrid w:val="0"/>
                <w:color w:val="000000"/>
                <w:sz w:val="20"/>
                <w:szCs w:val="20"/>
              </w:rPr>
              <w:t>1</w:t>
            </w:r>
            <w:r>
              <w:rPr>
                <w:rFonts w:hint="eastAsia" w:eastAsia="仿宋_GB2312" w:cs="宋体"/>
                <w:snapToGrid w:val="0"/>
                <w:color w:val="000000"/>
                <w:sz w:val="20"/>
                <w:szCs w:val="20"/>
              </w:rPr>
              <w:t>日起施行，</w:t>
            </w:r>
            <w:r>
              <w:rPr>
                <w:rFonts w:hint="eastAsia" w:eastAsia="仿宋_GB2312"/>
                <w:snapToGrid w:val="0"/>
                <w:color w:val="000000"/>
                <w:sz w:val="20"/>
                <w:szCs w:val="20"/>
              </w:rPr>
              <w:t>2019</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25</w:t>
            </w:r>
            <w:r>
              <w:rPr>
                <w:rFonts w:hint="eastAsia" w:eastAsia="仿宋_GB2312" w:cs="宋体"/>
                <w:snapToGrid w:val="0"/>
                <w:color w:val="000000"/>
                <w:sz w:val="20"/>
                <w:szCs w:val="20"/>
              </w:rPr>
              <w:t>日修正）第四十九条：非农业建设项目的用地单位和个人必须在用地合同约定或者用地批准文件规定的期限内动工。有下列情形之一，致使用地单位和个人在规定期限内无法动工的，可以向原批准用地的机关申请延期，延期最长不得超过二年：</w:t>
            </w:r>
          </w:p>
          <w:p w14:paraId="28C7BEF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（一）不可抗力；</w:t>
            </w:r>
          </w:p>
          <w:p w14:paraId="209D7CA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（二）国家政策重大调整；</w:t>
            </w:r>
          </w:p>
          <w:p w14:paraId="699A99F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（三）政府和政府部门行为；</w:t>
            </w:r>
          </w:p>
          <w:p w14:paraId="7D8FC7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（四）其他正当理由。</w:t>
            </w:r>
          </w:p>
        </w:tc>
        <w:tc>
          <w:tcPr>
            <w:tcW w:w="4365" w:type="dxa"/>
            <w:vAlign w:val="center"/>
          </w:tcPr>
          <w:p w14:paraId="170F05C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717A31D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0EBC924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32D163D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448B639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5．事后监管环节责任：分管领导对审批后的相关事宜实施监督管理。</w:t>
            </w:r>
          </w:p>
          <w:p w14:paraId="02C93960">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93" w:type="dxa"/>
            <w:vAlign w:val="center"/>
          </w:tcPr>
          <w:p w14:paraId="6AA4AFA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72B7C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CC3DAA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43A912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7108E78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0E40365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3515F7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05A547B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740007EC">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2C3F9107">
            <w:pPr>
              <w:snapToGrid w:val="0"/>
              <w:spacing w:line="240" w:lineRule="atLeast"/>
              <w:jc w:val="center"/>
              <w:rPr>
                <w:rFonts w:ascii="仿宋_GB2312" w:hAnsi="仿宋_GB2312" w:eastAsia="仿宋_GB2312" w:cs="仿宋_GB2312"/>
                <w:sz w:val="20"/>
                <w:szCs w:val="20"/>
              </w:rPr>
            </w:pPr>
          </w:p>
        </w:tc>
      </w:tr>
    </w:tbl>
    <w:p w14:paraId="616B6654"/>
    <w:p w14:paraId="0AD3FB9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72"/>
        <w:gridCol w:w="4365"/>
        <w:gridCol w:w="7578"/>
        <w:gridCol w:w="330"/>
      </w:tblGrid>
      <w:tr w14:paraId="0025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6CE0EA0">
            <w:pPr>
              <w:snapToGrid w:val="0"/>
              <w:spacing w:line="240" w:lineRule="atLeast"/>
              <w:jc w:val="left"/>
              <w:rPr>
                <w:rFonts w:asciiTheme="majorEastAsia" w:hAnsiTheme="majorEastAsia" w:eastAsiaTheme="majorEastAsia" w:cstheme="majorEastAsia"/>
                <w:spacing w:val="-23"/>
                <w:sz w:val="20"/>
                <w:szCs w:val="20"/>
              </w:rPr>
            </w:pPr>
          </w:p>
          <w:p w14:paraId="040199BE">
            <w:pPr>
              <w:snapToGrid w:val="0"/>
              <w:spacing w:line="240" w:lineRule="atLeast"/>
              <w:jc w:val="left"/>
              <w:rPr>
                <w:rFonts w:asciiTheme="majorEastAsia" w:hAnsiTheme="majorEastAsia" w:eastAsiaTheme="majorEastAsia" w:cstheme="majorEastAsia"/>
                <w:spacing w:val="-23"/>
                <w:sz w:val="20"/>
                <w:szCs w:val="20"/>
              </w:rPr>
            </w:pPr>
          </w:p>
          <w:p w14:paraId="0B34D54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BC7146B">
            <w:pPr>
              <w:spacing w:line="240" w:lineRule="atLeast"/>
              <w:rPr>
                <w:rFonts w:asciiTheme="majorEastAsia" w:hAnsiTheme="majorEastAsia" w:eastAsiaTheme="majorEastAsia" w:cstheme="majorEastAsia"/>
                <w:spacing w:val="-20"/>
                <w:sz w:val="20"/>
                <w:szCs w:val="20"/>
              </w:rPr>
            </w:pPr>
          </w:p>
          <w:p w14:paraId="5657394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31" w:type="dxa"/>
            <w:gridSpan w:val="5"/>
          </w:tcPr>
          <w:p w14:paraId="4B3ECBA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43" w:type="dxa"/>
            <w:gridSpan w:val="2"/>
          </w:tcPr>
          <w:p w14:paraId="227225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40986C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B2D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ACA8B9C">
            <w:pPr>
              <w:spacing w:line="240" w:lineRule="atLeast"/>
              <w:jc w:val="left"/>
              <w:rPr>
                <w:rFonts w:ascii="仿宋_GB2312" w:hAnsi="仿宋_GB2312" w:eastAsia="仿宋_GB2312" w:cs="仿宋_GB2312"/>
                <w:sz w:val="20"/>
                <w:szCs w:val="20"/>
              </w:rPr>
            </w:pPr>
          </w:p>
        </w:tc>
        <w:tc>
          <w:tcPr>
            <w:tcW w:w="555" w:type="dxa"/>
            <w:vMerge w:val="continue"/>
          </w:tcPr>
          <w:p w14:paraId="43FE18A9">
            <w:pPr>
              <w:spacing w:line="240" w:lineRule="atLeast"/>
              <w:jc w:val="left"/>
              <w:rPr>
                <w:rFonts w:ascii="仿宋_GB2312" w:hAnsi="仿宋_GB2312" w:eastAsia="仿宋_GB2312" w:cs="仿宋_GB2312"/>
                <w:sz w:val="20"/>
                <w:szCs w:val="20"/>
              </w:rPr>
            </w:pPr>
          </w:p>
        </w:tc>
        <w:tc>
          <w:tcPr>
            <w:tcW w:w="600" w:type="dxa"/>
            <w:vAlign w:val="center"/>
          </w:tcPr>
          <w:p w14:paraId="1888A7E2">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E82FAF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6F476C1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1333DA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72" w:type="dxa"/>
            <w:vAlign w:val="center"/>
          </w:tcPr>
          <w:p w14:paraId="36FDE49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65" w:type="dxa"/>
            <w:vAlign w:val="center"/>
          </w:tcPr>
          <w:p w14:paraId="01D815B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68803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78" w:type="dxa"/>
            <w:vAlign w:val="center"/>
          </w:tcPr>
          <w:p w14:paraId="1E5AF4B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32EB56B">
            <w:pPr>
              <w:spacing w:line="240" w:lineRule="atLeast"/>
              <w:jc w:val="left"/>
              <w:rPr>
                <w:rFonts w:ascii="仿宋_GB2312" w:hAnsi="仿宋_GB2312" w:eastAsia="仿宋_GB2312" w:cs="仿宋_GB2312"/>
                <w:sz w:val="20"/>
                <w:szCs w:val="20"/>
              </w:rPr>
            </w:pPr>
          </w:p>
        </w:tc>
      </w:tr>
      <w:tr w14:paraId="7690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3C25A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w:t>
            </w:r>
          </w:p>
        </w:tc>
        <w:tc>
          <w:tcPr>
            <w:tcW w:w="555" w:type="dxa"/>
            <w:vAlign w:val="center"/>
          </w:tcPr>
          <w:p w14:paraId="551F49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B9A3F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7D628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712BE5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5E48B2F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企业采矿、取土占用土地不超过三年的审批</w:t>
            </w:r>
          </w:p>
        </w:tc>
        <w:tc>
          <w:tcPr>
            <w:tcW w:w="645" w:type="dxa"/>
            <w:vAlign w:val="center"/>
          </w:tcPr>
          <w:p w14:paraId="4396B9B3">
            <w:pPr>
              <w:snapToGrid w:val="0"/>
              <w:spacing w:line="240" w:lineRule="atLeast"/>
              <w:jc w:val="center"/>
              <w:rPr>
                <w:rFonts w:ascii="仿宋_GB2312" w:hAnsi="仿宋_GB2312" w:eastAsia="仿宋_GB2312" w:cs="仿宋_GB2312"/>
                <w:sz w:val="20"/>
                <w:szCs w:val="20"/>
              </w:rPr>
            </w:pPr>
          </w:p>
        </w:tc>
        <w:tc>
          <w:tcPr>
            <w:tcW w:w="585" w:type="dxa"/>
            <w:vAlign w:val="center"/>
          </w:tcPr>
          <w:p w14:paraId="5D4A7F8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8729E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72" w:type="dxa"/>
            <w:vAlign w:val="center"/>
          </w:tcPr>
          <w:p w14:paraId="71F19D43">
            <w:pPr>
              <w:snapToGrid w:val="0"/>
              <w:spacing w:line="240" w:lineRule="atLeast"/>
              <w:ind w:firstLine="600" w:firstLineChars="300"/>
              <w:rPr>
                <w:rFonts w:ascii="仿宋_GB2312" w:hAnsi="仿宋_GB2312" w:eastAsia="仿宋_GB2312" w:cs="仿宋_GB2312"/>
                <w:sz w:val="20"/>
                <w:szCs w:val="20"/>
              </w:rPr>
            </w:pPr>
            <w:r>
              <w:rPr>
                <w:rFonts w:hint="eastAsia" w:eastAsia="仿宋_GB2312" w:cs="宋体"/>
                <w:snapToGrid w:val="0"/>
                <w:color w:val="000000"/>
                <w:sz w:val="20"/>
                <w:szCs w:val="20"/>
              </w:rPr>
              <w:t>【地方性法规】《广西壮族自治区实施</w:t>
            </w:r>
            <w:r>
              <w:rPr>
                <w:rFonts w:hint="eastAsia" w:eastAsia="仿宋_GB2312"/>
                <w:snapToGrid w:val="0"/>
                <w:color w:val="000000"/>
                <w:sz w:val="20"/>
                <w:szCs w:val="20"/>
              </w:rPr>
              <w:t>〈</w:t>
            </w:r>
            <w:r>
              <w:rPr>
                <w:rFonts w:hint="eastAsia" w:eastAsia="仿宋_GB2312" w:cs="宋体"/>
                <w:snapToGrid w:val="0"/>
                <w:color w:val="000000"/>
                <w:sz w:val="20"/>
                <w:szCs w:val="20"/>
              </w:rPr>
              <w:t>中华人民共和国土地管理法</w:t>
            </w:r>
            <w:r>
              <w:rPr>
                <w:rFonts w:hint="eastAsia" w:eastAsia="仿宋_GB2312"/>
                <w:snapToGrid w:val="0"/>
                <w:color w:val="000000"/>
                <w:sz w:val="20"/>
                <w:szCs w:val="20"/>
              </w:rPr>
              <w:t>〉</w:t>
            </w:r>
            <w:r>
              <w:rPr>
                <w:rFonts w:hint="eastAsia" w:eastAsia="仿宋_GB2312" w:cs="宋体"/>
                <w:snapToGrid w:val="0"/>
                <w:color w:val="000000"/>
                <w:sz w:val="20"/>
                <w:szCs w:val="20"/>
              </w:rPr>
              <w:t>办法》（</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29</w:t>
            </w:r>
            <w:r>
              <w:rPr>
                <w:rFonts w:hint="eastAsia" w:eastAsia="仿宋_GB2312" w:cs="宋体"/>
                <w:snapToGrid w:val="0"/>
                <w:color w:val="000000"/>
                <w:sz w:val="20"/>
                <w:szCs w:val="20"/>
              </w:rPr>
              <w:t>日广西壮族自治区第九届人民代表大会常务委员会第二十五次会议通过，自</w:t>
            </w:r>
            <w:r>
              <w:rPr>
                <w:rFonts w:hint="eastAsia" w:eastAsia="仿宋_GB2312"/>
                <w:snapToGrid w:val="0"/>
                <w:color w:val="000000"/>
                <w:sz w:val="20"/>
                <w:szCs w:val="20"/>
              </w:rPr>
              <w:t>2001</w:t>
            </w:r>
            <w:r>
              <w:rPr>
                <w:rFonts w:hint="eastAsia" w:eastAsia="仿宋_GB2312" w:cs="宋体"/>
                <w:snapToGrid w:val="0"/>
                <w:color w:val="000000"/>
                <w:sz w:val="20"/>
                <w:szCs w:val="20"/>
              </w:rPr>
              <w:t>年</w:t>
            </w:r>
            <w:r>
              <w:rPr>
                <w:rFonts w:hint="eastAsia" w:eastAsia="仿宋_GB2312"/>
                <w:snapToGrid w:val="0"/>
                <w:color w:val="000000"/>
                <w:sz w:val="20"/>
                <w:szCs w:val="20"/>
              </w:rPr>
              <w:t>9</w:t>
            </w:r>
            <w:r>
              <w:rPr>
                <w:rFonts w:hint="eastAsia" w:eastAsia="仿宋_GB2312" w:cs="宋体"/>
                <w:snapToGrid w:val="0"/>
                <w:color w:val="000000"/>
                <w:sz w:val="20"/>
                <w:szCs w:val="20"/>
              </w:rPr>
              <w:t>月</w:t>
            </w:r>
            <w:r>
              <w:rPr>
                <w:rFonts w:hint="eastAsia" w:eastAsia="仿宋_GB2312"/>
                <w:snapToGrid w:val="0"/>
                <w:color w:val="000000"/>
                <w:sz w:val="20"/>
                <w:szCs w:val="20"/>
              </w:rPr>
              <w:t>1</w:t>
            </w:r>
            <w:r>
              <w:rPr>
                <w:rFonts w:hint="eastAsia" w:eastAsia="仿宋_GB2312" w:cs="宋体"/>
                <w:snapToGrid w:val="0"/>
                <w:color w:val="000000"/>
                <w:sz w:val="20"/>
                <w:szCs w:val="20"/>
              </w:rPr>
              <w:t>日起施行，</w:t>
            </w:r>
            <w:r>
              <w:rPr>
                <w:rFonts w:hint="eastAsia" w:eastAsia="仿宋_GB2312"/>
                <w:snapToGrid w:val="0"/>
                <w:color w:val="000000"/>
                <w:sz w:val="20"/>
                <w:szCs w:val="20"/>
              </w:rPr>
              <w:t>2019</w:t>
            </w:r>
            <w:r>
              <w:rPr>
                <w:rFonts w:hint="eastAsia" w:eastAsia="仿宋_GB2312" w:cs="宋体"/>
                <w:snapToGrid w:val="0"/>
                <w:color w:val="000000"/>
                <w:sz w:val="20"/>
                <w:szCs w:val="20"/>
              </w:rPr>
              <w:t>年</w:t>
            </w:r>
            <w:r>
              <w:rPr>
                <w:rFonts w:hint="eastAsia" w:eastAsia="仿宋_GB2312"/>
                <w:snapToGrid w:val="0"/>
                <w:color w:val="000000"/>
                <w:sz w:val="20"/>
                <w:szCs w:val="20"/>
              </w:rPr>
              <w:t>7</w:t>
            </w:r>
            <w:r>
              <w:rPr>
                <w:rFonts w:hint="eastAsia" w:eastAsia="仿宋_GB2312" w:cs="宋体"/>
                <w:snapToGrid w:val="0"/>
                <w:color w:val="000000"/>
                <w:sz w:val="20"/>
                <w:szCs w:val="20"/>
              </w:rPr>
              <w:t>月</w:t>
            </w:r>
            <w:r>
              <w:rPr>
                <w:rFonts w:hint="eastAsia" w:eastAsia="仿宋_GB2312"/>
                <w:snapToGrid w:val="0"/>
                <w:color w:val="000000"/>
                <w:sz w:val="20"/>
                <w:szCs w:val="20"/>
              </w:rPr>
              <w:t>25</w:t>
            </w:r>
            <w:r>
              <w:rPr>
                <w:rFonts w:hint="eastAsia" w:eastAsia="仿宋_GB2312" w:cs="宋体"/>
                <w:snapToGrid w:val="0"/>
                <w:color w:val="000000"/>
                <w:sz w:val="20"/>
                <w:szCs w:val="20"/>
              </w:rPr>
              <w:t>日修正）第四十八条第二款：企业采矿、取土占用土地不超过三年的，经设区的市人民政府批准，可以参照临时使用土地的规定办理用地手续。</w:t>
            </w:r>
          </w:p>
        </w:tc>
        <w:tc>
          <w:tcPr>
            <w:tcW w:w="4365" w:type="dxa"/>
            <w:vAlign w:val="center"/>
          </w:tcPr>
          <w:p w14:paraId="35ABB87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2AEFFEB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346C628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455CF09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15FC769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5．事后监管环节责任：分管领导对审批后的相关事宜实施监督管理。</w:t>
            </w:r>
          </w:p>
          <w:p w14:paraId="451D14A8">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78" w:type="dxa"/>
            <w:vAlign w:val="center"/>
          </w:tcPr>
          <w:p w14:paraId="2A2B1D7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1BB8C47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0D247B1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0460A0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1BA45F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7EEAE1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F8A8BC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527E0BF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07E08D01">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118C79A7">
            <w:pPr>
              <w:snapToGrid w:val="0"/>
              <w:spacing w:line="240" w:lineRule="atLeast"/>
              <w:jc w:val="center"/>
              <w:rPr>
                <w:rFonts w:ascii="仿宋_GB2312" w:hAnsi="仿宋_GB2312" w:eastAsia="仿宋_GB2312" w:cs="仿宋_GB2312"/>
                <w:sz w:val="20"/>
                <w:szCs w:val="20"/>
              </w:rPr>
            </w:pPr>
          </w:p>
        </w:tc>
      </w:tr>
    </w:tbl>
    <w:p w14:paraId="58082F72"/>
    <w:p w14:paraId="67B8F783"/>
    <w:p w14:paraId="0A8E441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80"/>
        <w:gridCol w:w="7578"/>
        <w:gridCol w:w="330"/>
      </w:tblGrid>
      <w:tr w14:paraId="441A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3B20A41">
            <w:pPr>
              <w:snapToGrid w:val="0"/>
              <w:spacing w:line="240" w:lineRule="atLeast"/>
              <w:jc w:val="left"/>
              <w:rPr>
                <w:rFonts w:asciiTheme="majorEastAsia" w:hAnsiTheme="majorEastAsia" w:eastAsiaTheme="majorEastAsia" w:cstheme="majorEastAsia"/>
                <w:spacing w:val="-23"/>
                <w:sz w:val="20"/>
                <w:szCs w:val="20"/>
              </w:rPr>
            </w:pPr>
          </w:p>
          <w:p w14:paraId="638A46CE">
            <w:pPr>
              <w:snapToGrid w:val="0"/>
              <w:spacing w:line="240" w:lineRule="atLeast"/>
              <w:jc w:val="left"/>
              <w:rPr>
                <w:rFonts w:asciiTheme="majorEastAsia" w:hAnsiTheme="majorEastAsia" w:eastAsiaTheme="majorEastAsia" w:cstheme="majorEastAsia"/>
                <w:spacing w:val="-23"/>
                <w:sz w:val="20"/>
                <w:szCs w:val="20"/>
              </w:rPr>
            </w:pPr>
          </w:p>
          <w:p w14:paraId="3AB8942E">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426B766">
            <w:pPr>
              <w:spacing w:line="240" w:lineRule="atLeast"/>
              <w:rPr>
                <w:rFonts w:asciiTheme="majorEastAsia" w:hAnsiTheme="majorEastAsia" w:eastAsiaTheme="majorEastAsia" w:cstheme="majorEastAsia"/>
                <w:spacing w:val="-20"/>
                <w:sz w:val="20"/>
                <w:szCs w:val="20"/>
              </w:rPr>
            </w:pPr>
          </w:p>
          <w:p w14:paraId="151CC08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428335D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56C5222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ACC146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EAB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DD3EC0A">
            <w:pPr>
              <w:spacing w:line="240" w:lineRule="atLeast"/>
              <w:jc w:val="left"/>
              <w:rPr>
                <w:rFonts w:ascii="仿宋_GB2312" w:hAnsi="仿宋_GB2312" w:eastAsia="仿宋_GB2312" w:cs="仿宋_GB2312"/>
                <w:sz w:val="20"/>
                <w:szCs w:val="20"/>
              </w:rPr>
            </w:pPr>
          </w:p>
        </w:tc>
        <w:tc>
          <w:tcPr>
            <w:tcW w:w="555" w:type="dxa"/>
            <w:vMerge w:val="continue"/>
          </w:tcPr>
          <w:p w14:paraId="08C259C7">
            <w:pPr>
              <w:spacing w:line="240" w:lineRule="atLeast"/>
              <w:jc w:val="left"/>
              <w:rPr>
                <w:rFonts w:ascii="仿宋_GB2312" w:hAnsi="仿宋_GB2312" w:eastAsia="仿宋_GB2312" w:cs="仿宋_GB2312"/>
                <w:sz w:val="20"/>
                <w:szCs w:val="20"/>
              </w:rPr>
            </w:pPr>
          </w:p>
        </w:tc>
        <w:tc>
          <w:tcPr>
            <w:tcW w:w="600" w:type="dxa"/>
            <w:vAlign w:val="center"/>
          </w:tcPr>
          <w:p w14:paraId="658F3FA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4F0611B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494A7E2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00EFF77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3259609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80" w:type="dxa"/>
            <w:vAlign w:val="center"/>
          </w:tcPr>
          <w:p w14:paraId="185180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4C4D91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78" w:type="dxa"/>
            <w:vAlign w:val="center"/>
          </w:tcPr>
          <w:p w14:paraId="5DF86E9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7BFA446">
            <w:pPr>
              <w:spacing w:line="240" w:lineRule="atLeast"/>
              <w:jc w:val="left"/>
              <w:rPr>
                <w:rFonts w:ascii="仿宋_GB2312" w:hAnsi="仿宋_GB2312" w:eastAsia="仿宋_GB2312" w:cs="仿宋_GB2312"/>
                <w:sz w:val="20"/>
                <w:szCs w:val="20"/>
              </w:rPr>
            </w:pPr>
          </w:p>
        </w:tc>
      </w:tr>
      <w:tr w14:paraId="35E3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14714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w:t>
            </w:r>
          </w:p>
        </w:tc>
        <w:tc>
          <w:tcPr>
            <w:tcW w:w="555" w:type="dxa"/>
            <w:vAlign w:val="center"/>
          </w:tcPr>
          <w:p w14:paraId="7587F8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63B55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6A977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2ECE89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4120288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钟乳石洞穴旅游开发审批</w:t>
            </w:r>
          </w:p>
        </w:tc>
        <w:tc>
          <w:tcPr>
            <w:tcW w:w="645" w:type="dxa"/>
            <w:vAlign w:val="center"/>
          </w:tcPr>
          <w:p w14:paraId="287355FC">
            <w:pPr>
              <w:snapToGrid w:val="0"/>
              <w:spacing w:line="240" w:lineRule="atLeast"/>
              <w:jc w:val="center"/>
              <w:rPr>
                <w:rFonts w:ascii="仿宋_GB2312" w:hAnsi="仿宋_GB2312" w:eastAsia="仿宋_GB2312" w:cs="仿宋_GB2312"/>
                <w:sz w:val="20"/>
                <w:szCs w:val="20"/>
              </w:rPr>
            </w:pPr>
          </w:p>
        </w:tc>
        <w:tc>
          <w:tcPr>
            <w:tcW w:w="585" w:type="dxa"/>
            <w:vAlign w:val="center"/>
          </w:tcPr>
          <w:p w14:paraId="070DE7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07B76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6891B147">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三条第一款：开发钟乳石洞穴进行旅游活动，由开发地设区的市自然资源主管部门征求设区的市文化和旅游主管部门的意见后批准。</w:t>
            </w:r>
          </w:p>
        </w:tc>
        <w:tc>
          <w:tcPr>
            <w:tcW w:w="4380" w:type="dxa"/>
            <w:vAlign w:val="center"/>
          </w:tcPr>
          <w:p w14:paraId="71C696C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476AC8F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1CC9FE2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188AC0A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3AAAF1B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5．事后监管环节责任：分管领导对审批后的相关事宜实施监督管理。</w:t>
            </w:r>
          </w:p>
          <w:p w14:paraId="260CB09E">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78" w:type="dxa"/>
            <w:vAlign w:val="center"/>
          </w:tcPr>
          <w:p w14:paraId="62702BF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D1DCA8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35B925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52F20BD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135B38A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50FC988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E95E3A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2CAD04A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65D5018A">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0E73A441">
            <w:pPr>
              <w:snapToGrid w:val="0"/>
              <w:spacing w:line="240" w:lineRule="atLeast"/>
              <w:jc w:val="center"/>
              <w:rPr>
                <w:rFonts w:ascii="仿宋_GB2312" w:hAnsi="仿宋_GB2312" w:eastAsia="仿宋_GB2312" w:cs="仿宋_GB2312"/>
                <w:sz w:val="20"/>
                <w:szCs w:val="20"/>
              </w:rPr>
            </w:pPr>
          </w:p>
        </w:tc>
      </w:tr>
    </w:tbl>
    <w:p w14:paraId="063567F3"/>
    <w:p w14:paraId="4E408C4D"/>
    <w:p w14:paraId="5B79CF6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395"/>
        <w:gridCol w:w="7563"/>
        <w:gridCol w:w="330"/>
      </w:tblGrid>
      <w:tr w14:paraId="78FB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120ABF8">
            <w:pPr>
              <w:snapToGrid w:val="0"/>
              <w:spacing w:line="240" w:lineRule="atLeast"/>
              <w:jc w:val="left"/>
              <w:rPr>
                <w:rFonts w:asciiTheme="majorEastAsia" w:hAnsiTheme="majorEastAsia" w:eastAsiaTheme="majorEastAsia" w:cstheme="majorEastAsia"/>
                <w:spacing w:val="-23"/>
                <w:sz w:val="20"/>
                <w:szCs w:val="20"/>
              </w:rPr>
            </w:pPr>
          </w:p>
          <w:p w14:paraId="31A2DC53">
            <w:pPr>
              <w:snapToGrid w:val="0"/>
              <w:spacing w:line="240" w:lineRule="atLeast"/>
              <w:jc w:val="left"/>
              <w:rPr>
                <w:rFonts w:asciiTheme="majorEastAsia" w:hAnsiTheme="majorEastAsia" w:eastAsiaTheme="majorEastAsia" w:cstheme="majorEastAsia"/>
                <w:spacing w:val="-23"/>
                <w:sz w:val="20"/>
                <w:szCs w:val="20"/>
              </w:rPr>
            </w:pPr>
          </w:p>
          <w:p w14:paraId="4497C17F">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CB83AC0">
            <w:pPr>
              <w:spacing w:line="240" w:lineRule="atLeast"/>
              <w:rPr>
                <w:rFonts w:asciiTheme="majorEastAsia" w:hAnsiTheme="majorEastAsia" w:eastAsiaTheme="majorEastAsia" w:cstheme="majorEastAsia"/>
                <w:spacing w:val="-20"/>
                <w:sz w:val="20"/>
                <w:szCs w:val="20"/>
              </w:rPr>
            </w:pPr>
          </w:p>
          <w:p w14:paraId="3B531EA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18EBEAA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629BB07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336049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166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4C5DD4D">
            <w:pPr>
              <w:spacing w:line="240" w:lineRule="atLeast"/>
              <w:jc w:val="left"/>
              <w:rPr>
                <w:rFonts w:ascii="仿宋_GB2312" w:hAnsi="仿宋_GB2312" w:eastAsia="仿宋_GB2312" w:cs="仿宋_GB2312"/>
                <w:sz w:val="20"/>
                <w:szCs w:val="20"/>
              </w:rPr>
            </w:pPr>
          </w:p>
        </w:tc>
        <w:tc>
          <w:tcPr>
            <w:tcW w:w="555" w:type="dxa"/>
            <w:vMerge w:val="continue"/>
          </w:tcPr>
          <w:p w14:paraId="0BCC26AD">
            <w:pPr>
              <w:spacing w:line="240" w:lineRule="atLeast"/>
              <w:jc w:val="left"/>
              <w:rPr>
                <w:rFonts w:ascii="仿宋_GB2312" w:hAnsi="仿宋_GB2312" w:eastAsia="仿宋_GB2312" w:cs="仿宋_GB2312"/>
                <w:sz w:val="20"/>
                <w:szCs w:val="20"/>
              </w:rPr>
            </w:pPr>
          </w:p>
        </w:tc>
        <w:tc>
          <w:tcPr>
            <w:tcW w:w="600" w:type="dxa"/>
            <w:vAlign w:val="center"/>
          </w:tcPr>
          <w:p w14:paraId="27EE6745">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CE1782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392F70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346790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554E035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395" w:type="dxa"/>
            <w:vAlign w:val="center"/>
          </w:tcPr>
          <w:p w14:paraId="03EA20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5E0A39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63" w:type="dxa"/>
            <w:vAlign w:val="center"/>
          </w:tcPr>
          <w:p w14:paraId="6B66AF7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1B4018A">
            <w:pPr>
              <w:spacing w:line="240" w:lineRule="atLeast"/>
              <w:jc w:val="left"/>
              <w:rPr>
                <w:rFonts w:ascii="仿宋_GB2312" w:hAnsi="仿宋_GB2312" w:eastAsia="仿宋_GB2312" w:cs="仿宋_GB2312"/>
                <w:sz w:val="20"/>
                <w:szCs w:val="20"/>
              </w:rPr>
            </w:pPr>
          </w:p>
        </w:tc>
      </w:tr>
      <w:tr w14:paraId="55DA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1189B6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w:t>
            </w:r>
          </w:p>
        </w:tc>
        <w:tc>
          <w:tcPr>
            <w:tcW w:w="555" w:type="dxa"/>
            <w:vAlign w:val="center"/>
          </w:tcPr>
          <w:p w14:paraId="6BC386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6C4DF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29129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6C6F0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1FF1C22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科学研究采集钟乳石样品审批</w:t>
            </w:r>
          </w:p>
        </w:tc>
        <w:tc>
          <w:tcPr>
            <w:tcW w:w="645" w:type="dxa"/>
            <w:vAlign w:val="center"/>
          </w:tcPr>
          <w:p w14:paraId="327EE091">
            <w:pPr>
              <w:snapToGrid w:val="0"/>
              <w:spacing w:line="240" w:lineRule="atLeast"/>
              <w:jc w:val="center"/>
              <w:rPr>
                <w:rFonts w:ascii="仿宋_GB2312" w:hAnsi="仿宋_GB2312" w:eastAsia="仿宋_GB2312" w:cs="仿宋_GB2312"/>
                <w:sz w:val="20"/>
                <w:szCs w:val="20"/>
              </w:rPr>
            </w:pPr>
          </w:p>
        </w:tc>
        <w:tc>
          <w:tcPr>
            <w:tcW w:w="585" w:type="dxa"/>
            <w:vAlign w:val="center"/>
          </w:tcPr>
          <w:p w14:paraId="3E54EA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1F82E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789A8C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八条：因科学研究确需采集钟乳石样品的，应当持科学技术行政部门下达的科研项目相关文件材料，报采集地设区的市自然资源主管部门批准。</w:t>
            </w:r>
          </w:p>
        </w:tc>
        <w:tc>
          <w:tcPr>
            <w:tcW w:w="4395" w:type="dxa"/>
            <w:vAlign w:val="center"/>
          </w:tcPr>
          <w:p w14:paraId="2BC5CCB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67AF3B1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704B9F2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78B8DE6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1A8D46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5．事后监管环节责任：分管领导对审批后的相关事宜实施监督管理。</w:t>
            </w:r>
          </w:p>
          <w:p w14:paraId="48E2F0CB">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63" w:type="dxa"/>
            <w:vAlign w:val="center"/>
          </w:tcPr>
          <w:p w14:paraId="723468D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255B64E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B1B1D1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2C8345A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228C1E9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2FAA978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5626AB9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710C5DB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0C704F80">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7036D281">
            <w:pPr>
              <w:snapToGrid w:val="0"/>
              <w:spacing w:line="240" w:lineRule="atLeast"/>
              <w:jc w:val="center"/>
              <w:rPr>
                <w:rFonts w:ascii="仿宋_GB2312" w:hAnsi="仿宋_GB2312" w:eastAsia="仿宋_GB2312" w:cs="仿宋_GB2312"/>
                <w:sz w:val="20"/>
                <w:szCs w:val="20"/>
              </w:rPr>
            </w:pPr>
          </w:p>
        </w:tc>
      </w:tr>
    </w:tbl>
    <w:p w14:paraId="080E3DA6"/>
    <w:p w14:paraId="1F39D8BC"/>
    <w:p w14:paraId="70C4473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425"/>
        <w:gridCol w:w="7533"/>
        <w:gridCol w:w="330"/>
      </w:tblGrid>
      <w:tr w14:paraId="3E6F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8E47ECE">
            <w:pPr>
              <w:snapToGrid w:val="0"/>
              <w:spacing w:line="240" w:lineRule="atLeast"/>
              <w:jc w:val="left"/>
              <w:rPr>
                <w:rFonts w:asciiTheme="majorEastAsia" w:hAnsiTheme="majorEastAsia" w:eastAsiaTheme="majorEastAsia" w:cstheme="majorEastAsia"/>
                <w:spacing w:val="-23"/>
                <w:sz w:val="20"/>
                <w:szCs w:val="20"/>
              </w:rPr>
            </w:pPr>
          </w:p>
          <w:p w14:paraId="5FA2E27E">
            <w:pPr>
              <w:snapToGrid w:val="0"/>
              <w:spacing w:line="240" w:lineRule="atLeast"/>
              <w:jc w:val="left"/>
              <w:rPr>
                <w:rFonts w:asciiTheme="majorEastAsia" w:hAnsiTheme="majorEastAsia" w:eastAsiaTheme="majorEastAsia" w:cstheme="majorEastAsia"/>
                <w:spacing w:val="-23"/>
                <w:sz w:val="20"/>
                <w:szCs w:val="20"/>
              </w:rPr>
            </w:pPr>
          </w:p>
          <w:p w14:paraId="152C4A5E">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F6BB36D">
            <w:pPr>
              <w:spacing w:line="240" w:lineRule="atLeast"/>
              <w:rPr>
                <w:rFonts w:asciiTheme="majorEastAsia" w:hAnsiTheme="majorEastAsia" w:eastAsiaTheme="majorEastAsia" w:cstheme="majorEastAsia"/>
                <w:spacing w:val="-20"/>
                <w:sz w:val="20"/>
                <w:szCs w:val="20"/>
              </w:rPr>
            </w:pPr>
          </w:p>
          <w:p w14:paraId="24C606C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194894F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26285CA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1631F3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5C5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D8A3119">
            <w:pPr>
              <w:spacing w:line="240" w:lineRule="atLeast"/>
              <w:jc w:val="left"/>
              <w:rPr>
                <w:rFonts w:ascii="仿宋_GB2312" w:hAnsi="仿宋_GB2312" w:eastAsia="仿宋_GB2312" w:cs="仿宋_GB2312"/>
                <w:sz w:val="20"/>
                <w:szCs w:val="20"/>
              </w:rPr>
            </w:pPr>
          </w:p>
        </w:tc>
        <w:tc>
          <w:tcPr>
            <w:tcW w:w="555" w:type="dxa"/>
            <w:vMerge w:val="continue"/>
          </w:tcPr>
          <w:p w14:paraId="1A7F0511">
            <w:pPr>
              <w:spacing w:line="240" w:lineRule="atLeast"/>
              <w:jc w:val="left"/>
              <w:rPr>
                <w:rFonts w:ascii="仿宋_GB2312" w:hAnsi="仿宋_GB2312" w:eastAsia="仿宋_GB2312" w:cs="仿宋_GB2312"/>
                <w:sz w:val="20"/>
                <w:szCs w:val="20"/>
              </w:rPr>
            </w:pPr>
          </w:p>
        </w:tc>
        <w:tc>
          <w:tcPr>
            <w:tcW w:w="600" w:type="dxa"/>
            <w:vAlign w:val="center"/>
          </w:tcPr>
          <w:p w14:paraId="6AAEA767">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6804C405">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4984B4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C1263F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0C9A67A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425" w:type="dxa"/>
            <w:vAlign w:val="center"/>
          </w:tcPr>
          <w:p w14:paraId="61E34AA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45B2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33" w:type="dxa"/>
            <w:vAlign w:val="center"/>
          </w:tcPr>
          <w:p w14:paraId="1255958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9AB04CE">
            <w:pPr>
              <w:spacing w:line="240" w:lineRule="atLeast"/>
              <w:jc w:val="left"/>
              <w:rPr>
                <w:rFonts w:ascii="仿宋_GB2312" w:hAnsi="仿宋_GB2312" w:eastAsia="仿宋_GB2312" w:cs="仿宋_GB2312"/>
                <w:sz w:val="20"/>
                <w:szCs w:val="20"/>
              </w:rPr>
            </w:pPr>
          </w:p>
        </w:tc>
      </w:tr>
      <w:tr w14:paraId="7DD0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BF2E8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w:t>
            </w:r>
          </w:p>
        </w:tc>
        <w:tc>
          <w:tcPr>
            <w:tcW w:w="555" w:type="dxa"/>
            <w:vAlign w:val="center"/>
          </w:tcPr>
          <w:p w14:paraId="022131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3FE73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313A0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0DC82D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692B357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法人或者其他组织需要利用属于国家秘密的基础测绘成果审批</w:t>
            </w:r>
          </w:p>
        </w:tc>
        <w:tc>
          <w:tcPr>
            <w:tcW w:w="645" w:type="dxa"/>
            <w:vAlign w:val="center"/>
          </w:tcPr>
          <w:p w14:paraId="3752BFFD">
            <w:pPr>
              <w:snapToGrid w:val="0"/>
              <w:spacing w:line="240" w:lineRule="atLeast"/>
              <w:jc w:val="center"/>
              <w:rPr>
                <w:rFonts w:ascii="仿宋_GB2312" w:hAnsi="仿宋_GB2312" w:eastAsia="仿宋_GB2312" w:cs="仿宋_GB2312"/>
                <w:sz w:val="20"/>
                <w:szCs w:val="20"/>
              </w:rPr>
            </w:pPr>
          </w:p>
        </w:tc>
        <w:tc>
          <w:tcPr>
            <w:tcW w:w="585" w:type="dxa"/>
            <w:vAlign w:val="center"/>
          </w:tcPr>
          <w:p w14:paraId="0CF3D3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148DCC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2B48E30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中华人民共和国测绘成果管理条例》（2006年国务院第469号令公布）第十七条：法人或者其他组织需要利用属于国家秘密的基础测绘成果的，应当提出明确的利用目的和范围，报测绘成果所在地的测绘行政主管部门审批。测绘行政主管部门审查同意的，应当以书面形式告知测绘成果的秘密等级、保密要求以及相关著作权保护要求。</w:t>
            </w:r>
          </w:p>
        </w:tc>
        <w:tc>
          <w:tcPr>
            <w:tcW w:w="4425" w:type="dxa"/>
            <w:vAlign w:val="center"/>
          </w:tcPr>
          <w:p w14:paraId="5CB536F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1.受理责任：公示“法人或者其他组织需要利用属于国家秘密的基础测绘成果审批”行政许可需要提交的全部材料的目录，作出不予受理、补正材料或者予以受理的决定。</w:t>
            </w:r>
          </w:p>
          <w:p w14:paraId="40E9CAD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2.审查责任：审查申请材料，提出审查意见。</w:t>
            </w:r>
          </w:p>
          <w:p w14:paraId="1BD76BD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 。</w:t>
            </w:r>
          </w:p>
          <w:p w14:paraId="1AD818B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4．送达责任：准予许可的，制发许可证书或批件，送达并信息公开。</w:t>
            </w:r>
          </w:p>
          <w:p w14:paraId="52181F9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5．监管责任：制定监管计划，依法采取相关处置措施。</w:t>
            </w:r>
          </w:p>
          <w:p w14:paraId="7FB2A7BF">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33" w:type="dxa"/>
            <w:vAlign w:val="center"/>
          </w:tcPr>
          <w:p w14:paraId="0945C4A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7D0B2B3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7B0E9C0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127323C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43AF9A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4．【法律】《中华人民共和国行政许可法》第四十四条：行政机关作出准予行政许可的决定，应当自作出决定之日起十日内向申请人颁发、送达行政许可证件，或者加贴标签、加盖检验、检测、检疫印章。</w:t>
            </w:r>
          </w:p>
          <w:p w14:paraId="7F57FEAE">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行政法规】《中华人民共和国测绘成果管理条例》（2006年国务院令第469号）第三条：国务院测绘行政主管部门负责全国测绘成果工作的统一监督管理。国务院其他有关部门按照职责分工，负责本部门有关的测绘成果工作。县级以上地方人民政府负责管理测绘工作的部门（以下称测绘行政主管部门）负责本行政区域测绘成果工作的统一监督管理。县级以上地方人民政府其他有关部门按照职责分工，负责本部门有关的测绘成果工作。</w:t>
            </w:r>
          </w:p>
        </w:tc>
        <w:tc>
          <w:tcPr>
            <w:tcW w:w="330" w:type="dxa"/>
            <w:vAlign w:val="center"/>
          </w:tcPr>
          <w:p w14:paraId="624FF782">
            <w:pPr>
              <w:snapToGrid w:val="0"/>
              <w:spacing w:line="240" w:lineRule="atLeast"/>
              <w:jc w:val="center"/>
              <w:rPr>
                <w:rFonts w:ascii="仿宋_GB2312" w:hAnsi="仿宋_GB2312" w:eastAsia="仿宋_GB2312" w:cs="仿宋_GB2312"/>
                <w:sz w:val="20"/>
                <w:szCs w:val="20"/>
              </w:rPr>
            </w:pPr>
          </w:p>
        </w:tc>
      </w:tr>
    </w:tbl>
    <w:p w14:paraId="7BB8903A"/>
    <w:p w14:paraId="6BF503ED"/>
    <w:p w14:paraId="2B6D423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057"/>
        <w:gridCol w:w="4425"/>
        <w:gridCol w:w="7533"/>
        <w:gridCol w:w="330"/>
      </w:tblGrid>
      <w:tr w14:paraId="39D3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F44CDEB">
            <w:pPr>
              <w:snapToGrid w:val="0"/>
              <w:spacing w:line="240" w:lineRule="atLeast"/>
              <w:jc w:val="left"/>
              <w:rPr>
                <w:rFonts w:asciiTheme="majorEastAsia" w:hAnsiTheme="majorEastAsia" w:eastAsiaTheme="majorEastAsia" w:cstheme="majorEastAsia"/>
                <w:spacing w:val="-23"/>
                <w:sz w:val="20"/>
                <w:szCs w:val="20"/>
              </w:rPr>
            </w:pPr>
          </w:p>
          <w:p w14:paraId="72400EE6">
            <w:pPr>
              <w:snapToGrid w:val="0"/>
              <w:spacing w:line="240" w:lineRule="atLeast"/>
              <w:jc w:val="left"/>
              <w:rPr>
                <w:rFonts w:asciiTheme="majorEastAsia" w:hAnsiTheme="majorEastAsia" w:eastAsiaTheme="majorEastAsia" w:cstheme="majorEastAsia"/>
                <w:spacing w:val="-23"/>
                <w:sz w:val="20"/>
                <w:szCs w:val="20"/>
              </w:rPr>
            </w:pPr>
          </w:p>
          <w:p w14:paraId="4EFEEABA">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5BFE679">
            <w:pPr>
              <w:spacing w:line="240" w:lineRule="atLeast"/>
              <w:rPr>
                <w:rFonts w:asciiTheme="majorEastAsia" w:hAnsiTheme="majorEastAsia" w:eastAsiaTheme="majorEastAsia" w:cstheme="majorEastAsia"/>
                <w:spacing w:val="-20"/>
                <w:sz w:val="20"/>
                <w:szCs w:val="20"/>
              </w:rPr>
            </w:pPr>
          </w:p>
          <w:p w14:paraId="7AA3EFE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916" w:type="dxa"/>
            <w:gridSpan w:val="5"/>
          </w:tcPr>
          <w:p w14:paraId="7D17455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958" w:type="dxa"/>
            <w:gridSpan w:val="2"/>
          </w:tcPr>
          <w:p w14:paraId="34E62BE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988B66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96C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44E83A7">
            <w:pPr>
              <w:spacing w:line="240" w:lineRule="atLeast"/>
              <w:jc w:val="left"/>
              <w:rPr>
                <w:rFonts w:ascii="仿宋_GB2312" w:hAnsi="仿宋_GB2312" w:eastAsia="仿宋_GB2312" w:cs="仿宋_GB2312"/>
                <w:sz w:val="20"/>
                <w:szCs w:val="20"/>
              </w:rPr>
            </w:pPr>
          </w:p>
        </w:tc>
        <w:tc>
          <w:tcPr>
            <w:tcW w:w="555" w:type="dxa"/>
            <w:vMerge w:val="continue"/>
          </w:tcPr>
          <w:p w14:paraId="1C4C4D3C">
            <w:pPr>
              <w:spacing w:line="240" w:lineRule="atLeast"/>
              <w:jc w:val="left"/>
              <w:rPr>
                <w:rFonts w:ascii="仿宋_GB2312" w:hAnsi="仿宋_GB2312" w:eastAsia="仿宋_GB2312" w:cs="仿宋_GB2312"/>
                <w:sz w:val="20"/>
                <w:szCs w:val="20"/>
              </w:rPr>
            </w:pPr>
          </w:p>
        </w:tc>
        <w:tc>
          <w:tcPr>
            <w:tcW w:w="600" w:type="dxa"/>
            <w:vAlign w:val="center"/>
          </w:tcPr>
          <w:p w14:paraId="24BC747A">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50B08FB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095085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0FAA0A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057" w:type="dxa"/>
            <w:vAlign w:val="center"/>
          </w:tcPr>
          <w:p w14:paraId="328BE10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425" w:type="dxa"/>
            <w:vAlign w:val="center"/>
          </w:tcPr>
          <w:p w14:paraId="3CAF60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29E50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533" w:type="dxa"/>
            <w:vAlign w:val="center"/>
          </w:tcPr>
          <w:p w14:paraId="0140EEF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C5C0ABA">
            <w:pPr>
              <w:spacing w:line="240" w:lineRule="atLeast"/>
              <w:jc w:val="left"/>
              <w:rPr>
                <w:rFonts w:ascii="仿宋_GB2312" w:hAnsi="仿宋_GB2312" w:eastAsia="仿宋_GB2312" w:cs="仿宋_GB2312"/>
                <w:sz w:val="20"/>
                <w:szCs w:val="20"/>
              </w:rPr>
            </w:pPr>
          </w:p>
        </w:tc>
      </w:tr>
      <w:tr w14:paraId="592B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AE7E4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w:t>
            </w:r>
          </w:p>
        </w:tc>
        <w:tc>
          <w:tcPr>
            <w:tcW w:w="555" w:type="dxa"/>
            <w:vAlign w:val="center"/>
          </w:tcPr>
          <w:p w14:paraId="3EB920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B6A8B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DF4D6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7E5F71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399F215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地图审核</w:t>
            </w:r>
          </w:p>
        </w:tc>
        <w:tc>
          <w:tcPr>
            <w:tcW w:w="645" w:type="dxa"/>
            <w:vAlign w:val="center"/>
          </w:tcPr>
          <w:p w14:paraId="37624F16">
            <w:pPr>
              <w:snapToGrid w:val="0"/>
              <w:spacing w:line="240" w:lineRule="atLeast"/>
              <w:jc w:val="center"/>
              <w:rPr>
                <w:rFonts w:ascii="仿宋_GB2312" w:hAnsi="仿宋_GB2312" w:eastAsia="仿宋_GB2312" w:cs="仿宋_GB2312"/>
                <w:sz w:val="20"/>
                <w:szCs w:val="20"/>
              </w:rPr>
            </w:pPr>
          </w:p>
        </w:tc>
        <w:tc>
          <w:tcPr>
            <w:tcW w:w="585" w:type="dxa"/>
            <w:vAlign w:val="center"/>
          </w:tcPr>
          <w:p w14:paraId="6E47C4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D725B5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057" w:type="dxa"/>
            <w:vAlign w:val="center"/>
          </w:tcPr>
          <w:p w14:paraId="4E00360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地图管理条例》（2015年国务院令第664号）第十五条：国家实行地图审核制度。向社会公开的地图，应当报送有审核权的测绘地理信息行政主管部门审核。但是，景区图、街区图、地铁线路图等内容简单的地图除外。地图审核不得收取费用。</w:t>
            </w:r>
          </w:p>
          <w:p w14:paraId="1E3B05C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地图审核管理规定》（2006年国土资源部第34号令公布，2019年自然资源部令第5号修正）第八条：省、自治区、直辖市人民政府测绘地理信息主管部门负责审核主要表现地在本行政区域范围内的地图。其中，主要表现地在设区的市行政区域范围内不涉及国界线的地图，由设区的市级人民政府测绘地理信息主管部门负责审核。</w:t>
            </w:r>
          </w:p>
        </w:tc>
        <w:tc>
          <w:tcPr>
            <w:tcW w:w="4425" w:type="dxa"/>
            <w:vAlign w:val="center"/>
          </w:tcPr>
          <w:p w14:paraId="723118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1.受理责任：公示地图审核行政许可需要提交的全部材料的目录，自收到申请材料5个工作日内作出不予受理、补正材料或者予以受理的决定。</w:t>
            </w:r>
          </w:p>
          <w:p w14:paraId="6D781DC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2.审查责任：主要表现地在设区的市行政区域范围内不涉及国界线的地图，由设区的市级人民政府自然资源主管部门负责审核申请材料，提出审查意见。</w:t>
            </w:r>
          </w:p>
          <w:p w14:paraId="374DAB9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有审核权的自然资源主管部门应当自受理地图审核申请之日起20个工作日内，作出审核决定。时事宣传地图、时效性要求较高的图书和报刊等插附地图的，应当自受理地图审核审批申请之日起7个工作日内，作出审核决定。应急保障等特殊情况需要使用地图的，应当即送即审。不予行政许可决定的，应当向申请单位书面说明理由。</w:t>
            </w:r>
          </w:p>
          <w:p w14:paraId="76CA5B1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4．送达责任：准予批准的，核发地图审核批准文件和审图号。</w:t>
            </w:r>
          </w:p>
          <w:p w14:paraId="577B24B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监管责任：制定监管计划，对地图送审单位和地图出版发布单位执行《地图审核管理规定》、《公开地图内容表示若干规定》、《公开地图内容表示补充规定》（试行）等有关规定的有关情况进行监管，依法采取相关处置措施。</w:t>
            </w:r>
          </w:p>
          <w:p w14:paraId="656E1D4C">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7533" w:type="dxa"/>
            <w:vAlign w:val="center"/>
          </w:tcPr>
          <w:p w14:paraId="453FEBF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14:paraId="2D08A2B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十八条：省、自治区、直辖市人民政府测绘地理信息行政主管部门负责审核主要表现地在本行政区域范围内的地图。其中，主要表现地在设区的市行政区域范围内不涉及国界线的地图，由设区的市级人民政府测绘地理信息行政主管部门负责审核。</w:t>
            </w:r>
          </w:p>
          <w:p w14:paraId="570B59F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3.【行政法规】《地图管理条例》（2015年国务院令第664号）第十九条：有审核权的测绘地理信息行政主管部门应当自受理地图审核申请之日起20个工作日内，作出审核决定。</w:t>
            </w:r>
          </w:p>
          <w:p w14:paraId="0898F32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时事宣传地图、时效性要求较高的图书和报刊等插附地图的，应当自受理地图审核申请之日起7个工作日内，作出审核决定。</w:t>
            </w:r>
          </w:p>
          <w:p w14:paraId="5F423F0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应急保障等特殊情况需要使用地图的，应当即送即审。</w:t>
            </w:r>
          </w:p>
          <w:p w14:paraId="53A720D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4—1.【行政法规】《地图管理条例》（2015年国务院令第664号）第二十一条：……由有审核权的测绘地理信息行政主管部门核发地图审核批准文件，……：</w:t>
            </w:r>
          </w:p>
          <w:p w14:paraId="1C31060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部门规章】《地图审核管理规定》（2006年国土资源部第34号令公布，2019年自然资源部令第5号修正）第二十三条自然资源主管部门应当依据地图内容审查工作机构提出的审查意见及相关申请材料，作出批准或者不予批准的书面决定并及时送达申请人。</w:t>
            </w:r>
          </w:p>
          <w:p w14:paraId="7B9D00D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予以批准的，核发地图审核批准文件和审图号。</w:t>
            </w:r>
          </w:p>
          <w:p w14:paraId="50A7F81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不予批准的，核发地图审核不予批准文件并书面说明理由，告知申请人享有依法申请行政复议或者提起行政诉讼的权利。</w:t>
            </w:r>
          </w:p>
          <w:p w14:paraId="740728F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5—1.【行政法规】《地图管理条例》（2015年国务院令第664号）第四十二条：县级以上人民政府及其有关部门应当依法加强对地图编制、出版、展示、登载、生产、销售、进口、出口等活动的监督检查。</w:t>
            </w:r>
          </w:p>
          <w:p w14:paraId="2BADBD7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地方性法规】《广西壮族自治区测绘管理条例》（1995年自治区第八届人民代表大会常务委员会第14次会议通过，2019年7月25日自治区第十三届人民代表大会常务委员会第十次会议修订）第二十九条：地图的编制、出版、展示、登载、更新和互联网地图服务等活动应当遵守国家和自治区有关地图管理的规定。</w:t>
            </w:r>
          </w:p>
          <w:p w14:paraId="4610476E">
            <w:pPr>
              <w:widowControl/>
              <w:adjustRightInd w:val="0"/>
              <w:snapToGrid w:val="0"/>
              <w:spacing w:line="299" w:lineRule="exac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条：自治区人民政府测绘地理信息主管部门负责审核主要表现地在本行政区域范围内的地图。其中，主要表现地在设区的市行政区域范围内不涉及国界线的地图，由设区的市人民政府测绘地理信息主管部门负责审核。</w:t>
            </w:r>
          </w:p>
        </w:tc>
        <w:tc>
          <w:tcPr>
            <w:tcW w:w="330" w:type="dxa"/>
            <w:vAlign w:val="center"/>
          </w:tcPr>
          <w:p w14:paraId="38CD2E58">
            <w:pPr>
              <w:snapToGrid w:val="0"/>
              <w:spacing w:line="240" w:lineRule="atLeast"/>
              <w:jc w:val="center"/>
              <w:rPr>
                <w:rFonts w:ascii="仿宋_GB2312" w:hAnsi="仿宋_GB2312" w:eastAsia="仿宋_GB2312" w:cs="仿宋_GB2312"/>
                <w:sz w:val="20"/>
                <w:szCs w:val="20"/>
              </w:rPr>
            </w:pPr>
          </w:p>
        </w:tc>
      </w:tr>
    </w:tbl>
    <w:p w14:paraId="24A3EF65"/>
    <w:p w14:paraId="44410F97"/>
    <w:p w14:paraId="4B8B1EC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7467"/>
        <w:gridCol w:w="3750"/>
        <w:gridCol w:w="6798"/>
        <w:gridCol w:w="330"/>
      </w:tblGrid>
      <w:tr w14:paraId="06CB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41FCE0">
            <w:pPr>
              <w:snapToGrid w:val="0"/>
              <w:spacing w:line="240" w:lineRule="atLeast"/>
              <w:jc w:val="left"/>
              <w:rPr>
                <w:rFonts w:asciiTheme="majorEastAsia" w:hAnsiTheme="majorEastAsia" w:eastAsiaTheme="majorEastAsia" w:cstheme="majorEastAsia"/>
                <w:spacing w:val="-23"/>
                <w:sz w:val="20"/>
                <w:szCs w:val="20"/>
              </w:rPr>
            </w:pPr>
          </w:p>
          <w:p w14:paraId="1B47B07E">
            <w:pPr>
              <w:snapToGrid w:val="0"/>
              <w:spacing w:line="240" w:lineRule="atLeast"/>
              <w:jc w:val="left"/>
              <w:rPr>
                <w:rFonts w:asciiTheme="majorEastAsia" w:hAnsiTheme="majorEastAsia" w:eastAsiaTheme="majorEastAsia" w:cstheme="majorEastAsia"/>
                <w:spacing w:val="-23"/>
                <w:sz w:val="20"/>
                <w:szCs w:val="20"/>
              </w:rPr>
            </w:pPr>
          </w:p>
          <w:p w14:paraId="1D2C0C09">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1ADF78A">
            <w:pPr>
              <w:spacing w:line="240" w:lineRule="atLeast"/>
              <w:rPr>
                <w:rFonts w:asciiTheme="majorEastAsia" w:hAnsiTheme="majorEastAsia" w:eastAsiaTheme="majorEastAsia" w:cstheme="majorEastAsia"/>
                <w:spacing w:val="-20"/>
                <w:sz w:val="20"/>
                <w:szCs w:val="20"/>
              </w:rPr>
            </w:pPr>
          </w:p>
          <w:p w14:paraId="2247EF9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0326" w:type="dxa"/>
            <w:gridSpan w:val="5"/>
          </w:tcPr>
          <w:p w14:paraId="0AE9D0E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548" w:type="dxa"/>
            <w:gridSpan w:val="2"/>
          </w:tcPr>
          <w:p w14:paraId="7FB7B07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EF63F4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BA0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2FA6E85">
            <w:pPr>
              <w:spacing w:line="240" w:lineRule="atLeast"/>
              <w:jc w:val="left"/>
              <w:rPr>
                <w:rFonts w:ascii="仿宋_GB2312" w:hAnsi="仿宋_GB2312" w:eastAsia="仿宋_GB2312" w:cs="仿宋_GB2312"/>
                <w:sz w:val="20"/>
                <w:szCs w:val="20"/>
              </w:rPr>
            </w:pPr>
          </w:p>
        </w:tc>
        <w:tc>
          <w:tcPr>
            <w:tcW w:w="555" w:type="dxa"/>
            <w:vMerge w:val="continue"/>
          </w:tcPr>
          <w:p w14:paraId="62CD3075">
            <w:pPr>
              <w:spacing w:line="240" w:lineRule="atLeast"/>
              <w:jc w:val="left"/>
              <w:rPr>
                <w:rFonts w:ascii="仿宋_GB2312" w:hAnsi="仿宋_GB2312" w:eastAsia="仿宋_GB2312" w:cs="仿宋_GB2312"/>
                <w:sz w:val="20"/>
                <w:szCs w:val="20"/>
              </w:rPr>
            </w:pPr>
          </w:p>
        </w:tc>
        <w:tc>
          <w:tcPr>
            <w:tcW w:w="600" w:type="dxa"/>
            <w:vAlign w:val="center"/>
          </w:tcPr>
          <w:p w14:paraId="29FF5B65">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BDEBF0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19DD330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9F5FFF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7467" w:type="dxa"/>
            <w:vAlign w:val="center"/>
          </w:tcPr>
          <w:p w14:paraId="5F9E281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50" w:type="dxa"/>
            <w:vAlign w:val="center"/>
          </w:tcPr>
          <w:p w14:paraId="09AE4B3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CC0549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798" w:type="dxa"/>
            <w:vAlign w:val="center"/>
          </w:tcPr>
          <w:p w14:paraId="4D8408D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519EFCB">
            <w:pPr>
              <w:spacing w:line="240" w:lineRule="atLeast"/>
              <w:jc w:val="left"/>
              <w:rPr>
                <w:rFonts w:ascii="仿宋_GB2312" w:hAnsi="仿宋_GB2312" w:eastAsia="仿宋_GB2312" w:cs="仿宋_GB2312"/>
                <w:sz w:val="20"/>
                <w:szCs w:val="20"/>
              </w:rPr>
            </w:pPr>
          </w:p>
        </w:tc>
      </w:tr>
      <w:tr w14:paraId="6C17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52BE2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w:t>
            </w:r>
          </w:p>
        </w:tc>
        <w:tc>
          <w:tcPr>
            <w:tcW w:w="555" w:type="dxa"/>
            <w:vAlign w:val="center"/>
          </w:tcPr>
          <w:p w14:paraId="5376EC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F52CD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FBA76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3763F1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6431D1D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乡村建设规划许可证核发</w:t>
            </w:r>
          </w:p>
        </w:tc>
        <w:tc>
          <w:tcPr>
            <w:tcW w:w="645" w:type="dxa"/>
            <w:vAlign w:val="center"/>
          </w:tcPr>
          <w:p w14:paraId="56B85E14">
            <w:pPr>
              <w:snapToGrid w:val="0"/>
              <w:spacing w:line="240" w:lineRule="atLeast"/>
              <w:jc w:val="center"/>
              <w:rPr>
                <w:rFonts w:ascii="仿宋_GB2312" w:hAnsi="仿宋_GB2312" w:eastAsia="仿宋_GB2312" w:cs="仿宋_GB2312"/>
                <w:sz w:val="20"/>
                <w:szCs w:val="20"/>
              </w:rPr>
            </w:pPr>
          </w:p>
        </w:tc>
        <w:tc>
          <w:tcPr>
            <w:tcW w:w="585" w:type="dxa"/>
            <w:vAlign w:val="center"/>
          </w:tcPr>
          <w:p w14:paraId="3A6BE2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7F4B6B5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7467" w:type="dxa"/>
            <w:vAlign w:val="center"/>
          </w:tcPr>
          <w:p w14:paraId="33F8C5BD">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四十一条：在乡、村庄规划区内进行乡镇企业、乡村公共设施和公益事业建设的，建设单位或者个人应当向乡、镇人民政府提出申请，由乡、镇人民政府报城市、县人民政府城乡规划主管部门核发乡村建设规划许可证。在乡、村庄规划区内使用原有宅基地进行农村村民住宅建设的规划管理办法，由省、自治区、直辖市制定。在乡、村庄规划区内进行乡镇企业、乡村公共设施和公益事业建设以及农村村民住宅建设，不得占用农用地；确需占用农用地的，应当依照《中华人民共和国土地管理法》有关规定办理农用地转用审批手续后，由城市、县人民政府城乡规划主管部门核发乡村建设规划许可证。建设单位或者个人在取得乡村建设规划许可证后，方可办理用地审批手续。</w:t>
            </w:r>
          </w:p>
          <w:p w14:paraId="2CE9CF1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三十七条：在乡、村庄规划区内进行乡镇企业、乡村公共设施和公益事业建设，应当办理乡村建设规划许可证。建设单位或者个人应当持经有关部门审批、核准或者备案文件、标明拟建项目用地范围的规定比例尺地形图、建设工程设计方案（包括图纸和说明，下同）、有关村民委员会意见、建设单位或者个人有效证件等材料，向所在地镇或者乡人民政府提出书面申请。镇或者乡人民政府对提交的材料进行初审，对材料齐全的，提出初审意见；对材料不齐全的，告知其应当补正的有关材料。镇或者乡人民政府将初审意见及该建设项目相关材料一并报上一级人民政府城乡规划主管部门。城乡规划主管部门依据乡、村庄规划对建设项目进行核查，对符合乡、村庄规划要求及国家有关规范、标准的，核发乡村建设规划许可证；对不符合要求的，不予核发，并书面说明理由。</w:t>
            </w:r>
          </w:p>
          <w:p w14:paraId="3B1FF766">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第三十八条：村民在乡、村庄规划区范围内进行住宅建设的，应当办理乡村建设规划许可证。</w:t>
            </w:r>
          </w:p>
          <w:p w14:paraId="7DA8EFF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建房村民须持拟建住房用地的有关证明文件、村民小组和村民委员会意见、四邻关系图、建设工程设计方案或者房屋建筑通用图集、有效身份证件等材料向所在地镇或者乡人民政府提出书面申请。镇或者乡人民政府审核申请人提交的各项文件、资料、图纸等是否完备，并依据经依法批准的乡、村庄规划进行核查，对具备相关文件材料且符合乡、村庄规划及国家有关规范、标准要求，属于使用原有宅基地建造住宅的，由乡、镇人民政府核发乡村建设规划许可证，不属于使用原有宅基地建造住宅的，提出初审意见，报上一级人民政府城乡规划主管部门审定、核发乡村建设规划许可证；对不符合要求的，不予核发，并书面说明理由。</w:t>
            </w:r>
          </w:p>
          <w:p w14:paraId="6F165A87">
            <w:pPr>
              <w:widowControl/>
              <w:adjustRightInd w:val="0"/>
              <w:snapToGrid w:val="0"/>
              <w:spacing w:line="240" w:lineRule="exact"/>
              <w:rPr>
                <w:rFonts w:eastAsia="仿宋_GB2312"/>
                <w:snapToGrid w:val="0"/>
                <w:color w:val="000000"/>
                <w:sz w:val="20"/>
                <w:szCs w:val="20"/>
              </w:rPr>
            </w:pPr>
            <w:r>
              <w:rPr>
                <w:rFonts w:hint="eastAsia" w:eastAsia="仿宋_GB2312"/>
                <w:snapToGrid w:val="0"/>
                <w:color w:val="000000"/>
                <w:sz w:val="20"/>
                <w:szCs w:val="20"/>
              </w:rPr>
              <w:t>第四十一条：城市、县人民政府城乡规划主管部门可以委托符合下列条件的乡、镇人民政府核发乡村建设规划许可证：（一）乡规划、村庄规划已经依法批准；（二）设有乡镇规划建设管理机构和配备有专职乡镇规划建设管理人员。</w:t>
            </w:r>
          </w:p>
          <w:p w14:paraId="452F1CB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乡村规划建设管理条例》（2018年11月28日广西壮族自治区第十三届人民代表大会常务委员会第六次会议通过）第二十一条：在乡、村庄规划区内进行乡镇企业、乡村公共设施、公益事业建设以及村民住宅建设，应当取得乡村建设规划许可证，建设单位或者个人应当按照规划许可证的内容进行建设。乡村建设规划许可证的内容应当包括对地块位置、用地范围、用地性质、建筑面积、建筑高度、建筑风格、外观形象、色彩等的要求。</w:t>
            </w:r>
          </w:p>
          <w:p w14:paraId="29441F15">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五条：在乡、村庄规划区内进行乡镇企业、乡村公共设施、公益事业建设，以及村民不使用原有宅基地或者扩大原有宅基地面积建设住宅的，乡（镇）人民政府自受理申请之日起十个工作日内将审核意见以及该建设工程相关材料报上一级人民政府城乡规划主管部门；城乡规划主管部门自受理申请之日起二十个工作日内作出决定，对符合本条例第二十二条规定条件的，核发乡村建设规划许可证；对不符合本条例第二十二条规定条件的，不予核发，并书面说明理由。</w:t>
            </w:r>
          </w:p>
          <w:p w14:paraId="1E65FCC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县级人民政府城乡规划主管部门可以委托乡（镇）人民政府核发乡村建设规划许可证。</w:t>
            </w:r>
          </w:p>
          <w:p w14:paraId="4F1001CC">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在乡、村庄规划区内进行本条第一款规定的建设，应当在取得乡村建设规划许可证后，依法办理用地审批手续。</w:t>
            </w:r>
          </w:p>
          <w:p w14:paraId="2AB2BBB3">
            <w:pPr>
              <w:snapToGrid w:val="0"/>
              <w:spacing w:line="240" w:lineRule="exact"/>
              <w:rPr>
                <w:rFonts w:ascii="仿宋_GB2312" w:hAnsi="仿宋_GB2312" w:eastAsia="仿宋_GB2312" w:cs="仿宋_GB2312"/>
                <w:sz w:val="20"/>
                <w:szCs w:val="20"/>
              </w:rPr>
            </w:pPr>
            <w:r>
              <w:rPr>
                <w:rFonts w:hint="eastAsia" w:eastAsia="仿宋_GB2312"/>
                <w:snapToGrid w:val="0"/>
                <w:color w:val="000000"/>
                <w:sz w:val="20"/>
                <w:szCs w:val="20"/>
              </w:rPr>
              <w:t>第二十六条：在乡、村庄规划区内使用原有宅基地建设住宅的，乡（镇）人民政府自受理申请之日起二十个工作日内作出决定，对符合本条例第二十二条第一款规定条件的，核发乡村建设规划许可证；对不符合本条例第二十二条第一款规定条件的，不予核发，并书面说明理由。</w:t>
            </w:r>
          </w:p>
        </w:tc>
        <w:tc>
          <w:tcPr>
            <w:tcW w:w="3750" w:type="dxa"/>
            <w:vAlign w:val="center"/>
          </w:tcPr>
          <w:p w14:paraId="72E40A6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111643D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2.审查责任：按照政策规定对书面材料进行审查，提出是否同意审批的初步意见，告知申请人、利害相关人享有听证权利；涉及公共利益的重大许可，向社会公告，并举行听证。</w:t>
            </w:r>
          </w:p>
          <w:p w14:paraId="4DC8953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3.决定责任：作出行政许可或者不予行政许可决定,法定告知（不予许可的应当书面告知理由）。</w:t>
            </w:r>
          </w:p>
          <w:p w14:paraId="697082E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4．送达责任：准予许可的制发送达审批决定。</w:t>
            </w:r>
          </w:p>
          <w:p w14:paraId="1DC8118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5．事后监管环节责任：分管领导对审批后的相关事宜实施监督管理</w:t>
            </w:r>
          </w:p>
          <w:p w14:paraId="09F022CC">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6798" w:type="dxa"/>
            <w:vAlign w:val="center"/>
          </w:tcPr>
          <w:p w14:paraId="563F65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6F4471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2849B64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FAFA65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1DA9E86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3BF4C6B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9FA159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68B0030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65D8EA32">
            <w:pPr>
              <w:snapToGrid w:val="0"/>
              <w:spacing w:line="240" w:lineRule="atLeast"/>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79C63590">
            <w:pPr>
              <w:snapToGrid w:val="0"/>
              <w:spacing w:line="240" w:lineRule="atLeast"/>
              <w:jc w:val="center"/>
              <w:rPr>
                <w:rFonts w:ascii="仿宋_GB2312" w:hAnsi="仿宋_GB2312" w:eastAsia="仿宋_GB2312" w:cs="仿宋_GB2312"/>
                <w:sz w:val="20"/>
                <w:szCs w:val="20"/>
              </w:rPr>
            </w:pPr>
          </w:p>
        </w:tc>
      </w:tr>
    </w:tbl>
    <w:p w14:paraId="5E81EA9F"/>
    <w:p w14:paraId="420E2CC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6657"/>
        <w:gridCol w:w="3375"/>
        <w:gridCol w:w="7983"/>
        <w:gridCol w:w="330"/>
      </w:tblGrid>
      <w:tr w14:paraId="6697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F1D1566">
            <w:pPr>
              <w:snapToGrid w:val="0"/>
              <w:spacing w:line="240" w:lineRule="atLeast"/>
              <w:jc w:val="left"/>
              <w:rPr>
                <w:rFonts w:asciiTheme="majorEastAsia" w:hAnsiTheme="majorEastAsia" w:eastAsiaTheme="majorEastAsia" w:cstheme="majorEastAsia"/>
                <w:spacing w:val="-23"/>
                <w:sz w:val="20"/>
                <w:szCs w:val="20"/>
              </w:rPr>
            </w:pPr>
          </w:p>
          <w:p w14:paraId="2C5EC7BE">
            <w:pPr>
              <w:snapToGrid w:val="0"/>
              <w:spacing w:line="240" w:lineRule="atLeast"/>
              <w:jc w:val="left"/>
              <w:rPr>
                <w:rFonts w:asciiTheme="majorEastAsia" w:hAnsiTheme="majorEastAsia" w:eastAsiaTheme="majorEastAsia" w:cstheme="majorEastAsia"/>
                <w:spacing w:val="-23"/>
                <w:sz w:val="20"/>
                <w:szCs w:val="20"/>
              </w:rPr>
            </w:pPr>
          </w:p>
          <w:p w14:paraId="2B6070D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6BE6168">
            <w:pPr>
              <w:spacing w:line="240" w:lineRule="atLeast"/>
              <w:rPr>
                <w:rFonts w:asciiTheme="majorEastAsia" w:hAnsiTheme="majorEastAsia" w:eastAsiaTheme="majorEastAsia" w:cstheme="majorEastAsia"/>
                <w:spacing w:val="-20"/>
                <w:sz w:val="20"/>
                <w:szCs w:val="20"/>
              </w:rPr>
            </w:pPr>
          </w:p>
          <w:p w14:paraId="7978010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516" w:type="dxa"/>
            <w:gridSpan w:val="5"/>
          </w:tcPr>
          <w:p w14:paraId="23A8267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358" w:type="dxa"/>
            <w:gridSpan w:val="2"/>
          </w:tcPr>
          <w:p w14:paraId="0D03523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CF95C4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F5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55DC13">
            <w:pPr>
              <w:spacing w:line="240" w:lineRule="atLeast"/>
              <w:jc w:val="left"/>
              <w:rPr>
                <w:rFonts w:ascii="仿宋_GB2312" w:hAnsi="仿宋_GB2312" w:eastAsia="仿宋_GB2312" w:cs="仿宋_GB2312"/>
                <w:sz w:val="20"/>
                <w:szCs w:val="20"/>
              </w:rPr>
            </w:pPr>
          </w:p>
        </w:tc>
        <w:tc>
          <w:tcPr>
            <w:tcW w:w="555" w:type="dxa"/>
            <w:vMerge w:val="continue"/>
          </w:tcPr>
          <w:p w14:paraId="62C571AC">
            <w:pPr>
              <w:spacing w:line="240" w:lineRule="atLeast"/>
              <w:jc w:val="left"/>
              <w:rPr>
                <w:rFonts w:ascii="仿宋_GB2312" w:hAnsi="仿宋_GB2312" w:eastAsia="仿宋_GB2312" w:cs="仿宋_GB2312"/>
                <w:sz w:val="20"/>
                <w:szCs w:val="20"/>
              </w:rPr>
            </w:pPr>
          </w:p>
        </w:tc>
        <w:tc>
          <w:tcPr>
            <w:tcW w:w="600" w:type="dxa"/>
            <w:vAlign w:val="center"/>
          </w:tcPr>
          <w:p w14:paraId="27978774">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5F84940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C38EC8F">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06275E6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657" w:type="dxa"/>
            <w:vAlign w:val="center"/>
          </w:tcPr>
          <w:p w14:paraId="3FD7C4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75" w:type="dxa"/>
            <w:vAlign w:val="center"/>
          </w:tcPr>
          <w:p w14:paraId="1B78A6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F3168D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983" w:type="dxa"/>
            <w:vAlign w:val="center"/>
          </w:tcPr>
          <w:p w14:paraId="5F3E652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AA80B34">
            <w:pPr>
              <w:spacing w:line="240" w:lineRule="atLeast"/>
              <w:jc w:val="left"/>
              <w:rPr>
                <w:rFonts w:ascii="仿宋_GB2312" w:hAnsi="仿宋_GB2312" w:eastAsia="仿宋_GB2312" w:cs="仿宋_GB2312"/>
                <w:sz w:val="20"/>
                <w:szCs w:val="20"/>
              </w:rPr>
            </w:pPr>
          </w:p>
        </w:tc>
      </w:tr>
      <w:tr w14:paraId="7097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066F7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w:t>
            </w:r>
          </w:p>
        </w:tc>
        <w:tc>
          <w:tcPr>
            <w:tcW w:w="555" w:type="dxa"/>
            <w:vAlign w:val="center"/>
          </w:tcPr>
          <w:p w14:paraId="31E72A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FB80E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3B6F4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525FAC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15540A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建设工程（含临时建设）规划许可证核发</w:t>
            </w:r>
          </w:p>
        </w:tc>
        <w:tc>
          <w:tcPr>
            <w:tcW w:w="645" w:type="dxa"/>
            <w:vAlign w:val="center"/>
          </w:tcPr>
          <w:p w14:paraId="23B41EBA">
            <w:pPr>
              <w:snapToGrid w:val="0"/>
              <w:spacing w:line="240" w:lineRule="atLeast"/>
              <w:jc w:val="center"/>
              <w:rPr>
                <w:rFonts w:ascii="仿宋_GB2312" w:hAnsi="仿宋_GB2312" w:eastAsia="仿宋_GB2312" w:cs="仿宋_GB2312"/>
                <w:sz w:val="20"/>
                <w:szCs w:val="20"/>
              </w:rPr>
            </w:pPr>
          </w:p>
        </w:tc>
        <w:tc>
          <w:tcPr>
            <w:tcW w:w="585" w:type="dxa"/>
            <w:vAlign w:val="center"/>
          </w:tcPr>
          <w:p w14:paraId="574658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14DE0D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657" w:type="dxa"/>
            <w:vAlign w:val="center"/>
          </w:tcPr>
          <w:p w14:paraId="6C37B9CB">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1.【法律】《中华人民共和国城乡规划法》第四十条第一款  在城市、镇规划区内进行建筑物、构筑物、道路、管线和其他工程建设的，建设单位或者个人应当向城市、县人民政府城乡规划主管部门或者省、自治区、直辖市人民政府确定的镇人民政府申请办理建设工程规划许可证。</w:t>
            </w:r>
          </w:p>
          <w:p w14:paraId="7D42401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第四十条第二款  申请办理建设工程规划许可证，应当提交使用土地的有关证明文件、建设工程设计方案等材料。需要建设单位编制修建性详细规划的建设项目，还应当提交修建性详细规划。对符合控制性详细规划和规划条件的，由城市、县人民政府城乡规划主管部门或者省、自治区、直辖市人民政府确定的镇人民政府核发建设工程规划许可证。</w:t>
            </w:r>
          </w:p>
          <w:p w14:paraId="13EE6CB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地方性法规】《广西壮族自治区实施&lt;中华人民共和国城乡规划法&gt;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三十一条第一款  在城市、镇规划区内进行建筑物、构筑物、道路、管线和其他工程建设的，建设单位或者个人应当向城市、县人民政府城乡规划主管部门或者自治区人民政府确定的镇人民政府申请办理建设工程规划许可证。未取得建设工程规划许可证的，不得进行建设。</w:t>
            </w:r>
          </w:p>
        </w:tc>
        <w:tc>
          <w:tcPr>
            <w:tcW w:w="3375" w:type="dxa"/>
            <w:vAlign w:val="center"/>
          </w:tcPr>
          <w:p w14:paraId="3762143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1.受理责任：公示应当提交的材料；一次性告知补正材料；依法受理或不予受理（不予受理应当告知理由）。</w:t>
            </w:r>
          </w:p>
          <w:p w14:paraId="6A61F682">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2.审查责任：按照政策规定对书面材料进行审查，提出是否同意审批的初步意见，告知申请人、利害相关人享有听证权利；涉及公共利益的重大许可，向社会公告，并举行听证。</w:t>
            </w:r>
          </w:p>
          <w:p w14:paraId="40C0EB1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3.决定责任：作出行政许可或者不予行政许可决定,法定告知（不予许可的应当书面告知理由）。</w:t>
            </w:r>
          </w:p>
          <w:p w14:paraId="66A400D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4.送达责任：准予许可的制发送达审批决定。</w:t>
            </w:r>
          </w:p>
          <w:p w14:paraId="20DF9A8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5.事后监管环节责任：分管领导对审批后的相关事宜实施监督管理</w:t>
            </w:r>
          </w:p>
          <w:p w14:paraId="25B9B460">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6.其他法律法规规章文件规定应履行的责任。</w:t>
            </w:r>
          </w:p>
        </w:tc>
        <w:tc>
          <w:tcPr>
            <w:tcW w:w="7983" w:type="dxa"/>
            <w:vAlign w:val="center"/>
          </w:tcPr>
          <w:p w14:paraId="6FFD4E61">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6D85AB7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1F3CA34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4718B062">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31E09AD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3-1.【法律】《中华人民共和国行政许可法》第三十七条“行政机关对行政许可申请进行审.查后，除了当场作出行政许可决定的，应在法定期限内按照规定程序作出行政许可决定。”</w:t>
            </w:r>
          </w:p>
          <w:p w14:paraId="3152795E">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0C144DC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4-1.【法律】《中华人民共和国行政许可法》第四十条“行政机关作出的准予行政许可决定，应当予以公开，公众有权查阅。”</w:t>
            </w:r>
          </w:p>
          <w:p w14:paraId="342B133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69FA65E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28FA63FE">
            <w:pPr>
              <w:snapToGrid w:val="0"/>
              <w:spacing w:line="240" w:lineRule="atLeast"/>
              <w:jc w:val="center"/>
              <w:rPr>
                <w:rFonts w:ascii="仿宋_GB2312" w:hAnsi="仿宋_GB2312" w:eastAsia="仿宋_GB2312" w:cs="仿宋_GB2312"/>
                <w:sz w:val="20"/>
                <w:szCs w:val="20"/>
              </w:rPr>
            </w:pPr>
          </w:p>
        </w:tc>
      </w:tr>
    </w:tbl>
    <w:p w14:paraId="038629FE"/>
    <w:p w14:paraId="3807B2C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8292"/>
        <w:gridCol w:w="3150"/>
        <w:gridCol w:w="6573"/>
        <w:gridCol w:w="330"/>
      </w:tblGrid>
      <w:tr w14:paraId="0CB0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E07C007">
            <w:pPr>
              <w:snapToGrid w:val="0"/>
              <w:spacing w:line="240" w:lineRule="atLeast"/>
              <w:jc w:val="left"/>
              <w:rPr>
                <w:rFonts w:asciiTheme="majorEastAsia" w:hAnsiTheme="majorEastAsia" w:eastAsiaTheme="majorEastAsia" w:cstheme="majorEastAsia"/>
                <w:spacing w:val="-23"/>
                <w:sz w:val="20"/>
                <w:szCs w:val="20"/>
              </w:rPr>
            </w:pPr>
          </w:p>
          <w:p w14:paraId="24ADC801">
            <w:pPr>
              <w:snapToGrid w:val="0"/>
              <w:spacing w:line="240" w:lineRule="atLeast"/>
              <w:jc w:val="left"/>
              <w:rPr>
                <w:rFonts w:asciiTheme="majorEastAsia" w:hAnsiTheme="majorEastAsia" w:eastAsiaTheme="majorEastAsia" w:cstheme="majorEastAsia"/>
                <w:spacing w:val="-23"/>
                <w:sz w:val="20"/>
                <w:szCs w:val="20"/>
              </w:rPr>
            </w:pPr>
          </w:p>
          <w:p w14:paraId="05D6B0E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96F9A6C">
            <w:pPr>
              <w:spacing w:line="240" w:lineRule="atLeast"/>
              <w:rPr>
                <w:rFonts w:asciiTheme="majorEastAsia" w:hAnsiTheme="majorEastAsia" w:eastAsiaTheme="majorEastAsia" w:cstheme="majorEastAsia"/>
                <w:spacing w:val="-20"/>
                <w:sz w:val="20"/>
                <w:szCs w:val="20"/>
              </w:rPr>
            </w:pPr>
          </w:p>
          <w:p w14:paraId="55CC6E8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1151" w:type="dxa"/>
            <w:gridSpan w:val="5"/>
          </w:tcPr>
          <w:p w14:paraId="1F6A35E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9723" w:type="dxa"/>
            <w:gridSpan w:val="2"/>
          </w:tcPr>
          <w:p w14:paraId="58186F5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C79DC0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673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55B9D67">
            <w:pPr>
              <w:spacing w:line="240" w:lineRule="atLeast"/>
              <w:jc w:val="left"/>
              <w:rPr>
                <w:rFonts w:ascii="仿宋_GB2312" w:hAnsi="仿宋_GB2312" w:eastAsia="仿宋_GB2312" w:cs="仿宋_GB2312"/>
                <w:sz w:val="20"/>
                <w:szCs w:val="20"/>
              </w:rPr>
            </w:pPr>
          </w:p>
        </w:tc>
        <w:tc>
          <w:tcPr>
            <w:tcW w:w="555" w:type="dxa"/>
            <w:vMerge w:val="continue"/>
          </w:tcPr>
          <w:p w14:paraId="3A8A5EAA">
            <w:pPr>
              <w:spacing w:line="240" w:lineRule="atLeast"/>
              <w:jc w:val="left"/>
              <w:rPr>
                <w:rFonts w:ascii="仿宋_GB2312" w:hAnsi="仿宋_GB2312" w:eastAsia="仿宋_GB2312" w:cs="仿宋_GB2312"/>
                <w:sz w:val="20"/>
                <w:szCs w:val="20"/>
              </w:rPr>
            </w:pPr>
          </w:p>
        </w:tc>
        <w:tc>
          <w:tcPr>
            <w:tcW w:w="600" w:type="dxa"/>
            <w:vAlign w:val="center"/>
          </w:tcPr>
          <w:p w14:paraId="77294509">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22C78ED">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6E7EAC73">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000B177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8292" w:type="dxa"/>
            <w:vAlign w:val="center"/>
          </w:tcPr>
          <w:p w14:paraId="610823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150" w:type="dxa"/>
            <w:vAlign w:val="center"/>
          </w:tcPr>
          <w:p w14:paraId="224B270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B3A9CD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573" w:type="dxa"/>
            <w:vAlign w:val="center"/>
          </w:tcPr>
          <w:p w14:paraId="01E4CCB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3CD7A1A">
            <w:pPr>
              <w:spacing w:line="240" w:lineRule="atLeast"/>
              <w:jc w:val="left"/>
              <w:rPr>
                <w:rFonts w:ascii="仿宋_GB2312" w:hAnsi="仿宋_GB2312" w:eastAsia="仿宋_GB2312" w:cs="仿宋_GB2312"/>
                <w:sz w:val="20"/>
                <w:szCs w:val="20"/>
              </w:rPr>
            </w:pPr>
          </w:p>
        </w:tc>
      </w:tr>
      <w:tr w14:paraId="17A8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72058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w:t>
            </w:r>
          </w:p>
        </w:tc>
        <w:tc>
          <w:tcPr>
            <w:tcW w:w="555" w:type="dxa"/>
            <w:vAlign w:val="center"/>
          </w:tcPr>
          <w:p w14:paraId="44FAB6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BE326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0FA0F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许</w:t>
            </w:r>
          </w:p>
          <w:p w14:paraId="1BBE2D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可</w:t>
            </w:r>
          </w:p>
        </w:tc>
        <w:tc>
          <w:tcPr>
            <w:tcW w:w="600" w:type="dxa"/>
            <w:vAlign w:val="center"/>
          </w:tcPr>
          <w:p w14:paraId="7B47F6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建设用地（含临时用地）规划许可证核发</w:t>
            </w:r>
          </w:p>
        </w:tc>
        <w:tc>
          <w:tcPr>
            <w:tcW w:w="645" w:type="dxa"/>
            <w:vAlign w:val="center"/>
          </w:tcPr>
          <w:p w14:paraId="4CA47338">
            <w:pPr>
              <w:snapToGrid w:val="0"/>
              <w:spacing w:line="240" w:lineRule="atLeast"/>
              <w:jc w:val="center"/>
              <w:rPr>
                <w:rFonts w:ascii="仿宋_GB2312" w:hAnsi="仿宋_GB2312" w:eastAsia="仿宋_GB2312" w:cs="仿宋_GB2312"/>
                <w:sz w:val="20"/>
                <w:szCs w:val="20"/>
              </w:rPr>
            </w:pPr>
          </w:p>
        </w:tc>
        <w:tc>
          <w:tcPr>
            <w:tcW w:w="585" w:type="dxa"/>
            <w:vAlign w:val="center"/>
          </w:tcPr>
          <w:p w14:paraId="2A9F1C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4B856B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8292" w:type="dxa"/>
            <w:vAlign w:val="center"/>
          </w:tcPr>
          <w:p w14:paraId="6DA9829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1.【法律】《中华人民共和国城乡规划法》第三十七条　在城市、镇规划区内以划拨方式提供国有土地使用权的建设项目，经有关部门批准、核准、备案后，建设单位应当向城市、县人民政府城乡规划主管部门提出建设用地规划许可申请，由城市、县人民政府城乡规划主管部门依据控制性详细规划核定建设用地的位置、面积、允许建设的范围，核发建设用地规划许可证。</w:t>
            </w:r>
          </w:p>
          <w:p w14:paraId="7578F0AD">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建设单位在取得建设用地规划许可证后，方可向县级以上地方人民政府土地主管部门申请用地，经县级以上人民政府审批后，由土地主管部门划拨土地。</w:t>
            </w:r>
          </w:p>
          <w:p w14:paraId="3D61269D">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第三十八条　在城市、镇规划区内以出让方式提供国有土地使用权的，在国有土地使用权出让前，城市、县人民政府城乡规划主管部门应当依据控制性详细规划，提出出让地块的位置、使用性质、开发强度等规划条件，作为国有土地使用权出让合同的组成部分。未确定规划条件的地块，不得出让国有土地使用权。</w:t>
            </w:r>
          </w:p>
          <w:p w14:paraId="5ED21B26">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以出让方式取得国有土地使用权的建设项目，建设单位在取得建设项目的批准、核准、备案文件和签订国有土地使用权出让合同后，向城市、县人民政府城乡规划主管部门领取建设用地规划许可证。</w:t>
            </w:r>
          </w:p>
          <w:p w14:paraId="7B05ABC1">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城市、县人民政府城乡规划主管部门不得在建设用地规划许可证中，擅自改变作为国有土地使用权出让合同组成部分的规划条件。</w:t>
            </w:r>
          </w:p>
          <w:p w14:paraId="6A9A2DB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第四十四条　在城市、镇规划区内进行临时建设的，应当经城市、县人民政府城乡规划主管部门批准。临时建设影响近期建设规划或者控制性详细规划的实施以及交通、市容、安全等的，不得批准。</w:t>
            </w:r>
          </w:p>
          <w:p w14:paraId="763844C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临时建设应当在批准的使用期限内自行拆除。</w:t>
            </w:r>
          </w:p>
          <w:p w14:paraId="096276C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临时建设和临时用地规划管理的具体办法，由省、自治区、直辖市人民政府制定。                         </w:t>
            </w:r>
          </w:p>
          <w:p w14:paraId="5247FB0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2.【地方性法规】《广西壮族自治区实施〈中华人民共和国城乡规划法〉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二十五条 建设单位应当在取得选址意见书后2年内取得建设用地规划许可证;期满需要延续的，应当在期限届满30日前向城乡规划主管部门提出申请，经批准可以延续1次，期限不得超过2年。未获得延续批准或者在规定的期限内未取得建设用地规划许可证的，选址意见书失效。</w:t>
            </w:r>
          </w:p>
          <w:p w14:paraId="5348E7A1">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第二十七条 在城市、镇、乡规划区内以划拨方式取得国有土地使用权的建设项目，其建设用地规划许可证按照以下规定办理:</w:t>
            </w:r>
          </w:p>
          <w:p w14:paraId="3674A6E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一)项目建设单位持有关部门对建设项目审批、核准或者备案的文件，建设项目选址意见书及附件、地形图、项目相关文件图纸，以及经依法审定的建设工程设计方案的总平面图(需要编制修建性详细规划的，应提供经依法审定的修建性详细规划)，向城乡规划主管部门提出建设用地规划许可书面申请。</w:t>
            </w:r>
          </w:p>
          <w:p w14:paraId="6903A229">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二)城乡规划主管部门审核建设单位提交的各项文件、资料、图纸等是否完备，并依据依法批准的控制性详细规划审核建设用地的位置、面积，确定建设用地范围。对于文件完备，且符合控制性详细规划要求的建设项目，核发建设用地规划许可证;对不符合要求的，不予核发，并书面说明理由。</w:t>
            </w:r>
          </w:p>
          <w:p w14:paraId="0AE38EB1">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第二十八条 以出让方式取得国有土地使用权的建设项目，其建设用地规划许可证按照以下规定领取:</w:t>
            </w:r>
          </w:p>
          <w:p w14:paraId="2C124652">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一)建设单位向城乡规划主管部门提交建设项目审批、核准或者备案文件，以及国有土地使用权出让合同、经依法审定的建设工程设计方案的总平面图(需要编制修建性详细规划的，应提供经依法审定的修建性详细规划);</w:t>
            </w:r>
          </w:p>
          <w:p w14:paraId="0A11D2CA">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二)城乡规划主管部门审核建设单位提供的各项文件、资料、图纸等是否完备，并依据依法批准的控制性详细规划，核验国有土地使用权出让合同中约定的建设用地规划条件，确定建设用地范围。对于具备相关文件且符合控制性详细规划要求的建设项目，准予领取建设用地规划许可证;对不符合要求的，不准予领取，并书面说明理由。</w:t>
            </w:r>
          </w:p>
        </w:tc>
        <w:tc>
          <w:tcPr>
            <w:tcW w:w="3150" w:type="dxa"/>
            <w:vAlign w:val="center"/>
          </w:tcPr>
          <w:p w14:paraId="5DFBA70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1.受理阶段责任：申请办理建设用地规划许可证应当提交的材料；一次性告知补正材料；依法受理或不予受理（不予受理应当告知理由）；            </w:t>
            </w:r>
          </w:p>
          <w:p w14:paraId="738B8B25">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2.审查阶段责任：根据建设用地规划的相关条件对材料审核，提出拟办意见。对受理材料进行初审，提出拟办意见，报分管领导审批；                 </w:t>
            </w:r>
          </w:p>
          <w:p w14:paraId="1FB2912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3.决定阶段责任：作出准予许可或不予许可的审批决定；按时办结，法定告知；             </w:t>
            </w:r>
          </w:p>
          <w:p w14:paraId="0EA2C763">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4.送达阶段责任：准予许可的，核发建设用地规划许可证；不予许可的，制发不予许可决定书，信息公开；                 </w:t>
            </w:r>
          </w:p>
          <w:p w14:paraId="75FE59E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5.事后监管阶段责任：加强批后管理，依法查处违法、违规行为；  </w:t>
            </w:r>
          </w:p>
          <w:p w14:paraId="2F8A402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6.其他法律法规政策规定应履行的责任。</w:t>
            </w:r>
          </w:p>
        </w:tc>
        <w:tc>
          <w:tcPr>
            <w:tcW w:w="6573" w:type="dxa"/>
            <w:vAlign w:val="center"/>
          </w:tcPr>
          <w:p w14:paraId="2FD1D767">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14:paraId="67A41F60">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 xml:space="preserve">2.【法规】《广西壮族自治区实施〈中华人民共和国城乡规划法〉办法》（2010年3月31日广西壮族自治区第十一届人民代表大会常务委员会第十四次会议通过，根据2016年11月30日广西壮族自治区第十二届人民代表大会常务委员会第二十六次会议《关于废止和修改部分地方性法规的决定》修正）第二十四条 按照国家规定需要有关部门批准或者核准的建设项目，以划拨方式提供国有土地使用权的，建设单位应当在报送有关部门审批、核准前，持以下材料向审批、核准部门的同级城乡规划主管部门申请核发选址意见书：……城乡规划主管部门受理申请后，按照城乡规划要求进行审查，对项目选址符合城乡规划要求的，核发建设项目选址意见书；对不符合要求的，不予核发，并书面说明理由。其中，由国务院或者自治区有关部门审批、核准的建设项目，经县级以上人民政府城乡规划主管部门逐级审查后，报自治区人民政府城乡规划主管部门核发选址意见书。 </w:t>
            </w:r>
          </w:p>
          <w:p w14:paraId="6725783F">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3.【法律】《中华人民共和国行政许可法》（2003年8月27日通过，中华人民共和国主席令7号）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6010D3A8">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4.【法律】《中华人民共和国行政许可法》（2003年8月27日通过，中华人民共和国主席令7号）第四十四条：“行政机关作出准予行政许可的决定，应当自作出决定之日起十日内向申请人颁发、送达行政许可证件，或者加贴标签、加盖检验、检测、检疫印章。 ”</w:t>
            </w:r>
          </w:p>
          <w:p w14:paraId="0F2E6114">
            <w:pPr>
              <w:snapToGrid w:val="0"/>
              <w:spacing w:line="240" w:lineRule="atLeast"/>
              <w:ind w:firstLine="400" w:firstLineChars="200"/>
              <w:rPr>
                <w:rFonts w:ascii="仿宋_GB2312" w:hAnsi="仿宋_GB2312" w:eastAsia="仿宋_GB2312" w:cs="仿宋_GB2312"/>
                <w:sz w:val="20"/>
                <w:szCs w:val="20"/>
              </w:rPr>
            </w:pPr>
            <w:r>
              <w:rPr>
                <w:rFonts w:hint="eastAsia" w:ascii="仿宋_GB2312" w:hAnsi="仿宋_GB2312" w:eastAsia="仿宋_GB2312" w:cs="仿宋_GB2312"/>
                <w:sz w:val="20"/>
                <w:szCs w:val="20"/>
              </w:rPr>
              <w:t>5.【法律】《中华人民共和国行政许可法》（2003年8月27日通过，中华人民共和国主席令第七号）第61条：“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 </w:t>
            </w:r>
          </w:p>
        </w:tc>
        <w:tc>
          <w:tcPr>
            <w:tcW w:w="330" w:type="dxa"/>
            <w:vAlign w:val="center"/>
          </w:tcPr>
          <w:p w14:paraId="7E64A2AB">
            <w:pPr>
              <w:snapToGrid w:val="0"/>
              <w:spacing w:line="240" w:lineRule="atLeast"/>
              <w:jc w:val="center"/>
              <w:rPr>
                <w:rFonts w:ascii="仿宋_GB2312" w:hAnsi="仿宋_GB2312" w:eastAsia="仿宋_GB2312" w:cs="仿宋_GB2312"/>
                <w:sz w:val="20"/>
                <w:szCs w:val="20"/>
              </w:rPr>
            </w:pPr>
          </w:p>
        </w:tc>
      </w:tr>
    </w:tbl>
    <w:p w14:paraId="6617FCBC"/>
    <w:p w14:paraId="2A9091E7"/>
    <w:p w14:paraId="4FA6696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5410"/>
        <w:gridCol w:w="3450"/>
        <w:gridCol w:w="9155"/>
        <w:gridCol w:w="330"/>
      </w:tblGrid>
      <w:tr w14:paraId="4141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DB13529">
            <w:pPr>
              <w:snapToGrid w:val="0"/>
              <w:spacing w:line="240" w:lineRule="atLeast"/>
              <w:jc w:val="left"/>
              <w:rPr>
                <w:rFonts w:asciiTheme="majorEastAsia" w:hAnsiTheme="majorEastAsia" w:eastAsiaTheme="majorEastAsia" w:cstheme="majorEastAsia"/>
                <w:spacing w:val="-23"/>
                <w:sz w:val="20"/>
                <w:szCs w:val="20"/>
              </w:rPr>
            </w:pPr>
          </w:p>
          <w:p w14:paraId="75760C25">
            <w:pPr>
              <w:snapToGrid w:val="0"/>
              <w:spacing w:line="240" w:lineRule="atLeast"/>
              <w:jc w:val="left"/>
              <w:rPr>
                <w:rFonts w:asciiTheme="majorEastAsia" w:hAnsiTheme="majorEastAsia" w:eastAsiaTheme="majorEastAsia" w:cstheme="majorEastAsia"/>
                <w:spacing w:val="-23"/>
                <w:sz w:val="20"/>
                <w:szCs w:val="20"/>
              </w:rPr>
            </w:pPr>
          </w:p>
          <w:p w14:paraId="6EB2A87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4FA8B24">
            <w:pPr>
              <w:spacing w:line="240" w:lineRule="atLeast"/>
              <w:rPr>
                <w:rFonts w:asciiTheme="majorEastAsia" w:hAnsiTheme="majorEastAsia" w:eastAsiaTheme="majorEastAsia" w:cstheme="majorEastAsia"/>
                <w:spacing w:val="-20"/>
                <w:sz w:val="20"/>
                <w:szCs w:val="20"/>
              </w:rPr>
            </w:pPr>
          </w:p>
          <w:p w14:paraId="47D7B4A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269" w:type="dxa"/>
            <w:gridSpan w:val="5"/>
            <w:vAlign w:val="center"/>
          </w:tcPr>
          <w:p w14:paraId="5BC426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605" w:type="dxa"/>
            <w:gridSpan w:val="2"/>
            <w:vAlign w:val="center"/>
          </w:tcPr>
          <w:p w14:paraId="506D5FA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88F8CE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ADF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C22C5BA">
            <w:pPr>
              <w:spacing w:line="240" w:lineRule="atLeast"/>
              <w:jc w:val="left"/>
              <w:rPr>
                <w:rFonts w:ascii="仿宋_GB2312" w:hAnsi="仿宋_GB2312" w:eastAsia="仿宋_GB2312" w:cs="仿宋_GB2312"/>
                <w:sz w:val="20"/>
                <w:szCs w:val="20"/>
              </w:rPr>
            </w:pPr>
          </w:p>
        </w:tc>
        <w:tc>
          <w:tcPr>
            <w:tcW w:w="555" w:type="dxa"/>
            <w:vMerge w:val="continue"/>
          </w:tcPr>
          <w:p w14:paraId="6C483B68">
            <w:pPr>
              <w:spacing w:line="240" w:lineRule="atLeast"/>
              <w:jc w:val="left"/>
              <w:rPr>
                <w:rFonts w:ascii="仿宋_GB2312" w:hAnsi="仿宋_GB2312" w:eastAsia="仿宋_GB2312" w:cs="仿宋_GB2312"/>
                <w:sz w:val="20"/>
                <w:szCs w:val="20"/>
              </w:rPr>
            </w:pPr>
          </w:p>
        </w:tc>
        <w:tc>
          <w:tcPr>
            <w:tcW w:w="600" w:type="dxa"/>
            <w:vAlign w:val="center"/>
          </w:tcPr>
          <w:p w14:paraId="53D329CC">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90E889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09C12EE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1F4169F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410" w:type="dxa"/>
            <w:vAlign w:val="center"/>
          </w:tcPr>
          <w:p w14:paraId="3E3DE7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50" w:type="dxa"/>
            <w:vAlign w:val="center"/>
          </w:tcPr>
          <w:p w14:paraId="04E4CC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53A819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55" w:type="dxa"/>
            <w:vAlign w:val="center"/>
          </w:tcPr>
          <w:p w14:paraId="52ED534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05E3103">
            <w:pPr>
              <w:spacing w:line="240" w:lineRule="atLeast"/>
              <w:jc w:val="left"/>
              <w:rPr>
                <w:rFonts w:ascii="仿宋_GB2312" w:hAnsi="仿宋_GB2312" w:eastAsia="仿宋_GB2312" w:cs="仿宋_GB2312"/>
                <w:sz w:val="20"/>
                <w:szCs w:val="20"/>
              </w:rPr>
            </w:pPr>
          </w:p>
        </w:tc>
      </w:tr>
      <w:tr w14:paraId="6085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2DF19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23</w:t>
            </w:r>
          </w:p>
        </w:tc>
        <w:tc>
          <w:tcPr>
            <w:tcW w:w="555" w:type="dxa"/>
            <w:vAlign w:val="center"/>
          </w:tcPr>
          <w:p w14:paraId="355193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72350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7D4FF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3479DD6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pacing w:val="-4"/>
                <w:sz w:val="20"/>
                <w:szCs w:val="20"/>
              </w:rPr>
              <w:t>对买卖或者以其他形式非法转让土地行为的处罚</w:t>
            </w:r>
          </w:p>
        </w:tc>
        <w:tc>
          <w:tcPr>
            <w:tcW w:w="645" w:type="dxa"/>
            <w:vAlign w:val="center"/>
          </w:tcPr>
          <w:p w14:paraId="2CB26AAF">
            <w:pPr>
              <w:snapToGrid w:val="0"/>
              <w:spacing w:line="240" w:lineRule="atLeast"/>
              <w:jc w:val="center"/>
              <w:rPr>
                <w:rFonts w:ascii="仿宋_GB2312" w:hAnsi="仿宋_GB2312" w:eastAsia="仿宋_GB2312" w:cs="仿宋_GB2312"/>
                <w:sz w:val="20"/>
                <w:szCs w:val="20"/>
              </w:rPr>
            </w:pPr>
          </w:p>
        </w:tc>
        <w:tc>
          <w:tcPr>
            <w:tcW w:w="585" w:type="dxa"/>
            <w:vAlign w:val="center"/>
          </w:tcPr>
          <w:p w14:paraId="5A1EB7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27D22D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410" w:type="dxa"/>
            <w:vAlign w:val="center"/>
          </w:tcPr>
          <w:p w14:paraId="25CAEE7D">
            <w:pPr>
              <w:widowControl/>
              <w:adjustRightInd w:val="0"/>
              <w:snapToGrid w:val="0"/>
              <w:spacing w:line="280"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4C611466">
            <w:pPr>
              <w:snapToGrid w:val="0"/>
              <w:spacing w:line="240" w:lineRule="atLeast"/>
              <w:ind w:firstLine="384" w:firstLineChars="200"/>
              <w:rPr>
                <w:rFonts w:ascii="仿宋_GB2312" w:hAnsi="仿宋_GB2312" w:eastAsia="仿宋_GB2312" w:cs="仿宋_GB2312"/>
                <w:sz w:val="20"/>
                <w:szCs w:val="20"/>
              </w:rPr>
            </w:pPr>
            <w:r>
              <w:rPr>
                <w:rFonts w:hint="eastAsia" w:eastAsia="仿宋_GB2312"/>
                <w:snapToGrid w:val="0"/>
                <w:color w:val="000000"/>
                <w:spacing w:val="-4"/>
                <w:sz w:val="20"/>
                <w:szCs w:val="20"/>
              </w:rPr>
              <w:t>2.【行政法规】《中华人民共和国土地管理法实施条例》（1998年国务院令第256号发布，2021年国务院令第743号第三次修订）第五十四条：依照《土地管理法》第七十四条的规定处以罚款的，罚款额为违法所得的10%以上50%以下。</w:t>
            </w:r>
          </w:p>
        </w:tc>
        <w:tc>
          <w:tcPr>
            <w:tcW w:w="3450" w:type="dxa"/>
            <w:vAlign w:val="center"/>
          </w:tcPr>
          <w:p w14:paraId="2A2D3C9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1.立案阶段责任：接到举报或相关部门转送、巡查发现该违法行为，及时予以审查，决定是否立案。下达《责令停止违法行为通知书》。</w:t>
            </w:r>
          </w:p>
          <w:p w14:paraId="5AC2B5A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4C4F1F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575085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4．告知阶段责任：作出行政处罚决定前，应制作《行政处罚告知书》送达当事人，告知违法事实及其享有的陈述、申辩等权利。符合听证规定的，制作并送达《行政处罚听证告知书》。</w:t>
            </w:r>
          </w:p>
          <w:p w14:paraId="40C4C82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5．决定阶段责任：制作行政处罚决定书，载明行政处罚告知、当事人陈述申辩或者听证情况等内容。符合刑事案件移送条件的，及时移送。</w:t>
            </w:r>
          </w:p>
          <w:p w14:paraId="52BB00D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6．送达阶段责任：行政处罚决定书按法律规定的方式送达当事人。</w:t>
            </w:r>
          </w:p>
          <w:p w14:paraId="23A84E5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7．执行阶段责任：当事人履行处罚决定的，及时结案；未履行处罚决定，依照生效的行政处罚决定，按程序下达催缴（告）通知书和申请人民法院强制执行。</w:t>
            </w:r>
          </w:p>
          <w:p w14:paraId="53AF179B">
            <w:pPr>
              <w:snapToGrid w:val="0"/>
              <w:spacing w:line="240" w:lineRule="atLeast"/>
              <w:ind w:firstLine="384" w:firstLineChars="200"/>
              <w:rPr>
                <w:rFonts w:ascii="仿宋_GB2312" w:hAnsi="仿宋_GB2312" w:eastAsia="仿宋_GB2312" w:cs="仿宋_GB2312"/>
                <w:sz w:val="20"/>
                <w:szCs w:val="20"/>
              </w:rPr>
            </w:pPr>
            <w:r>
              <w:rPr>
                <w:rFonts w:hint="eastAsia" w:eastAsia="仿宋_GB2312"/>
                <w:snapToGrid w:val="0"/>
                <w:color w:val="000000"/>
                <w:spacing w:val="-4"/>
                <w:sz w:val="20"/>
                <w:szCs w:val="20"/>
              </w:rPr>
              <w:t>8．其他法律法规规章文件规定应履行的责任。</w:t>
            </w:r>
          </w:p>
        </w:tc>
        <w:tc>
          <w:tcPr>
            <w:tcW w:w="9155" w:type="dxa"/>
            <w:vAlign w:val="center"/>
          </w:tcPr>
          <w:p w14:paraId="04C11EB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部门规章】《自然资源行政处罚办法》（2014年国土资源部令第60号公布，2020年自然资源部令第6号修正）第十一条：自然资源主管部门发现自然人、法人或者其他组织行为涉嫌违法的，应当及时核查。对正在实施的违法行为，应当依法及时下达《责令停止违法行为通知书》予以制止。</w:t>
            </w:r>
          </w:p>
          <w:p w14:paraId="4A0DEBE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A0357C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1.【法律】《中华人民共和国行政处罚法》第三十七条：行政机关在调查或者进行检查时，执法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99B711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86539B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第十四条：调查人员与案件有直接利害关系的，应当回避。</w:t>
            </w:r>
          </w:p>
          <w:p w14:paraId="29BE298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第二十条：当事人请求自行提供陈述材料的，应当准许。必要时，调查人员也可以要求当事人自行书写。当事人应当在其提供的陈述材料上签名、按手印或者盖章。</w:t>
            </w:r>
          </w:p>
          <w:p w14:paraId="5AE8781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第二十一条：询问应当个别进行，并制作询问笔录。询问笔录应当记载询问的时间、地点和询问情况等。</w:t>
            </w:r>
          </w:p>
          <w:p w14:paraId="706DF99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6BC3EF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E6077C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第二十八条：……当事人要求听证的，应当在收到《行政处罚听证告知书》后三个工作日内提出。</w:t>
            </w:r>
          </w:p>
          <w:p w14:paraId="72B28F9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5—1.【法律】《中华人民共和国行政处罚法》第三十八条：调查终结，行政机关负责人应当对调查结果进行审查，根据不同情况，分别作出决定。</w:t>
            </w:r>
          </w:p>
          <w:p w14:paraId="4482243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第三十九条：行政机关……应当制作《行政处罚决定书》。</w:t>
            </w:r>
          </w:p>
          <w:p w14:paraId="483C7ED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D0CAC2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9794C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3BFE6B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A381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7—1.【法律】《中华人民共和国行政处罚法》第四十四条：行政处罚决定依法作出后，当事人应当在行政处罚决定的期限内，予以履行。</w:t>
            </w:r>
          </w:p>
          <w:p w14:paraId="27E6608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D46F21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5AC010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第三十六条：自然资源主管部门申请人民法院强制执行前，应当催告当事人履行义务。</w:t>
            </w:r>
          </w:p>
          <w:p w14:paraId="0BB4D681">
            <w:pPr>
              <w:snapToGrid w:val="0"/>
              <w:spacing w:line="240" w:lineRule="atLeast"/>
              <w:ind w:firstLine="400" w:firstLineChars="200"/>
              <w:rPr>
                <w:rFonts w:ascii="仿宋_GB2312" w:hAnsi="仿宋_GB2312" w:eastAsia="仿宋_GB2312" w:cs="仿宋_GB2312"/>
                <w:sz w:val="20"/>
                <w:szCs w:val="20"/>
              </w:rPr>
            </w:pPr>
          </w:p>
        </w:tc>
        <w:tc>
          <w:tcPr>
            <w:tcW w:w="330" w:type="dxa"/>
            <w:vAlign w:val="center"/>
          </w:tcPr>
          <w:p w14:paraId="1CC4B5DD">
            <w:pPr>
              <w:snapToGrid w:val="0"/>
              <w:spacing w:line="240" w:lineRule="atLeast"/>
              <w:jc w:val="center"/>
              <w:rPr>
                <w:rFonts w:ascii="仿宋_GB2312" w:hAnsi="仿宋_GB2312" w:eastAsia="仿宋_GB2312" w:cs="仿宋_GB2312"/>
                <w:sz w:val="20"/>
                <w:szCs w:val="20"/>
              </w:rPr>
            </w:pPr>
          </w:p>
        </w:tc>
      </w:tr>
    </w:tbl>
    <w:p w14:paraId="41ABA45E"/>
    <w:p w14:paraId="0D84BCC5"/>
    <w:p w14:paraId="28620A3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5080"/>
        <w:gridCol w:w="3330"/>
        <w:gridCol w:w="9605"/>
        <w:gridCol w:w="330"/>
      </w:tblGrid>
      <w:tr w14:paraId="48FB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57AA989">
            <w:pPr>
              <w:snapToGrid w:val="0"/>
              <w:spacing w:line="240" w:lineRule="atLeast"/>
              <w:jc w:val="left"/>
              <w:rPr>
                <w:rFonts w:asciiTheme="majorEastAsia" w:hAnsiTheme="majorEastAsia" w:eastAsiaTheme="majorEastAsia" w:cstheme="majorEastAsia"/>
                <w:spacing w:val="-23"/>
                <w:sz w:val="20"/>
                <w:szCs w:val="20"/>
              </w:rPr>
            </w:pPr>
          </w:p>
          <w:p w14:paraId="61FEF5EF">
            <w:pPr>
              <w:snapToGrid w:val="0"/>
              <w:spacing w:line="240" w:lineRule="atLeast"/>
              <w:jc w:val="left"/>
              <w:rPr>
                <w:rFonts w:asciiTheme="majorEastAsia" w:hAnsiTheme="majorEastAsia" w:eastAsiaTheme="majorEastAsia" w:cstheme="majorEastAsia"/>
                <w:spacing w:val="-23"/>
                <w:sz w:val="20"/>
                <w:szCs w:val="20"/>
              </w:rPr>
            </w:pPr>
          </w:p>
          <w:p w14:paraId="5D5E0BA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BBBF045">
            <w:pPr>
              <w:spacing w:line="240" w:lineRule="atLeast"/>
              <w:rPr>
                <w:rFonts w:asciiTheme="majorEastAsia" w:hAnsiTheme="majorEastAsia" w:eastAsiaTheme="majorEastAsia" w:cstheme="majorEastAsia"/>
                <w:spacing w:val="-20"/>
                <w:sz w:val="20"/>
                <w:szCs w:val="20"/>
              </w:rPr>
            </w:pPr>
          </w:p>
          <w:p w14:paraId="7CC4B6E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939" w:type="dxa"/>
            <w:gridSpan w:val="5"/>
            <w:vAlign w:val="center"/>
          </w:tcPr>
          <w:p w14:paraId="7D0ECD3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935" w:type="dxa"/>
            <w:gridSpan w:val="2"/>
            <w:vAlign w:val="center"/>
          </w:tcPr>
          <w:p w14:paraId="18577A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2BC51D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E6F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C3BAD93">
            <w:pPr>
              <w:spacing w:line="240" w:lineRule="atLeast"/>
              <w:jc w:val="left"/>
              <w:rPr>
                <w:rFonts w:ascii="仿宋_GB2312" w:hAnsi="仿宋_GB2312" w:eastAsia="仿宋_GB2312" w:cs="仿宋_GB2312"/>
                <w:sz w:val="20"/>
                <w:szCs w:val="20"/>
              </w:rPr>
            </w:pPr>
          </w:p>
        </w:tc>
        <w:tc>
          <w:tcPr>
            <w:tcW w:w="555" w:type="dxa"/>
            <w:vMerge w:val="continue"/>
          </w:tcPr>
          <w:p w14:paraId="72DCD136">
            <w:pPr>
              <w:spacing w:line="240" w:lineRule="atLeast"/>
              <w:jc w:val="left"/>
              <w:rPr>
                <w:rFonts w:ascii="仿宋_GB2312" w:hAnsi="仿宋_GB2312" w:eastAsia="仿宋_GB2312" w:cs="仿宋_GB2312"/>
                <w:sz w:val="20"/>
                <w:szCs w:val="20"/>
              </w:rPr>
            </w:pPr>
          </w:p>
        </w:tc>
        <w:tc>
          <w:tcPr>
            <w:tcW w:w="600" w:type="dxa"/>
            <w:vAlign w:val="center"/>
          </w:tcPr>
          <w:p w14:paraId="5930DDE8">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BD2F62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65891AB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65F73E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080" w:type="dxa"/>
            <w:vAlign w:val="center"/>
          </w:tcPr>
          <w:p w14:paraId="60BE02E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30" w:type="dxa"/>
            <w:vAlign w:val="center"/>
          </w:tcPr>
          <w:p w14:paraId="0562CDF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21ADD3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605" w:type="dxa"/>
            <w:vAlign w:val="center"/>
          </w:tcPr>
          <w:p w14:paraId="3992FB2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12FDEEF">
            <w:pPr>
              <w:spacing w:line="240" w:lineRule="atLeast"/>
              <w:jc w:val="left"/>
              <w:rPr>
                <w:rFonts w:ascii="仿宋_GB2312" w:hAnsi="仿宋_GB2312" w:eastAsia="仿宋_GB2312" w:cs="仿宋_GB2312"/>
                <w:sz w:val="20"/>
                <w:szCs w:val="20"/>
              </w:rPr>
            </w:pPr>
          </w:p>
        </w:tc>
      </w:tr>
      <w:tr w14:paraId="3E2D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B2AF0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24</w:t>
            </w:r>
          </w:p>
        </w:tc>
        <w:tc>
          <w:tcPr>
            <w:tcW w:w="555" w:type="dxa"/>
            <w:vAlign w:val="center"/>
          </w:tcPr>
          <w:p w14:paraId="59F27B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64066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C3264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3786544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对未经批准，违法转让、出租、抵押以划拨方式取得的国有土地使用权行为的处罚</w:t>
            </w:r>
          </w:p>
        </w:tc>
        <w:tc>
          <w:tcPr>
            <w:tcW w:w="645" w:type="dxa"/>
            <w:vAlign w:val="center"/>
          </w:tcPr>
          <w:p w14:paraId="196C1E6A">
            <w:pPr>
              <w:snapToGrid w:val="0"/>
              <w:spacing w:line="240" w:lineRule="atLeast"/>
              <w:jc w:val="center"/>
              <w:rPr>
                <w:rFonts w:ascii="仿宋_GB2312" w:hAnsi="仿宋_GB2312" w:eastAsia="仿宋_GB2312" w:cs="仿宋_GB2312"/>
                <w:sz w:val="20"/>
                <w:szCs w:val="20"/>
              </w:rPr>
            </w:pPr>
          </w:p>
        </w:tc>
        <w:tc>
          <w:tcPr>
            <w:tcW w:w="585" w:type="dxa"/>
            <w:vAlign w:val="center"/>
          </w:tcPr>
          <w:p w14:paraId="20AF58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2CBBB5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080" w:type="dxa"/>
            <w:vAlign w:val="center"/>
          </w:tcPr>
          <w:p w14:paraId="6BCCAC74">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0A457524">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城市房地产管理法》第四十条：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14:paraId="63BDEFE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第六十七条：违反本法第四十条第一款的规定转让房地产的，由县级以上人民政府土地管理部门责令缴纳土地使用权出让金，没收违法所得，可以并处罚款。</w:t>
            </w:r>
          </w:p>
          <w:p w14:paraId="4DA36DFD">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中华人民共和国土地管理法实施条例》（1998年国务院令第256号发布，2021年国务院令第743号第三次修订）第五十四条：依照《土地管理法》第七十四条的规定处以罚款的，罚款额为违法所得的10%以上50%以下。</w:t>
            </w:r>
          </w:p>
          <w:p w14:paraId="36BD4F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行政法规】《中华人民共和国城镇国有土地使用权出让和转让暂行条例》（1990年国务院令第55号令发布，2020年修订）第四十六条：对未经批准擅自转让、出租、抵押划拨土地使用权的单位和个人，市、县人民政府土地管理部门应当没收其非法收入，并根据情节处以罚款。</w:t>
            </w:r>
          </w:p>
        </w:tc>
        <w:tc>
          <w:tcPr>
            <w:tcW w:w="3330" w:type="dxa"/>
            <w:vAlign w:val="center"/>
          </w:tcPr>
          <w:p w14:paraId="0DAFD423">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37D06ED0">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46E807E">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5CBFAF0">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53D1618">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F86AE97">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5EE9ACD">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237F7D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605" w:type="dxa"/>
            <w:vAlign w:val="center"/>
          </w:tcPr>
          <w:p w14:paraId="0BF27C5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849C0B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946BA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B32D9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69F7E6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280108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07B179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C67203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C5899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9533A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AFF22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D13CF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6F4FD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0916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8E882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E204E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F333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07616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23ADF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262EA8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82655B1">
            <w:pPr>
              <w:snapToGrid w:val="0"/>
              <w:spacing w:line="240" w:lineRule="atLeast"/>
              <w:jc w:val="center"/>
              <w:rPr>
                <w:rFonts w:ascii="仿宋_GB2312" w:hAnsi="仿宋_GB2312" w:eastAsia="仿宋_GB2312" w:cs="仿宋_GB2312"/>
                <w:sz w:val="20"/>
                <w:szCs w:val="20"/>
              </w:rPr>
            </w:pPr>
          </w:p>
        </w:tc>
      </w:tr>
    </w:tbl>
    <w:p w14:paraId="109FA182"/>
    <w:p w14:paraId="1CCB56A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480"/>
        <w:gridCol w:w="3300"/>
        <w:gridCol w:w="10235"/>
        <w:gridCol w:w="330"/>
      </w:tblGrid>
      <w:tr w14:paraId="2779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092256C">
            <w:pPr>
              <w:snapToGrid w:val="0"/>
              <w:spacing w:line="240" w:lineRule="atLeast"/>
              <w:jc w:val="left"/>
              <w:rPr>
                <w:rFonts w:asciiTheme="majorEastAsia" w:hAnsiTheme="majorEastAsia" w:eastAsiaTheme="majorEastAsia" w:cstheme="majorEastAsia"/>
                <w:spacing w:val="-23"/>
                <w:sz w:val="20"/>
                <w:szCs w:val="20"/>
              </w:rPr>
            </w:pPr>
          </w:p>
          <w:p w14:paraId="5F961762">
            <w:pPr>
              <w:snapToGrid w:val="0"/>
              <w:spacing w:line="240" w:lineRule="atLeast"/>
              <w:jc w:val="left"/>
              <w:rPr>
                <w:rFonts w:asciiTheme="majorEastAsia" w:hAnsiTheme="majorEastAsia" w:eastAsiaTheme="majorEastAsia" w:cstheme="majorEastAsia"/>
                <w:spacing w:val="-23"/>
                <w:sz w:val="20"/>
                <w:szCs w:val="20"/>
              </w:rPr>
            </w:pPr>
          </w:p>
          <w:p w14:paraId="31FC65C2">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9191726">
            <w:pPr>
              <w:spacing w:line="240" w:lineRule="atLeast"/>
              <w:rPr>
                <w:rFonts w:asciiTheme="majorEastAsia" w:hAnsiTheme="majorEastAsia" w:eastAsiaTheme="majorEastAsia" w:cstheme="majorEastAsia"/>
                <w:spacing w:val="-20"/>
                <w:sz w:val="20"/>
                <w:szCs w:val="20"/>
              </w:rPr>
            </w:pPr>
          </w:p>
          <w:p w14:paraId="2D42A19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339" w:type="dxa"/>
            <w:gridSpan w:val="5"/>
            <w:vAlign w:val="center"/>
          </w:tcPr>
          <w:p w14:paraId="01A8E2F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535" w:type="dxa"/>
            <w:gridSpan w:val="2"/>
            <w:vAlign w:val="center"/>
          </w:tcPr>
          <w:p w14:paraId="37DEF7F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0EC834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8CB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C798FE7">
            <w:pPr>
              <w:spacing w:line="240" w:lineRule="atLeast"/>
              <w:jc w:val="left"/>
              <w:rPr>
                <w:rFonts w:ascii="仿宋_GB2312" w:hAnsi="仿宋_GB2312" w:eastAsia="仿宋_GB2312" w:cs="仿宋_GB2312"/>
                <w:sz w:val="20"/>
                <w:szCs w:val="20"/>
              </w:rPr>
            </w:pPr>
          </w:p>
        </w:tc>
        <w:tc>
          <w:tcPr>
            <w:tcW w:w="555" w:type="dxa"/>
            <w:vMerge w:val="continue"/>
          </w:tcPr>
          <w:p w14:paraId="75A7B77A">
            <w:pPr>
              <w:spacing w:line="240" w:lineRule="atLeast"/>
              <w:jc w:val="left"/>
              <w:rPr>
                <w:rFonts w:ascii="仿宋_GB2312" w:hAnsi="仿宋_GB2312" w:eastAsia="仿宋_GB2312" w:cs="仿宋_GB2312"/>
                <w:sz w:val="20"/>
                <w:szCs w:val="20"/>
              </w:rPr>
            </w:pPr>
          </w:p>
        </w:tc>
        <w:tc>
          <w:tcPr>
            <w:tcW w:w="600" w:type="dxa"/>
            <w:vAlign w:val="center"/>
          </w:tcPr>
          <w:p w14:paraId="11B17B43">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1BD9CE4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4A34F060">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14747FE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80" w:type="dxa"/>
            <w:vAlign w:val="center"/>
          </w:tcPr>
          <w:p w14:paraId="7EB3B8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00" w:type="dxa"/>
            <w:vAlign w:val="center"/>
          </w:tcPr>
          <w:p w14:paraId="23384B1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24169D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235" w:type="dxa"/>
            <w:vAlign w:val="center"/>
          </w:tcPr>
          <w:p w14:paraId="796C897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7F2B930">
            <w:pPr>
              <w:spacing w:line="240" w:lineRule="atLeast"/>
              <w:jc w:val="left"/>
              <w:rPr>
                <w:rFonts w:ascii="仿宋_GB2312" w:hAnsi="仿宋_GB2312" w:eastAsia="仿宋_GB2312" w:cs="仿宋_GB2312"/>
                <w:sz w:val="20"/>
                <w:szCs w:val="20"/>
              </w:rPr>
            </w:pPr>
          </w:p>
        </w:tc>
      </w:tr>
      <w:tr w14:paraId="5F50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7A8A0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25</w:t>
            </w:r>
          </w:p>
        </w:tc>
        <w:tc>
          <w:tcPr>
            <w:tcW w:w="555" w:type="dxa"/>
            <w:vAlign w:val="center"/>
          </w:tcPr>
          <w:p w14:paraId="781AD9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5FCAA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A36FE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26B8384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对擅自转让房地产开发项目行为的处罚</w:t>
            </w:r>
          </w:p>
        </w:tc>
        <w:tc>
          <w:tcPr>
            <w:tcW w:w="645" w:type="dxa"/>
            <w:vAlign w:val="center"/>
          </w:tcPr>
          <w:p w14:paraId="7AE480F7">
            <w:pPr>
              <w:snapToGrid w:val="0"/>
              <w:spacing w:line="240" w:lineRule="atLeast"/>
              <w:jc w:val="center"/>
              <w:rPr>
                <w:rFonts w:ascii="仿宋_GB2312" w:hAnsi="仿宋_GB2312" w:eastAsia="仿宋_GB2312" w:cs="仿宋_GB2312"/>
                <w:sz w:val="20"/>
                <w:szCs w:val="20"/>
              </w:rPr>
            </w:pPr>
          </w:p>
        </w:tc>
        <w:tc>
          <w:tcPr>
            <w:tcW w:w="585" w:type="dxa"/>
            <w:vAlign w:val="center"/>
          </w:tcPr>
          <w:p w14:paraId="110113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2E160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80" w:type="dxa"/>
            <w:vAlign w:val="center"/>
          </w:tcPr>
          <w:p w14:paraId="5BA0EDAC">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640C8E88">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行政法规】《城市房地产开发经营管理条例》（1998年国务院令第248号发布，2020年国务院令第726号修订）第三十五条：违反本条例规定，擅自转让房地产开发项目的，由县级以上人民政府负责土地管理工作的部门责令停止违法行为，没收违法所得，可以并处违法所得5倍以下的罚款。</w:t>
            </w:r>
          </w:p>
          <w:p w14:paraId="588CCAA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中华人民共和国土地管理法实施条例》（1998年国务院令第256号发布，2021年国务院令第743号第三次修订）第五十四条：依照《土地管理法》第七十四条的规定处以罚款的，罚款额为违法所得的10%以上50%以下。</w:t>
            </w:r>
          </w:p>
        </w:tc>
        <w:tc>
          <w:tcPr>
            <w:tcW w:w="3300" w:type="dxa"/>
            <w:vAlign w:val="center"/>
          </w:tcPr>
          <w:p w14:paraId="79B926F7">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9668A16">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C66925B">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E9684F4">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CD99599">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B51C818">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72B0283">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F1B4D1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235" w:type="dxa"/>
            <w:vAlign w:val="center"/>
          </w:tcPr>
          <w:p w14:paraId="1C4370A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F25443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826F3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F6781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EBB32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05AFA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856AF7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95F7EA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C3FDA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FF78F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3BF47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D175E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1FE6A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A48D4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27EEC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CCF4E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2E8BD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53226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236FE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20BCC2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B2C5202">
            <w:pPr>
              <w:snapToGrid w:val="0"/>
              <w:spacing w:line="240" w:lineRule="atLeast"/>
              <w:jc w:val="center"/>
              <w:rPr>
                <w:rFonts w:ascii="仿宋_GB2312" w:hAnsi="仿宋_GB2312" w:eastAsia="仿宋_GB2312" w:cs="仿宋_GB2312"/>
                <w:sz w:val="20"/>
                <w:szCs w:val="20"/>
              </w:rPr>
            </w:pPr>
          </w:p>
        </w:tc>
      </w:tr>
    </w:tbl>
    <w:p w14:paraId="69943774"/>
    <w:p w14:paraId="5DD96113"/>
    <w:p w14:paraId="3E21EAD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69"/>
        <w:gridCol w:w="645"/>
        <w:gridCol w:w="615"/>
        <w:gridCol w:w="1065"/>
        <w:gridCol w:w="4290"/>
        <w:gridCol w:w="3720"/>
        <w:gridCol w:w="9770"/>
        <w:gridCol w:w="330"/>
      </w:tblGrid>
      <w:tr w14:paraId="0B7B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90B3918">
            <w:pPr>
              <w:snapToGrid w:val="0"/>
              <w:spacing w:line="240" w:lineRule="atLeast"/>
              <w:jc w:val="left"/>
              <w:rPr>
                <w:rFonts w:asciiTheme="majorEastAsia" w:hAnsiTheme="majorEastAsia" w:eastAsiaTheme="majorEastAsia" w:cstheme="majorEastAsia"/>
                <w:spacing w:val="-23"/>
                <w:sz w:val="20"/>
                <w:szCs w:val="20"/>
              </w:rPr>
            </w:pPr>
          </w:p>
          <w:p w14:paraId="17BD4202">
            <w:pPr>
              <w:snapToGrid w:val="0"/>
              <w:spacing w:line="240" w:lineRule="atLeast"/>
              <w:jc w:val="left"/>
              <w:rPr>
                <w:rFonts w:asciiTheme="majorEastAsia" w:hAnsiTheme="majorEastAsia" w:eastAsiaTheme="majorEastAsia" w:cstheme="majorEastAsia"/>
                <w:spacing w:val="-23"/>
                <w:sz w:val="20"/>
                <w:szCs w:val="20"/>
              </w:rPr>
            </w:pPr>
          </w:p>
          <w:p w14:paraId="4D10AF0C">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33DCEE3">
            <w:pPr>
              <w:spacing w:line="240" w:lineRule="atLeast"/>
              <w:rPr>
                <w:rFonts w:asciiTheme="majorEastAsia" w:hAnsiTheme="majorEastAsia" w:eastAsiaTheme="majorEastAsia" w:cstheme="majorEastAsia"/>
                <w:spacing w:val="-20"/>
                <w:sz w:val="20"/>
                <w:szCs w:val="20"/>
              </w:rPr>
            </w:pPr>
          </w:p>
          <w:p w14:paraId="1AD3556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384" w:type="dxa"/>
            <w:gridSpan w:val="5"/>
            <w:vAlign w:val="center"/>
          </w:tcPr>
          <w:p w14:paraId="6A5F7B8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490" w:type="dxa"/>
            <w:gridSpan w:val="2"/>
            <w:vAlign w:val="center"/>
          </w:tcPr>
          <w:p w14:paraId="4A58E80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3DD3BBC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C0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876AC9F">
            <w:pPr>
              <w:spacing w:line="240" w:lineRule="atLeast"/>
              <w:jc w:val="left"/>
              <w:rPr>
                <w:rFonts w:ascii="仿宋_GB2312" w:hAnsi="仿宋_GB2312" w:eastAsia="仿宋_GB2312" w:cs="仿宋_GB2312"/>
                <w:sz w:val="20"/>
                <w:szCs w:val="20"/>
              </w:rPr>
            </w:pPr>
          </w:p>
        </w:tc>
        <w:tc>
          <w:tcPr>
            <w:tcW w:w="555" w:type="dxa"/>
            <w:vMerge w:val="continue"/>
          </w:tcPr>
          <w:p w14:paraId="35BB24F0">
            <w:pPr>
              <w:spacing w:line="240" w:lineRule="atLeast"/>
              <w:jc w:val="left"/>
              <w:rPr>
                <w:rFonts w:ascii="仿宋_GB2312" w:hAnsi="仿宋_GB2312" w:eastAsia="仿宋_GB2312" w:cs="仿宋_GB2312"/>
                <w:sz w:val="20"/>
                <w:szCs w:val="20"/>
              </w:rPr>
            </w:pPr>
          </w:p>
        </w:tc>
        <w:tc>
          <w:tcPr>
            <w:tcW w:w="769" w:type="dxa"/>
            <w:vAlign w:val="center"/>
          </w:tcPr>
          <w:p w14:paraId="7830329F">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4410A1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C691F3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65" w:type="dxa"/>
            <w:vAlign w:val="center"/>
          </w:tcPr>
          <w:p w14:paraId="29ED977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290" w:type="dxa"/>
            <w:vAlign w:val="center"/>
          </w:tcPr>
          <w:p w14:paraId="2396ECF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20" w:type="dxa"/>
            <w:vAlign w:val="center"/>
          </w:tcPr>
          <w:p w14:paraId="542316E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FD9CBA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770" w:type="dxa"/>
            <w:vAlign w:val="center"/>
          </w:tcPr>
          <w:p w14:paraId="5F997E7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2B3F8D6F">
            <w:pPr>
              <w:spacing w:line="240" w:lineRule="atLeast"/>
              <w:jc w:val="left"/>
              <w:rPr>
                <w:rFonts w:ascii="仿宋_GB2312" w:hAnsi="仿宋_GB2312" w:eastAsia="仿宋_GB2312" w:cs="仿宋_GB2312"/>
                <w:sz w:val="20"/>
                <w:szCs w:val="20"/>
              </w:rPr>
            </w:pPr>
          </w:p>
        </w:tc>
      </w:tr>
      <w:tr w14:paraId="6CD1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304B9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26</w:t>
            </w:r>
          </w:p>
        </w:tc>
        <w:tc>
          <w:tcPr>
            <w:tcW w:w="555" w:type="dxa"/>
            <w:vAlign w:val="center"/>
          </w:tcPr>
          <w:p w14:paraId="11B1F8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7BC92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F1128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69" w:type="dxa"/>
            <w:vAlign w:val="center"/>
          </w:tcPr>
          <w:p w14:paraId="4511163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对违法占用耕地建窑、建坟或者擅自在耕地上建房、挖砂、采石、采矿、取土等，破坏种植条件行为中涉及自然资源主管部门职责的处罚</w:t>
            </w:r>
          </w:p>
        </w:tc>
        <w:tc>
          <w:tcPr>
            <w:tcW w:w="645" w:type="dxa"/>
            <w:vAlign w:val="center"/>
          </w:tcPr>
          <w:p w14:paraId="4A833AFA">
            <w:pPr>
              <w:snapToGrid w:val="0"/>
              <w:spacing w:line="240" w:lineRule="atLeast"/>
              <w:jc w:val="center"/>
              <w:rPr>
                <w:rFonts w:ascii="仿宋_GB2312" w:hAnsi="仿宋_GB2312" w:eastAsia="仿宋_GB2312" w:cs="仿宋_GB2312"/>
                <w:sz w:val="20"/>
                <w:szCs w:val="20"/>
              </w:rPr>
            </w:pPr>
          </w:p>
        </w:tc>
        <w:tc>
          <w:tcPr>
            <w:tcW w:w="615" w:type="dxa"/>
            <w:vAlign w:val="center"/>
          </w:tcPr>
          <w:p w14:paraId="544D38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65" w:type="dxa"/>
            <w:vAlign w:val="center"/>
          </w:tcPr>
          <w:p w14:paraId="55F052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290" w:type="dxa"/>
            <w:vAlign w:val="center"/>
          </w:tcPr>
          <w:p w14:paraId="6621F70D">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五条：违反本法规定，占用耕地建窑、建坟或者擅自在耕地上建房、挖砂、采石、采矿、取土等，破坏种植条件的，或者因开发土地造成土地荒漠化、盐渍化的，由县级以上人民政府自然资源主管部门、农业农村主管部门等按照职责责令限期改正或者治理，可以并处罚款；构成犯罪的，依法追究刑事责任。</w:t>
            </w:r>
          </w:p>
          <w:p w14:paraId="15BC527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五条：依照《土地管理法》第七十五条的规定处以罚款的，罚款额为耕地开垦费的5倍以上10倍以下；破坏黑土地等优质耕地的，从重处罚。</w:t>
            </w:r>
          </w:p>
        </w:tc>
        <w:tc>
          <w:tcPr>
            <w:tcW w:w="3720" w:type="dxa"/>
            <w:vAlign w:val="center"/>
          </w:tcPr>
          <w:p w14:paraId="2A8BCE2C">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C3EF4F4">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E463FB7">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5321FCF">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B2E0ED2">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266DD75">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BBC2CAE">
            <w:pPr>
              <w:widowControl/>
              <w:adjustRightInd w:val="0"/>
              <w:snapToGrid w:val="0"/>
              <w:spacing w:line="223"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7840D8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770" w:type="dxa"/>
            <w:vAlign w:val="center"/>
          </w:tcPr>
          <w:p w14:paraId="48B889B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C76485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143A6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882B9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20F4B1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6AFFA0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032F4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B5330D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37442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F25A1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F1790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58E1A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974D3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1639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4B5E3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0B205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E72B0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FF6DF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6FA22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0930BA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BBF960F">
            <w:pPr>
              <w:snapToGrid w:val="0"/>
              <w:spacing w:line="240" w:lineRule="atLeast"/>
              <w:jc w:val="center"/>
              <w:rPr>
                <w:rFonts w:ascii="仿宋_GB2312" w:hAnsi="仿宋_GB2312" w:eastAsia="仿宋_GB2312" w:cs="仿宋_GB2312"/>
                <w:sz w:val="20"/>
                <w:szCs w:val="20"/>
              </w:rPr>
            </w:pPr>
          </w:p>
        </w:tc>
      </w:tr>
    </w:tbl>
    <w:p w14:paraId="5ED26391"/>
    <w:p w14:paraId="4EE3A7B3"/>
    <w:p w14:paraId="214ECAE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000"/>
        <w:gridCol w:w="3870"/>
        <w:gridCol w:w="10145"/>
        <w:gridCol w:w="330"/>
      </w:tblGrid>
      <w:tr w14:paraId="4B97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E17F18F">
            <w:pPr>
              <w:snapToGrid w:val="0"/>
              <w:spacing w:line="240" w:lineRule="atLeast"/>
              <w:jc w:val="left"/>
              <w:rPr>
                <w:rFonts w:asciiTheme="majorEastAsia" w:hAnsiTheme="majorEastAsia" w:eastAsiaTheme="majorEastAsia" w:cstheme="majorEastAsia"/>
                <w:spacing w:val="-23"/>
                <w:sz w:val="20"/>
                <w:szCs w:val="20"/>
              </w:rPr>
            </w:pPr>
          </w:p>
          <w:p w14:paraId="73677BCD">
            <w:pPr>
              <w:snapToGrid w:val="0"/>
              <w:spacing w:line="240" w:lineRule="atLeast"/>
              <w:jc w:val="left"/>
              <w:rPr>
                <w:rFonts w:asciiTheme="majorEastAsia" w:hAnsiTheme="majorEastAsia" w:eastAsiaTheme="majorEastAsia" w:cstheme="majorEastAsia"/>
                <w:spacing w:val="-23"/>
                <w:sz w:val="20"/>
                <w:szCs w:val="20"/>
              </w:rPr>
            </w:pPr>
          </w:p>
          <w:p w14:paraId="4D7CCFFF">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6BA78CB">
            <w:pPr>
              <w:spacing w:line="240" w:lineRule="atLeast"/>
              <w:rPr>
                <w:rFonts w:asciiTheme="majorEastAsia" w:hAnsiTheme="majorEastAsia" w:eastAsiaTheme="majorEastAsia" w:cstheme="majorEastAsia"/>
                <w:spacing w:val="-20"/>
                <w:sz w:val="20"/>
                <w:szCs w:val="20"/>
              </w:rPr>
            </w:pPr>
          </w:p>
          <w:p w14:paraId="2CE906C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6859" w:type="dxa"/>
            <w:gridSpan w:val="5"/>
            <w:vAlign w:val="center"/>
          </w:tcPr>
          <w:p w14:paraId="5E391B8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4015" w:type="dxa"/>
            <w:gridSpan w:val="2"/>
            <w:vAlign w:val="center"/>
          </w:tcPr>
          <w:p w14:paraId="4EEE71F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B37F5D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E86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0BDC8D7">
            <w:pPr>
              <w:spacing w:line="240" w:lineRule="atLeast"/>
              <w:jc w:val="left"/>
              <w:rPr>
                <w:rFonts w:ascii="仿宋_GB2312" w:hAnsi="仿宋_GB2312" w:eastAsia="仿宋_GB2312" w:cs="仿宋_GB2312"/>
                <w:sz w:val="20"/>
                <w:szCs w:val="20"/>
              </w:rPr>
            </w:pPr>
          </w:p>
        </w:tc>
        <w:tc>
          <w:tcPr>
            <w:tcW w:w="555" w:type="dxa"/>
            <w:vMerge w:val="continue"/>
          </w:tcPr>
          <w:p w14:paraId="6CA91389">
            <w:pPr>
              <w:spacing w:line="240" w:lineRule="atLeast"/>
              <w:jc w:val="left"/>
              <w:rPr>
                <w:rFonts w:ascii="仿宋_GB2312" w:hAnsi="仿宋_GB2312" w:eastAsia="仿宋_GB2312" w:cs="仿宋_GB2312"/>
                <w:sz w:val="20"/>
                <w:szCs w:val="20"/>
              </w:rPr>
            </w:pPr>
          </w:p>
        </w:tc>
        <w:tc>
          <w:tcPr>
            <w:tcW w:w="600" w:type="dxa"/>
            <w:vAlign w:val="center"/>
          </w:tcPr>
          <w:p w14:paraId="78EE0F6B">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18BB2E70">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0BCA6102">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0F77416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000" w:type="dxa"/>
            <w:vAlign w:val="center"/>
          </w:tcPr>
          <w:p w14:paraId="50B345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70" w:type="dxa"/>
            <w:vAlign w:val="center"/>
          </w:tcPr>
          <w:p w14:paraId="489DBE0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569BE8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145" w:type="dxa"/>
            <w:vAlign w:val="center"/>
          </w:tcPr>
          <w:p w14:paraId="05EC558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FF2ED97">
            <w:pPr>
              <w:spacing w:line="240" w:lineRule="atLeast"/>
              <w:jc w:val="left"/>
              <w:rPr>
                <w:rFonts w:ascii="仿宋_GB2312" w:hAnsi="仿宋_GB2312" w:eastAsia="仿宋_GB2312" w:cs="仿宋_GB2312"/>
                <w:sz w:val="20"/>
                <w:szCs w:val="20"/>
              </w:rPr>
            </w:pPr>
          </w:p>
        </w:tc>
      </w:tr>
      <w:tr w14:paraId="7F82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A1838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27</w:t>
            </w:r>
          </w:p>
        </w:tc>
        <w:tc>
          <w:tcPr>
            <w:tcW w:w="555" w:type="dxa"/>
            <w:vAlign w:val="center"/>
          </w:tcPr>
          <w:p w14:paraId="2FD67D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8765E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175FFF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DABB4E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对拒不履行土地复垦义务行为的处罚</w:t>
            </w:r>
          </w:p>
        </w:tc>
        <w:tc>
          <w:tcPr>
            <w:tcW w:w="645" w:type="dxa"/>
            <w:vAlign w:val="center"/>
          </w:tcPr>
          <w:p w14:paraId="5A667752">
            <w:pPr>
              <w:snapToGrid w:val="0"/>
              <w:spacing w:line="240" w:lineRule="atLeast"/>
              <w:jc w:val="center"/>
              <w:rPr>
                <w:rFonts w:ascii="仿宋_GB2312" w:hAnsi="仿宋_GB2312" w:eastAsia="仿宋_GB2312" w:cs="仿宋_GB2312"/>
                <w:sz w:val="20"/>
                <w:szCs w:val="20"/>
              </w:rPr>
            </w:pPr>
          </w:p>
        </w:tc>
        <w:tc>
          <w:tcPr>
            <w:tcW w:w="585" w:type="dxa"/>
            <w:vAlign w:val="center"/>
          </w:tcPr>
          <w:p w14:paraId="71A479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10337F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000" w:type="dxa"/>
            <w:vAlign w:val="center"/>
          </w:tcPr>
          <w:p w14:paraId="37B111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14:paraId="1C5397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六条：依照《土地管理法》第七十六条的规定处以罚款的，罚款额为土地复垦费的2倍以上5倍以下。</w:t>
            </w:r>
          </w:p>
          <w:p w14:paraId="6FB0B2A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临时用地期满之日起一年内未完成复垦或者未恢复种植条件的，由县级以上人民政府自然资源主管部门责令限期改正，依照《土地管理法》第七十六条的规定处罚，并由县级以上人民政府自然资源主管部门会同农业农村主管部门代为完成复垦或者恢复种植条件。</w:t>
            </w:r>
          </w:p>
        </w:tc>
        <w:tc>
          <w:tcPr>
            <w:tcW w:w="3870" w:type="dxa"/>
            <w:vAlign w:val="center"/>
          </w:tcPr>
          <w:p w14:paraId="2F7AED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0AF1C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DE7E1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FAD16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4045C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04F38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FCFC0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F5ACB6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145" w:type="dxa"/>
            <w:vAlign w:val="center"/>
          </w:tcPr>
          <w:p w14:paraId="56249F0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9AF2E3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FC8A5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49AE14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CFC2E2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2BDF32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31BA0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973779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74CB6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4410E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6C5BC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2D2B4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F1B54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8D382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C0719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E34BC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0F2A5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AF226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CCC6C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11BD47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8519EC5">
            <w:pPr>
              <w:snapToGrid w:val="0"/>
              <w:spacing w:line="240" w:lineRule="atLeast"/>
              <w:jc w:val="center"/>
              <w:rPr>
                <w:rFonts w:ascii="仿宋_GB2312" w:hAnsi="仿宋_GB2312" w:eastAsia="仿宋_GB2312" w:cs="仿宋_GB2312"/>
                <w:sz w:val="20"/>
                <w:szCs w:val="20"/>
              </w:rPr>
            </w:pPr>
          </w:p>
        </w:tc>
      </w:tr>
    </w:tbl>
    <w:p w14:paraId="188DAC5C"/>
    <w:p w14:paraId="5C934C23"/>
    <w:p w14:paraId="678DDCA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000"/>
        <w:gridCol w:w="3780"/>
        <w:gridCol w:w="10235"/>
        <w:gridCol w:w="330"/>
      </w:tblGrid>
      <w:tr w14:paraId="2FDA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BE250C0">
            <w:pPr>
              <w:snapToGrid w:val="0"/>
              <w:spacing w:line="240" w:lineRule="atLeast"/>
              <w:jc w:val="left"/>
              <w:rPr>
                <w:rFonts w:asciiTheme="majorEastAsia" w:hAnsiTheme="majorEastAsia" w:eastAsiaTheme="majorEastAsia" w:cstheme="majorEastAsia"/>
                <w:spacing w:val="-23"/>
                <w:sz w:val="20"/>
                <w:szCs w:val="20"/>
              </w:rPr>
            </w:pPr>
          </w:p>
          <w:p w14:paraId="4C64D324">
            <w:pPr>
              <w:snapToGrid w:val="0"/>
              <w:spacing w:line="240" w:lineRule="atLeast"/>
              <w:jc w:val="left"/>
              <w:rPr>
                <w:rFonts w:asciiTheme="majorEastAsia" w:hAnsiTheme="majorEastAsia" w:eastAsiaTheme="majorEastAsia" w:cstheme="majorEastAsia"/>
                <w:spacing w:val="-23"/>
                <w:sz w:val="20"/>
                <w:szCs w:val="20"/>
              </w:rPr>
            </w:pPr>
          </w:p>
          <w:p w14:paraId="264CDC23">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14AC2CB">
            <w:pPr>
              <w:spacing w:line="240" w:lineRule="atLeast"/>
              <w:rPr>
                <w:rFonts w:asciiTheme="majorEastAsia" w:hAnsiTheme="majorEastAsia" w:eastAsiaTheme="majorEastAsia" w:cstheme="majorEastAsia"/>
                <w:spacing w:val="-20"/>
                <w:sz w:val="20"/>
                <w:szCs w:val="20"/>
              </w:rPr>
            </w:pPr>
          </w:p>
          <w:p w14:paraId="117CBB6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6859" w:type="dxa"/>
            <w:gridSpan w:val="5"/>
            <w:vAlign w:val="center"/>
          </w:tcPr>
          <w:p w14:paraId="58D1B11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4015" w:type="dxa"/>
            <w:gridSpan w:val="2"/>
            <w:vAlign w:val="center"/>
          </w:tcPr>
          <w:p w14:paraId="6662CCA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B22A93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EAF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F86C823">
            <w:pPr>
              <w:spacing w:line="240" w:lineRule="atLeast"/>
              <w:jc w:val="left"/>
              <w:rPr>
                <w:rFonts w:ascii="仿宋_GB2312" w:hAnsi="仿宋_GB2312" w:eastAsia="仿宋_GB2312" w:cs="仿宋_GB2312"/>
                <w:sz w:val="20"/>
                <w:szCs w:val="20"/>
              </w:rPr>
            </w:pPr>
          </w:p>
        </w:tc>
        <w:tc>
          <w:tcPr>
            <w:tcW w:w="555" w:type="dxa"/>
            <w:vMerge w:val="continue"/>
          </w:tcPr>
          <w:p w14:paraId="78D8F741">
            <w:pPr>
              <w:spacing w:line="240" w:lineRule="atLeast"/>
              <w:jc w:val="left"/>
              <w:rPr>
                <w:rFonts w:ascii="仿宋_GB2312" w:hAnsi="仿宋_GB2312" w:eastAsia="仿宋_GB2312" w:cs="仿宋_GB2312"/>
                <w:sz w:val="20"/>
                <w:szCs w:val="20"/>
              </w:rPr>
            </w:pPr>
          </w:p>
        </w:tc>
        <w:tc>
          <w:tcPr>
            <w:tcW w:w="600" w:type="dxa"/>
            <w:vAlign w:val="center"/>
          </w:tcPr>
          <w:p w14:paraId="3FFBE284">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30F7181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B2ED67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4233C4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000" w:type="dxa"/>
            <w:vAlign w:val="center"/>
          </w:tcPr>
          <w:p w14:paraId="043627A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80" w:type="dxa"/>
            <w:vAlign w:val="center"/>
          </w:tcPr>
          <w:p w14:paraId="6149D0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D53C9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235" w:type="dxa"/>
            <w:vAlign w:val="center"/>
          </w:tcPr>
          <w:p w14:paraId="2BC0023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2E8E85A">
            <w:pPr>
              <w:spacing w:line="240" w:lineRule="atLeast"/>
              <w:jc w:val="left"/>
              <w:rPr>
                <w:rFonts w:ascii="仿宋_GB2312" w:hAnsi="仿宋_GB2312" w:eastAsia="仿宋_GB2312" w:cs="仿宋_GB2312"/>
                <w:sz w:val="20"/>
                <w:szCs w:val="20"/>
              </w:rPr>
            </w:pPr>
          </w:p>
        </w:tc>
      </w:tr>
      <w:tr w14:paraId="38CF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1BCBD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28</w:t>
            </w:r>
          </w:p>
        </w:tc>
        <w:tc>
          <w:tcPr>
            <w:tcW w:w="555" w:type="dxa"/>
            <w:vAlign w:val="center"/>
          </w:tcPr>
          <w:p w14:paraId="1263DD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E7884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ED024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340B966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对土地复垦义务人未按照规定补充编制土地复垦方案行为的处罚</w:t>
            </w:r>
          </w:p>
        </w:tc>
        <w:tc>
          <w:tcPr>
            <w:tcW w:w="645" w:type="dxa"/>
            <w:vAlign w:val="center"/>
          </w:tcPr>
          <w:p w14:paraId="668FA92E">
            <w:pPr>
              <w:snapToGrid w:val="0"/>
              <w:spacing w:line="240" w:lineRule="atLeast"/>
              <w:jc w:val="center"/>
              <w:rPr>
                <w:rFonts w:ascii="仿宋_GB2312" w:hAnsi="仿宋_GB2312" w:eastAsia="仿宋_GB2312" w:cs="仿宋_GB2312"/>
                <w:sz w:val="20"/>
                <w:szCs w:val="20"/>
              </w:rPr>
            </w:pPr>
          </w:p>
        </w:tc>
        <w:tc>
          <w:tcPr>
            <w:tcW w:w="585" w:type="dxa"/>
            <w:vAlign w:val="center"/>
          </w:tcPr>
          <w:p w14:paraId="4CCED8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471494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000" w:type="dxa"/>
            <w:vAlign w:val="center"/>
          </w:tcPr>
          <w:p w14:paraId="4FFB157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14:paraId="34294F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土地复垦条例》（2011年国务院第592号令）第三十七条：本条例施行前已经办理建设用地手续或者领取采矿许可证，本条例施行后继续从事生产建设活动造成土地损毁的土地复垦义务人未按照规定补充编制土地复垦方案的，由县级以上地方人民政府国土资源主管部门责令限期改正；逾期不改正的，处10万元以上20万元以下的罚款。</w:t>
            </w:r>
          </w:p>
        </w:tc>
        <w:tc>
          <w:tcPr>
            <w:tcW w:w="3780" w:type="dxa"/>
            <w:vAlign w:val="center"/>
          </w:tcPr>
          <w:p w14:paraId="2143C1C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092283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D9FF7F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24CEB9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B6DDC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0DE90F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CD0402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874400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235" w:type="dxa"/>
            <w:vAlign w:val="center"/>
          </w:tcPr>
          <w:p w14:paraId="617938F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B2BC9D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9ACFC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29FFD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24DCD7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8DAEA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969565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B9323A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F21E1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49A67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3CB85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FD43D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9D607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B8B80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7B28B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E64A5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DF54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68861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74616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4401FB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6D87705">
            <w:pPr>
              <w:snapToGrid w:val="0"/>
              <w:spacing w:line="240" w:lineRule="atLeast"/>
              <w:jc w:val="center"/>
              <w:rPr>
                <w:rFonts w:ascii="仿宋_GB2312" w:hAnsi="仿宋_GB2312" w:eastAsia="仿宋_GB2312" w:cs="仿宋_GB2312"/>
                <w:sz w:val="20"/>
                <w:szCs w:val="20"/>
              </w:rPr>
            </w:pPr>
          </w:p>
        </w:tc>
      </w:tr>
    </w:tbl>
    <w:p w14:paraId="31B95707"/>
    <w:p w14:paraId="37754369"/>
    <w:p w14:paraId="6F6D248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3970"/>
        <w:gridCol w:w="3870"/>
        <w:gridCol w:w="10175"/>
        <w:gridCol w:w="330"/>
      </w:tblGrid>
      <w:tr w14:paraId="11A7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D0F9530">
            <w:pPr>
              <w:snapToGrid w:val="0"/>
              <w:spacing w:line="240" w:lineRule="atLeast"/>
              <w:jc w:val="left"/>
              <w:rPr>
                <w:rFonts w:asciiTheme="majorEastAsia" w:hAnsiTheme="majorEastAsia" w:eastAsiaTheme="majorEastAsia" w:cstheme="majorEastAsia"/>
                <w:spacing w:val="-23"/>
                <w:sz w:val="20"/>
                <w:szCs w:val="20"/>
              </w:rPr>
            </w:pPr>
          </w:p>
          <w:p w14:paraId="7A93759A">
            <w:pPr>
              <w:snapToGrid w:val="0"/>
              <w:spacing w:line="240" w:lineRule="atLeast"/>
              <w:jc w:val="left"/>
              <w:rPr>
                <w:rFonts w:asciiTheme="majorEastAsia" w:hAnsiTheme="majorEastAsia" w:eastAsiaTheme="majorEastAsia" w:cstheme="majorEastAsia"/>
                <w:spacing w:val="-23"/>
                <w:sz w:val="20"/>
                <w:szCs w:val="20"/>
              </w:rPr>
            </w:pPr>
          </w:p>
          <w:p w14:paraId="211DABF7">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33D8818">
            <w:pPr>
              <w:spacing w:line="240" w:lineRule="atLeast"/>
              <w:rPr>
                <w:rFonts w:asciiTheme="majorEastAsia" w:hAnsiTheme="majorEastAsia" w:eastAsiaTheme="majorEastAsia" w:cstheme="majorEastAsia"/>
                <w:spacing w:val="-20"/>
                <w:sz w:val="20"/>
                <w:szCs w:val="20"/>
              </w:rPr>
            </w:pPr>
          </w:p>
          <w:p w14:paraId="36B31BA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6829" w:type="dxa"/>
            <w:gridSpan w:val="5"/>
            <w:vAlign w:val="center"/>
          </w:tcPr>
          <w:p w14:paraId="6FBC339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4045" w:type="dxa"/>
            <w:gridSpan w:val="2"/>
            <w:vAlign w:val="center"/>
          </w:tcPr>
          <w:p w14:paraId="18F8F7E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5AA15F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932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2E1F021">
            <w:pPr>
              <w:spacing w:line="240" w:lineRule="atLeast"/>
              <w:jc w:val="left"/>
              <w:rPr>
                <w:rFonts w:ascii="仿宋_GB2312" w:hAnsi="仿宋_GB2312" w:eastAsia="仿宋_GB2312" w:cs="仿宋_GB2312"/>
                <w:sz w:val="20"/>
                <w:szCs w:val="20"/>
              </w:rPr>
            </w:pPr>
          </w:p>
        </w:tc>
        <w:tc>
          <w:tcPr>
            <w:tcW w:w="555" w:type="dxa"/>
            <w:vMerge w:val="continue"/>
          </w:tcPr>
          <w:p w14:paraId="1DFEA54D">
            <w:pPr>
              <w:spacing w:line="240" w:lineRule="atLeast"/>
              <w:jc w:val="left"/>
              <w:rPr>
                <w:rFonts w:ascii="仿宋_GB2312" w:hAnsi="仿宋_GB2312" w:eastAsia="仿宋_GB2312" w:cs="仿宋_GB2312"/>
                <w:sz w:val="20"/>
                <w:szCs w:val="20"/>
              </w:rPr>
            </w:pPr>
          </w:p>
        </w:tc>
        <w:tc>
          <w:tcPr>
            <w:tcW w:w="600" w:type="dxa"/>
            <w:vAlign w:val="center"/>
          </w:tcPr>
          <w:p w14:paraId="2940106D">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1C1C24C">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578EB09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F85F8E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3970" w:type="dxa"/>
            <w:vAlign w:val="center"/>
          </w:tcPr>
          <w:p w14:paraId="7ADB2C9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70" w:type="dxa"/>
            <w:vAlign w:val="center"/>
          </w:tcPr>
          <w:p w14:paraId="00CA557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A185A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175" w:type="dxa"/>
            <w:vAlign w:val="center"/>
          </w:tcPr>
          <w:p w14:paraId="696C1B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0679934">
            <w:pPr>
              <w:spacing w:line="240" w:lineRule="atLeast"/>
              <w:jc w:val="left"/>
              <w:rPr>
                <w:rFonts w:ascii="仿宋_GB2312" w:hAnsi="仿宋_GB2312" w:eastAsia="仿宋_GB2312" w:cs="仿宋_GB2312"/>
                <w:sz w:val="20"/>
                <w:szCs w:val="20"/>
              </w:rPr>
            </w:pPr>
          </w:p>
        </w:tc>
      </w:tr>
      <w:tr w14:paraId="7BA3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1F453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29</w:t>
            </w:r>
          </w:p>
        </w:tc>
        <w:tc>
          <w:tcPr>
            <w:tcW w:w="555" w:type="dxa"/>
            <w:vAlign w:val="center"/>
          </w:tcPr>
          <w:p w14:paraId="221538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52FEA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D8580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82C91D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对土地复垦义务人未按照规定将土地复垦费用列入生产成本或者建设项目总投资行为的处罚</w:t>
            </w:r>
          </w:p>
        </w:tc>
        <w:tc>
          <w:tcPr>
            <w:tcW w:w="645" w:type="dxa"/>
            <w:vAlign w:val="center"/>
          </w:tcPr>
          <w:p w14:paraId="5EA0CB94">
            <w:pPr>
              <w:snapToGrid w:val="0"/>
              <w:spacing w:line="240" w:lineRule="atLeast"/>
              <w:jc w:val="center"/>
              <w:rPr>
                <w:rFonts w:ascii="仿宋_GB2312" w:hAnsi="仿宋_GB2312" w:eastAsia="仿宋_GB2312" w:cs="仿宋_GB2312"/>
                <w:sz w:val="20"/>
                <w:szCs w:val="20"/>
              </w:rPr>
            </w:pPr>
          </w:p>
        </w:tc>
        <w:tc>
          <w:tcPr>
            <w:tcW w:w="585" w:type="dxa"/>
            <w:vAlign w:val="center"/>
          </w:tcPr>
          <w:p w14:paraId="6AFE96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367479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3970" w:type="dxa"/>
            <w:vAlign w:val="center"/>
          </w:tcPr>
          <w:p w14:paraId="4C3BDA8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三十八条：土地复垦义务人未按照规定将土地复垦费用列入生产成本或者建设项目总投资的，由县级以上地方人民政府国土资源主管部门责令限期改正；逾期不改正的，处10万元以上50万元以下的罚款。</w:t>
            </w:r>
          </w:p>
        </w:tc>
        <w:tc>
          <w:tcPr>
            <w:tcW w:w="3870" w:type="dxa"/>
            <w:vAlign w:val="center"/>
          </w:tcPr>
          <w:p w14:paraId="584AF66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494096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9B81C2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E2C5B1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301507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BEF873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D1CAE3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51995A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175" w:type="dxa"/>
            <w:vAlign w:val="center"/>
          </w:tcPr>
          <w:p w14:paraId="04A9FE0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32F768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69EE0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32CC2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37CEE8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39C74B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F0171E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817220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598E4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F9F3A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CC104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A815C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D6616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2D6DF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26EAB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97289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9148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ACF7C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92F9B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96F99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5342664">
            <w:pPr>
              <w:snapToGrid w:val="0"/>
              <w:spacing w:line="240" w:lineRule="atLeast"/>
              <w:jc w:val="center"/>
              <w:rPr>
                <w:rFonts w:ascii="仿宋_GB2312" w:hAnsi="仿宋_GB2312" w:eastAsia="仿宋_GB2312" w:cs="仿宋_GB2312"/>
                <w:sz w:val="20"/>
                <w:szCs w:val="20"/>
              </w:rPr>
            </w:pPr>
          </w:p>
        </w:tc>
      </w:tr>
    </w:tbl>
    <w:p w14:paraId="7F59F7B2"/>
    <w:p w14:paraId="27066D94"/>
    <w:p w14:paraId="44E12E4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690"/>
        <w:gridCol w:w="3675"/>
        <w:gridCol w:w="9650"/>
        <w:gridCol w:w="330"/>
      </w:tblGrid>
      <w:tr w14:paraId="2631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7BF6A7F">
            <w:pPr>
              <w:snapToGrid w:val="0"/>
              <w:spacing w:line="240" w:lineRule="atLeast"/>
              <w:jc w:val="left"/>
              <w:rPr>
                <w:rFonts w:asciiTheme="majorEastAsia" w:hAnsiTheme="majorEastAsia" w:eastAsiaTheme="majorEastAsia" w:cstheme="majorEastAsia"/>
                <w:spacing w:val="-23"/>
                <w:sz w:val="20"/>
                <w:szCs w:val="20"/>
              </w:rPr>
            </w:pPr>
          </w:p>
          <w:p w14:paraId="470AE0D5">
            <w:pPr>
              <w:snapToGrid w:val="0"/>
              <w:spacing w:line="240" w:lineRule="atLeast"/>
              <w:jc w:val="left"/>
              <w:rPr>
                <w:rFonts w:asciiTheme="majorEastAsia" w:hAnsiTheme="majorEastAsia" w:eastAsiaTheme="majorEastAsia" w:cstheme="majorEastAsia"/>
                <w:spacing w:val="-23"/>
                <w:sz w:val="20"/>
                <w:szCs w:val="20"/>
              </w:rPr>
            </w:pPr>
          </w:p>
          <w:p w14:paraId="06072884">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DFF0593">
            <w:pPr>
              <w:spacing w:line="240" w:lineRule="atLeast"/>
              <w:rPr>
                <w:rFonts w:asciiTheme="majorEastAsia" w:hAnsiTheme="majorEastAsia" w:eastAsiaTheme="majorEastAsia" w:cstheme="majorEastAsia"/>
                <w:spacing w:val="-20"/>
                <w:sz w:val="20"/>
                <w:szCs w:val="20"/>
              </w:rPr>
            </w:pPr>
          </w:p>
          <w:p w14:paraId="711E087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549" w:type="dxa"/>
            <w:gridSpan w:val="5"/>
            <w:vAlign w:val="center"/>
          </w:tcPr>
          <w:p w14:paraId="2EA64D0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325" w:type="dxa"/>
            <w:gridSpan w:val="2"/>
            <w:vAlign w:val="center"/>
          </w:tcPr>
          <w:p w14:paraId="1770677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21FF9F3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BC1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84C89C0">
            <w:pPr>
              <w:spacing w:line="240" w:lineRule="atLeast"/>
              <w:jc w:val="left"/>
              <w:rPr>
                <w:rFonts w:ascii="仿宋_GB2312" w:hAnsi="仿宋_GB2312" w:eastAsia="仿宋_GB2312" w:cs="仿宋_GB2312"/>
                <w:sz w:val="20"/>
                <w:szCs w:val="20"/>
              </w:rPr>
            </w:pPr>
          </w:p>
        </w:tc>
        <w:tc>
          <w:tcPr>
            <w:tcW w:w="555" w:type="dxa"/>
            <w:vMerge w:val="continue"/>
          </w:tcPr>
          <w:p w14:paraId="1A8DDA48">
            <w:pPr>
              <w:spacing w:line="240" w:lineRule="atLeast"/>
              <w:jc w:val="left"/>
              <w:rPr>
                <w:rFonts w:ascii="仿宋_GB2312" w:hAnsi="仿宋_GB2312" w:eastAsia="仿宋_GB2312" w:cs="仿宋_GB2312"/>
                <w:sz w:val="20"/>
                <w:szCs w:val="20"/>
              </w:rPr>
            </w:pPr>
          </w:p>
        </w:tc>
        <w:tc>
          <w:tcPr>
            <w:tcW w:w="600" w:type="dxa"/>
            <w:vAlign w:val="center"/>
          </w:tcPr>
          <w:p w14:paraId="6189B75F">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0980023A">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2CA1A60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5685DD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90" w:type="dxa"/>
            <w:vAlign w:val="center"/>
          </w:tcPr>
          <w:p w14:paraId="4E68575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75" w:type="dxa"/>
            <w:vAlign w:val="center"/>
          </w:tcPr>
          <w:p w14:paraId="582A6F8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7DA1CE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650" w:type="dxa"/>
            <w:vAlign w:val="center"/>
          </w:tcPr>
          <w:p w14:paraId="702A66D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3889799">
            <w:pPr>
              <w:spacing w:line="240" w:lineRule="atLeast"/>
              <w:jc w:val="left"/>
              <w:rPr>
                <w:rFonts w:ascii="仿宋_GB2312" w:hAnsi="仿宋_GB2312" w:eastAsia="仿宋_GB2312" w:cs="仿宋_GB2312"/>
                <w:sz w:val="20"/>
                <w:szCs w:val="20"/>
              </w:rPr>
            </w:pPr>
          </w:p>
        </w:tc>
      </w:tr>
      <w:tr w14:paraId="0018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66571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30</w:t>
            </w:r>
          </w:p>
        </w:tc>
        <w:tc>
          <w:tcPr>
            <w:tcW w:w="555" w:type="dxa"/>
            <w:vAlign w:val="center"/>
          </w:tcPr>
          <w:p w14:paraId="734581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54C9C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93CBF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316B0AB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对土地复垦义务人未按照规定对拟损毁的耕地、林地、牧草地进行表土剥离行为的处罚</w:t>
            </w:r>
          </w:p>
        </w:tc>
        <w:tc>
          <w:tcPr>
            <w:tcW w:w="645" w:type="dxa"/>
            <w:vAlign w:val="center"/>
          </w:tcPr>
          <w:p w14:paraId="1C574F24">
            <w:pPr>
              <w:snapToGrid w:val="0"/>
              <w:spacing w:line="240" w:lineRule="atLeast"/>
              <w:jc w:val="center"/>
              <w:rPr>
                <w:rFonts w:ascii="仿宋_GB2312" w:hAnsi="仿宋_GB2312" w:eastAsia="仿宋_GB2312" w:cs="仿宋_GB2312"/>
                <w:sz w:val="20"/>
                <w:szCs w:val="20"/>
              </w:rPr>
            </w:pPr>
          </w:p>
        </w:tc>
        <w:tc>
          <w:tcPr>
            <w:tcW w:w="585" w:type="dxa"/>
            <w:vAlign w:val="center"/>
          </w:tcPr>
          <w:p w14:paraId="115E76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30B59E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90" w:type="dxa"/>
            <w:vAlign w:val="center"/>
          </w:tcPr>
          <w:p w14:paraId="6CEE2E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三十九条：土地复垦义务人未按照规定对拟损毁的耕地、林地、牧草地进行表土剥离，由县级以上地方人民政府国土资源主管部门责令限期改正；逾期不改正的，按照应当进行表土剥离的土地面积处每公顷1万元的罚款。</w:t>
            </w:r>
          </w:p>
        </w:tc>
        <w:tc>
          <w:tcPr>
            <w:tcW w:w="3675" w:type="dxa"/>
            <w:vAlign w:val="center"/>
          </w:tcPr>
          <w:p w14:paraId="4E74B22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1F6456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A56757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AEE534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ABF114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5CFC3C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B22CEA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1E85A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650" w:type="dxa"/>
            <w:vAlign w:val="center"/>
          </w:tcPr>
          <w:p w14:paraId="0D8511A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C62FC4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72434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E090F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4E0B4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A1DCC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A9A9D2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8B8D3C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3623B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6FD75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C6318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F8C3F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6D177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9599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C75CC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2C3B3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9318C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A4EFA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999E5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96A90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B86AD23">
            <w:pPr>
              <w:snapToGrid w:val="0"/>
              <w:spacing w:line="240" w:lineRule="atLeast"/>
              <w:jc w:val="center"/>
              <w:rPr>
                <w:rFonts w:ascii="仿宋_GB2312" w:hAnsi="仿宋_GB2312" w:eastAsia="仿宋_GB2312" w:cs="仿宋_GB2312"/>
                <w:sz w:val="20"/>
                <w:szCs w:val="20"/>
              </w:rPr>
            </w:pPr>
          </w:p>
        </w:tc>
      </w:tr>
    </w:tbl>
    <w:p w14:paraId="3D596E76"/>
    <w:p w14:paraId="4DDE3906"/>
    <w:p w14:paraId="7D1436C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94"/>
        <w:gridCol w:w="630"/>
        <w:gridCol w:w="600"/>
        <w:gridCol w:w="1020"/>
        <w:gridCol w:w="4365"/>
        <w:gridCol w:w="3885"/>
        <w:gridCol w:w="9380"/>
        <w:gridCol w:w="330"/>
      </w:tblGrid>
      <w:tr w14:paraId="0C33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090C9FB">
            <w:pPr>
              <w:snapToGrid w:val="0"/>
              <w:spacing w:line="240" w:lineRule="atLeast"/>
              <w:jc w:val="left"/>
              <w:rPr>
                <w:rFonts w:asciiTheme="majorEastAsia" w:hAnsiTheme="majorEastAsia" w:eastAsiaTheme="majorEastAsia" w:cstheme="majorEastAsia"/>
                <w:spacing w:val="-23"/>
                <w:sz w:val="20"/>
                <w:szCs w:val="20"/>
              </w:rPr>
            </w:pPr>
          </w:p>
          <w:p w14:paraId="000C57BF">
            <w:pPr>
              <w:snapToGrid w:val="0"/>
              <w:spacing w:line="240" w:lineRule="atLeast"/>
              <w:jc w:val="left"/>
              <w:rPr>
                <w:rFonts w:asciiTheme="majorEastAsia" w:hAnsiTheme="majorEastAsia" w:eastAsiaTheme="majorEastAsia" w:cstheme="majorEastAsia"/>
                <w:spacing w:val="-23"/>
                <w:sz w:val="20"/>
                <w:szCs w:val="20"/>
              </w:rPr>
            </w:pPr>
          </w:p>
          <w:p w14:paraId="1C224471">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283CB7C7">
            <w:pPr>
              <w:spacing w:line="240" w:lineRule="atLeast"/>
              <w:rPr>
                <w:rFonts w:asciiTheme="majorEastAsia" w:hAnsiTheme="majorEastAsia" w:eastAsiaTheme="majorEastAsia" w:cstheme="majorEastAsia"/>
                <w:spacing w:val="-20"/>
                <w:sz w:val="20"/>
                <w:szCs w:val="20"/>
              </w:rPr>
            </w:pPr>
          </w:p>
          <w:p w14:paraId="6E70A08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609" w:type="dxa"/>
            <w:gridSpan w:val="5"/>
            <w:vAlign w:val="center"/>
          </w:tcPr>
          <w:p w14:paraId="4075EE2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265" w:type="dxa"/>
            <w:gridSpan w:val="2"/>
            <w:vAlign w:val="center"/>
          </w:tcPr>
          <w:p w14:paraId="34A124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0658681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576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0E461A">
            <w:pPr>
              <w:spacing w:line="240" w:lineRule="atLeast"/>
              <w:jc w:val="left"/>
              <w:rPr>
                <w:rFonts w:ascii="仿宋_GB2312" w:hAnsi="仿宋_GB2312" w:eastAsia="仿宋_GB2312" w:cs="仿宋_GB2312"/>
                <w:sz w:val="20"/>
                <w:szCs w:val="20"/>
              </w:rPr>
            </w:pPr>
          </w:p>
        </w:tc>
        <w:tc>
          <w:tcPr>
            <w:tcW w:w="555" w:type="dxa"/>
            <w:vMerge w:val="continue"/>
          </w:tcPr>
          <w:p w14:paraId="0DB8388C">
            <w:pPr>
              <w:spacing w:line="240" w:lineRule="atLeast"/>
              <w:jc w:val="left"/>
              <w:rPr>
                <w:rFonts w:ascii="仿宋_GB2312" w:hAnsi="仿宋_GB2312" w:eastAsia="仿宋_GB2312" w:cs="仿宋_GB2312"/>
                <w:sz w:val="20"/>
                <w:szCs w:val="20"/>
              </w:rPr>
            </w:pPr>
          </w:p>
        </w:tc>
        <w:tc>
          <w:tcPr>
            <w:tcW w:w="994" w:type="dxa"/>
            <w:vAlign w:val="center"/>
          </w:tcPr>
          <w:p w14:paraId="3459FC39">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30" w:type="dxa"/>
            <w:vAlign w:val="center"/>
          </w:tcPr>
          <w:p w14:paraId="29B730D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5687C30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0" w:type="dxa"/>
            <w:vAlign w:val="center"/>
          </w:tcPr>
          <w:p w14:paraId="5D92C78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65" w:type="dxa"/>
            <w:vAlign w:val="center"/>
          </w:tcPr>
          <w:p w14:paraId="457514A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85" w:type="dxa"/>
            <w:vAlign w:val="center"/>
          </w:tcPr>
          <w:p w14:paraId="11ACE0A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90840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380" w:type="dxa"/>
            <w:vAlign w:val="center"/>
          </w:tcPr>
          <w:p w14:paraId="51626C5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4F5A8D2">
            <w:pPr>
              <w:spacing w:line="240" w:lineRule="atLeast"/>
              <w:jc w:val="left"/>
              <w:rPr>
                <w:rFonts w:ascii="仿宋_GB2312" w:hAnsi="仿宋_GB2312" w:eastAsia="仿宋_GB2312" w:cs="仿宋_GB2312"/>
                <w:sz w:val="20"/>
                <w:szCs w:val="20"/>
              </w:rPr>
            </w:pPr>
          </w:p>
        </w:tc>
      </w:tr>
      <w:tr w14:paraId="31B2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49257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31</w:t>
            </w:r>
          </w:p>
        </w:tc>
        <w:tc>
          <w:tcPr>
            <w:tcW w:w="555" w:type="dxa"/>
            <w:vAlign w:val="center"/>
          </w:tcPr>
          <w:p w14:paraId="32A824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54238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9A71D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94" w:type="dxa"/>
            <w:vAlign w:val="center"/>
          </w:tcPr>
          <w:p w14:paraId="695F247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对土地复垦义务人未按照规定报告土地损毁情况、土地复垦费用使用情况或者土地复垦工程实施情况行为的处罚</w:t>
            </w:r>
          </w:p>
        </w:tc>
        <w:tc>
          <w:tcPr>
            <w:tcW w:w="630" w:type="dxa"/>
            <w:vAlign w:val="center"/>
          </w:tcPr>
          <w:p w14:paraId="2883D2F5">
            <w:pPr>
              <w:snapToGrid w:val="0"/>
              <w:spacing w:line="240" w:lineRule="atLeast"/>
              <w:jc w:val="center"/>
              <w:rPr>
                <w:rFonts w:ascii="仿宋_GB2312" w:hAnsi="仿宋_GB2312" w:eastAsia="仿宋_GB2312" w:cs="仿宋_GB2312"/>
                <w:sz w:val="20"/>
                <w:szCs w:val="20"/>
              </w:rPr>
            </w:pPr>
          </w:p>
        </w:tc>
        <w:tc>
          <w:tcPr>
            <w:tcW w:w="600" w:type="dxa"/>
            <w:vAlign w:val="center"/>
          </w:tcPr>
          <w:p w14:paraId="756D4D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235ADF0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65" w:type="dxa"/>
            <w:vAlign w:val="center"/>
          </w:tcPr>
          <w:p w14:paraId="0F030E2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四十一条：土地复垦义务人未按照规定报告土地损毁情况、土地复垦费用使用情况或者土地复垦工程实施情况的，由县级以上地方人民政府国土资源主管部门责令限期改正；逾期不改正的，处2万元以上5万元以下的罚款。</w:t>
            </w:r>
          </w:p>
        </w:tc>
        <w:tc>
          <w:tcPr>
            <w:tcW w:w="3885" w:type="dxa"/>
            <w:vAlign w:val="center"/>
          </w:tcPr>
          <w:p w14:paraId="649D2D4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759008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FE477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49B05B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C0C5C5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358059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12AB38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67B2E0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380" w:type="dxa"/>
            <w:vAlign w:val="center"/>
          </w:tcPr>
          <w:p w14:paraId="0B410DC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D408F1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6C446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A1DC9C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62EDA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0DD97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80FC0F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35081B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32A49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17DFB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AA7DC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FDDBC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25084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3226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993D6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E309A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8173E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46A47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A1B8F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4C1C8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54E4647">
            <w:pPr>
              <w:snapToGrid w:val="0"/>
              <w:spacing w:line="240" w:lineRule="atLeast"/>
              <w:jc w:val="center"/>
              <w:rPr>
                <w:rFonts w:ascii="仿宋_GB2312" w:hAnsi="仿宋_GB2312" w:eastAsia="仿宋_GB2312" w:cs="仿宋_GB2312"/>
                <w:sz w:val="20"/>
                <w:szCs w:val="20"/>
              </w:rPr>
            </w:pPr>
          </w:p>
        </w:tc>
      </w:tr>
    </w:tbl>
    <w:p w14:paraId="4AE532BB"/>
    <w:p w14:paraId="57008F79"/>
    <w:p w14:paraId="761C7ED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510"/>
        <w:gridCol w:w="3585"/>
        <w:gridCol w:w="9920"/>
        <w:gridCol w:w="330"/>
      </w:tblGrid>
      <w:tr w14:paraId="113F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4A550FA">
            <w:pPr>
              <w:snapToGrid w:val="0"/>
              <w:spacing w:line="240" w:lineRule="atLeast"/>
              <w:jc w:val="left"/>
              <w:rPr>
                <w:rFonts w:asciiTheme="majorEastAsia" w:hAnsiTheme="majorEastAsia" w:eastAsiaTheme="majorEastAsia" w:cstheme="majorEastAsia"/>
                <w:spacing w:val="-23"/>
                <w:sz w:val="20"/>
                <w:szCs w:val="20"/>
              </w:rPr>
            </w:pPr>
          </w:p>
          <w:p w14:paraId="18AD3D77">
            <w:pPr>
              <w:snapToGrid w:val="0"/>
              <w:spacing w:line="240" w:lineRule="atLeast"/>
              <w:jc w:val="left"/>
              <w:rPr>
                <w:rFonts w:asciiTheme="majorEastAsia" w:hAnsiTheme="majorEastAsia" w:eastAsiaTheme="majorEastAsia" w:cstheme="majorEastAsia"/>
                <w:spacing w:val="-23"/>
                <w:sz w:val="20"/>
                <w:szCs w:val="20"/>
              </w:rPr>
            </w:pPr>
          </w:p>
          <w:p w14:paraId="2DC9DE61">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4DBE52C">
            <w:pPr>
              <w:spacing w:line="240" w:lineRule="atLeast"/>
              <w:rPr>
                <w:rFonts w:asciiTheme="majorEastAsia" w:hAnsiTheme="majorEastAsia" w:eastAsiaTheme="majorEastAsia" w:cstheme="majorEastAsia"/>
                <w:spacing w:val="-20"/>
                <w:sz w:val="20"/>
                <w:szCs w:val="20"/>
              </w:rPr>
            </w:pPr>
          </w:p>
          <w:p w14:paraId="4F0B65A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369" w:type="dxa"/>
            <w:gridSpan w:val="5"/>
            <w:vAlign w:val="center"/>
          </w:tcPr>
          <w:p w14:paraId="25268E2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505" w:type="dxa"/>
            <w:gridSpan w:val="2"/>
            <w:vAlign w:val="center"/>
          </w:tcPr>
          <w:p w14:paraId="757B9BE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2173A0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0D5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DCC6D75">
            <w:pPr>
              <w:spacing w:line="240" w:lineRule="atLeast"/>
              <w:jc w:val="left"/>
              <w:rPr>
                <w:rFonts w:ascii="仿宋_GB2312" w:hAnsi="仿宋_GB2312" w:eastAsia="仿宋_GB2312" w:cs="仿宋_GB2312"/>
                <w:sz w:val="20"/>
                <w:szCs w:val="20"/>
              </w:rPr>
            </w:pPr>
          </w:p>
        </w:tc>
        <w:tc>
          <w:tcPr>
            <w:tcW w:w="555" w:type="dxa"/>
            <w:vMerge w:val="continue"/>
          </w:tcPr>
          <w:p w14:paraId="1810E34F">
            <w:pPr>
              <w:spacing w:line="240" w:lineRule="atLeast"/>
              <w:jc w:val="left"/>
              <w:rPr>
                <w:rFonts w:ascii="仿宋_GB2312" w:hAnsi="仿宋_GB2312" w:eastAsia="仿宋_GB2312" w:cs="仿宋_GB2312"/>
                <w:sz w:val="20"/>
                <w:szCs w:val="20"/>
              </w:rPr>
            </w:pPr>
          </w:p>
        </w:tc>
        <w:tc>
          <w:tcPr>
            <w:tcW w:w="600" w:type="dxa"/>
            <w:vAlign w:val="center"/>
          </w:tcPr>
          <w:p w14:paraId="607DC218">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7C992B5">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3CB6280">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4AACB36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510" w:type="dxa"/>
            <w:vAlign w:val="center"/>
          </w:tcPr>
          <w:p w14:paraId="2CBC4C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C8D29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6EA587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920" w:type="dxa"/>
            <w:vAlign w:val="center"/>
          </w:tcPr>
          <w:p w14:paraId="37EE5B7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5333138">
            <w:pPr>
              <w:spacing w:line="240" w:lineRule="atLeast"/>
              <w:jc w:val="left"/>
              <w:rPr>
                <w:rFonts w:ascii="仿宋_GB2312" w:hAnsi="仿宋_GB2312" w:eastAsia="仿宋_GB2312" w:cs="仿宋_GB2312"/>
                <w:sz w:val="20"/>
                <w:szCs w:val="20"/>
              </w:rPr>
            </w:pPr>
          </w:p>
        </w:tc>
      </w:tr>
      <w:tr w14:paraId="074B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4CF44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32</w:t>
            </w:r>
          </w:p>
        </w:tc>
        <w:tc>
          <w:tcPr>
            <w:tcW w:w="555" w:type="dxa"/>
            <w:vAlign w:val="center"/>
          </w:tcPr>
          <w:p w14:paraId="42A3EE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E2361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C02B3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0054D7F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对土地复垦义务人不依法缴纳土地复垦费行为的处罚</w:t>
            </w:r>
          </w:p>
        </w:tc>
        <w:tc>
          <w:tcPr>
            <w:tcW w:w="645" w:type="dxa"/>
            <w:vAlign w:val="center"/>
          </w:tcPr>
          <w:p w14:paraId="6B302956">
            <w:pPr>
              <w:snapToGrid w:val="0"/>
              <w:spacing w:line="240" w:lineRule="atLeast"/>
              <w:jc w:val="center"/>
              <w:rPr>
                <w:rFonts w:ascii="仿宋_GB2312" w:hAnsi="仿宋_GB2312" w:eastAsia="仿宋_GB2312" w:cs="仿宋_GB2312"/>
                <w:sz w:val="20"/>
                <w:szCs w:val="20"/>
              </w:rPr>
            </w:pPr>
          </w:p>
        </w:tc>
        <w:tc>
          <w:tcPr>
            <w:tcW w:w="585" w:type="dxa"/>
            <w:vAlign w:val="center"/>
          </w:tcPr>
          <w:p w14:paraId="13E0F74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199ECC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510" w:type="dxa"/>
            <w:vAlign w:val="center"/>
          </w:tcPr>
          <w:p w14:paraId="211046B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第592号令）第四十二条：土地复垦义务人依照本条例规定应当缴纳土地复垦费而不缴纳的，由县级以上地方人民政府国土资源主管部门责令限期缴纳；逾期不缴纳的，处应缴纳土地复垦费1倍以上2倍以下的罚款，土地复垦义务人为矿山企业的，由颁发采矿许可证的机关吊销采矿许可证。</w:t>
            </w:r>
          </w:p>
        </w:tc>
        <w:tc>
          <w:tcPr>
            <w:tcW w:w="3585" w:type="dxa"/>
            <w:vAlign w:val="center"/>
          </w:tcPr>
          <w:p w14:paraId="2769237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C975EB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7244F2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FA64C8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4FA600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548D4A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CB69C0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EFCB1B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920" w:type="dxa"/>
            <w:vAlign w:val="center"/>
          </w:tcPr>
          <w:p w14:paraId="54F540A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2C3F37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3D518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72B807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BBCC3C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1F3E8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B1330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DCB406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B833E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69780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843C2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46799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878DA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095E8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E30EE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B18DC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1C97D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DA153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C9EA3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C7FE2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482FD39">
            <w:pPr>
              <w:snapToGrid w:val="0"/>
              <w:spacing w:line="240" w:lineRule="atLeast"/>
              <w:jc w:val="center"/>
              <w:rPr>
                <w:rFonts w:ascii="仿宋_GB2312" w:hAnsi="仿宋_GB2312" w:eastAsia="仿宋_GB2312" w:cs="仿宋_GB2312"/>
                <w:sz w:val="20"/>
                <w:szCs w:val="20"/>
              </w:rPr>
            </w:pPr>
          </w:p>
        </w:tc>
      </w:tr>
    </w:tbl>
    <w:p w14:paraId="779FD517"/>
    <w:p w14:paraId="58353021"/>
    <w:p w14:paraId="773C3E2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1"/>
        <w:gridCol w:w="631"/>
        <w:gridCol w:w="858"/>
        <w:gridCol w:w="600"/>
        <w:gridCol w:w="630"/>
        <w:gridCol w:w="1020"/>
        <w:gridCol w:w="4077"/>
        <w:gridCol w:w="3555"/>
        <w:gridCol w:w="10058"/>
        <w:gridCol w:w="330"/>
      </w:tblGrid>
      <w:tr w14:paraId="7F70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611" w:type="dxa"/>
            <w:vMerge w:val="restart"/>
            <w:vAlign w:val="center"/>
          </w:tcPr>
          <w:p w14:paraId="30B0DC6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631" w:type="dxa"/>
            <w:vMerge w:val="restart"/>
            <w:vAlign w:val="center"/>
          </w:tcPr>
          <w:p w14:paraId="5CFDE542">
            <w:pPr>
              <w:spacing w:line="240" w:lineRule="atLeast"/>
              <w:rPr>
                <w:rFonts w:asciiTheme="majorEastAsia" w:hAnsiTheme="majorEastAsia" w:eastAsiaTheme="majorEastAsia" w:cstheme="majorEastAsia"/>
                <w:spacing w:val="-20"/>
                <w:sz w:val="20"/>
                <w:szCs w:val="20"/>
              </w:rPr>
            </w:pPr>
          </w:p>
          <w:p w14:paraId="2B50DB1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w:t>
            </w:r>
          </w:p>
          <w:p w14:paraId="395AEAD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分类</w:t>
            </w:r>
          </w:p>
        </w:tc>
        <w:tc>
          <w:tcPr>
            <w:tcW w:w="7185" w:type="dxa"/>
            <w:gridSpan w:val="5"/>
            <w:vAlign w:val="center"/>
          </w:tcPr>
          <w:p w14:paraId="7E709E9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613" w:type="dxa"/>
            <w:gridSpan w:val="2"/>
            <w:vAlign w:val="center"/>
          </w:tcPr>
          <w:p w14:paraId="749E7CD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25125C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1D9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611" w:type="dxa"/>
            <w:vMerge w:val="continue"/>
          </w:tcPr>
          <w:p w14:paraId="5B792CDB">
            <w:pPr>
              <w:spacing w:line="240" w:lineRule="atLeast"/>
              <w:jc w:val="left"/>
              <w:rPr>
                <w:rFonts w:ascii="仿宋_GB2312" w:hAnsi="仿宋_GB2312" w:eastAsia="仿宋_GB2312" w:cs="仿宋_GB2312"/>
                <w:sz w:val="20"/>
                <w:szCs w:val="20"/>
              </w:rPr>
            </w:pPr>
          </w:p>
        </w:tc>
        <w:tc>
          <w:tcPr>
            <w:tcW w:w="631" w:type="dxa"/>
            <w:vMerge w:val="continue"/>
          </w:tcPr>
          <w:p w14:paraId="32482B65">
            <w:pPr>
              <w:spacing w:line="240" w:lineRule="atLeast"/>
              <w:jc w:val="left"/>
              <w:rPr>
                <w:rFonts w:ascii="仿宋_GB2312" w:hAnsi="仿宋_GB2312" w:eastAsia="仿宋_GB2312" w:cs="仿宋_GB2312"/>
                <w:sz w:val="20"/>
                <w:szCs w:val="20"/>
              </w:rPr>
            </w:pPr>
          </w:p>
        </w:tc>
        <w:tc>
          <w:tcPr>
            <w:tcW w:w="858" w:type="dxa"/>
            <w:vAlign w:val="center"/>
          </w:tcPr>
          <w:p w14:paraId="70F9A6F0">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00" w:type="dxa"/>
            <w:vAlign w:val="center"/>
          </w:tcPr>
          <w:p w14:paraId="684CF9EA">
            <w:pPr>
              <w:adjustRightInd w:val="0"/>
              <w:snapToGrid w:val="0"/>
              <w:spacing w:line="240" w:lineRule="exact"/>
              <w:ind w:firstLine="158" w:firstLineChars="100"/>
              <w:rPr>
                <w:rFonts w:asciiTheme="minorEastAsia" w:hAnsiTheme="minorEastAsia" w:cstheme="minorEastAsia"/>
                <w:spacing w:val="-11"/>
                <w:sz w:val="18"/>
                <w:szCs w:val="18"/>
              </w:rPr>
            </w:pPr>
            <w:r>
              <w:rPr>
                <w:rFonts w:hint="eastAsia" w:asciiTheme="minorEastAsia" w:hAnsiTheme="minorEastAsia" w:cstheme="minorEastAsia"/>
                <w:spacing w:val="-11"/>
                <w:sz w:val="18"/>
                <w:szCs w:val="18"/>
              </w:rPr>
              <w:t>子项</w:t>
            </w:r>
          </w:p>
          <w:p w14:paraId="25E6558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名 称</w:t>
            </w:r>
          </w:p>
        </w:tc>
        <w:tc>
          <w:tcPr>
            <w:tcW w:w="630" w:type="dxa"/>
            <w:vAlign w:val="center"/>
          </w:tcPr>
          <w:p w14:paraId="33D2608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w:t>
            </w:r>
          </w:p>
          <w:p w14:paraId="5ADDC37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主体</w:t>
            </w:r>
          </w:p>
        </w:tc>
        <w:tc>
          <w:tcPr>
            <w:tcW w:w="1020" w:type="dxa"/>
            <w:vAlign w:val="center"/>
          </w:tcPr>
          <w:p w14:paraId="444AD28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077" w:type="dxa"/>
            <w:vAlign w:val="center"/>
          </w:tcPr>
          <w:p w14:paraId="0FC2979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55" w:type="dxa"/>
            <w:vAlign w:val="center"/>
          </w:tcPr>
          <w:p w14:paraId="5BAD60C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368470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058" w:type="dxa"/>
            <w:vAlign w:val="center"/>
          </w:tcPr>
          <w:p w14:paraId="20F3F58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4DDD0AB">
            <w:pPr>
              <w:spacing w:line="240" w:lineRule="atLeast"/>
              <w:jc w:val="left"/>
              <w:rPr>
                <w:rFonts w:ascii="仿宋_GB2312" w:hAnsi="仿宋_GB2312" w:eastAsia="仿宋_GB2312" w:cs="仿宋_GB2312"/>
                <w:sz w:val="20"/>
                <w:szCs w:val="20"/>
              </w:rPr>
            </w:pPr>
          </w:p>
        </w:tc>
      </w:tr>
      <w:tr w14:paraId="2655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2" w:hRule="atLeast"/>
        </w:trPr>
        <w:tc>
          <w:tcPr>
            <w:tcW w:w="611" w:type="dxa"/>
            <w:vAlign w:val="center"/>
          </w:tcPr>
          <w:p w14:paraId="33B705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32</w:t>
            </w:r>
          </w:p>
        </w:tc>
        <w:tc>
          <w:tcPr>
            <w:tcW w:w="631" w:type="dxa"/>
            <w:vAlign w:val="center"/>
          </w:tcPr>
          <w:p w14:paraId="7CB179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行政处罚</w:t>
            </w:r>
          </w:p>
        </w:tc>
        <w:tc>
          <w:tcPr>
            <w:tcW w:w="858" w:type="dxa"/>
            <w:vAlign w:val="center"/>
          </w:tcPr>
          <w:p w14:paraId="57430C4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对土地复垦义务人拒绝、阻碍自然资源主管部门监督检查或者在接受监督检查时弄虚作假行为的处罚</w:t>
            </w:r>
          </w:p>
        </w:tc>
        <w:tc>
          <w:tcPr>
            <w:tcW w:w="600" w:type="dxa"/>
            <w:vAlign w:val="center"/>
          </w:tcPr>
          <w:p w14:paraId="1C233C00">
            <w:pPr>
              <w:snapToGrid w:val="0"/>
              <w:spacing w:line="240" w:lineRule="atLeast"/>
              <w:jc w:val="center"/>
              <w:rPr>
                <w:rFonts w:ascii="仿宋_GB2312" w:hAnsi="仿宋_GB2312" w:eastAsia="仿宋_GB2312" w:cs="仿宋_GB2312"/>
                <w:sz w:val="20"/>
                <w:szCs w:val="20"/>
              </w:rPr>
            </w:pPr>
          </w:p>
        </w:tc>
        <w:tc>
          <w:tcPr>
            <w:tcW w:w="630" w:type="dxa"/>
            <w:vAlign w:val="center"/>
          </w:tcPr>
          <w:p w14:paraId="1C623C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0FC43E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077" w:type="dxa"/>
            <w:vAlign w:val="center"/>
          </w:tcPr>
          <w:p w14:paraId="0E56276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土地复垦条例》（2011年国务院第592号令）第四十三条：土地复垦义务人拒绝、阻碍国土资源主管部门监督检查，或者在接受监督检查时弄虚作假的，由国土资源主管部门责令改正，处2万元以上5万元以下的罚款；有关责任人员构成违反治安管理行为的，由公安机关依法予以治安管理处罚；有关责任人员构成犯罪的，依法追究刑事责任。</w:t>
            </w:r>
          </w:p>
          <w:p w14:paraId="5A0CFC0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破坏土地复垦工程、设施和设备，构成违反治安管理行为的，由公安机关依法予以治安管理处罚；构成犯罪的，依法追究刑事责任。</w:t>
            </w:r>
          </w:p>
        </w:tc>
        <w:tc>
          <w:tcPr>
            <w:tcW w:w="3555" w:type="dxa"/>
            <w:vAlign w:val="center"/>
          </w:tcPr>
          <w:p w14:paraId="42DA52A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2CA227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A1FDB1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1E1F9D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A1EBAA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A110ED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3D87A5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F7A3ED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10058" w:type="dxa"/>
            <w:vAlign w:val="center"/>
          </w:tcPr>
          <w:p w14:paraId="7E115A5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123F40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E9249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4CD817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A22F54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795169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92ADFD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28B614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848CD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B099A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926C0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62433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8A8A8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0B872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F7D40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D2CE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623D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1901A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0F407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92A919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62F9CA4">
            <w:pPr>
              <w:snapToGrid w:val="0"/>
              <w:spacing w:line="240" w:lineRule="atLeast"/>
              <w:jc w:val="center"/>
              <w:rPr>
                <w:rFonts w:ascii="仿宋_GB2312" w:hAnsi="仿宋_GB2312" w:eastAsia="仿宋_GB2312" w:cs="仿宋_GB2312"/>
                <w:sz w:val="20"/>
                <w:szCs w:val="20"/>
              </w:rPr>
            </w:pPr>
          </w:p>
        </w:tc>
      </w:tr>
    </w:tbl>
    <w:p w14:paraId="4EC8078F"/>
    <w:p w14:paraId="3BF5728E"/>
    <w:p w14:paraId="2A34048C"/>
    <w:p w14:paraId="4ACA34E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735"/>
        <w:gridCol w:w="4050"/>
        <w:gridCol w:w="9230"/>
        <w:gridCol w:w="330"/>
      </w:tblGrid>
      <w:tr w14:paraId="2FA6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C79024D">
            <w:pPr>
              <w:snapToGrid w:val="0"/>
              <w:spacing w:line="240" w:lineRule="atLeast"/>
              <w:jc w:val="left"/>
              <w:rPr>
                <w:rFonts w:asciiTheme="majorEastAsia" w:hAnsiTheme="majorEastAsia" w:eastAsiaTheme="majorEastAsia" w:cstheme="majorEastAsia"/>
                <w:spacing w:val="-23"/>
                <w:sz w:val="20"/>
                <w:szCs w:val="20"/>
              </w:rPr>
            </w:pPr>
          </w:p>
          <w:p w14:paraId="34B84AC3">
            <w:pPr>
              <w:snapToGrid w:val="0"/>
              <w:spacing w:line="240" w:lineRule="atLeast"/>
              <w:jc w:val="left"/>
              <w:rPr>
                <w:rFonts w:asciiTheme="majorEastAsia" w:hAnsiTheme="majorEastAsia" w:eastAsiaTheme="majorEastAsia" w:cstheme="majorEastAsia"/>
                <w:spacing w:val="-23"/>
                <w:sz w:val="20"/>
                <w:szCs w:val="20"/>
              </w:rPr>
            </w:pPr>
          </w:p>
          <w:p w14:paraId="49557E0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8862000">
            <w:pPr>
              <w:spacing w:line="240" w:lineRule="atLeast"/>
              <w:rPr>
                <w:rFonts w:asciiTheme="majorEastAsia" w:hAnsiTheme="majorEastAsia" w:eastAsiaTheme="majorEastAsia" w:cstheme="majorEastAsia"/>
                <w:spacing w:val="-20"/>
                <w:sz w:val="20"/>
                <w:szCs w:val="20"/>
              </w:rPr>
            </w:pPr>
          </w:p>
          <w:p w14:paraId="1B205B2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594" w:type="dxa"/>
            <w:gridSpan w:val="5"/>
            <w:vAlign w:val="center"/>
          </w:tcPr>
          <w:p w14:paraId="07FEEB6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280" w:type="dxa"/>
            <w:gridSpan w:val="2"/>
            <w:vAlign w:val="center"/>
          </w:tcPr>
          <w:p w14:paraId="427F9B9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F83F85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42F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79A0F58">
            <w:pPr>
              <w:spacing w:line="240" w:lineRule="atLeast"/>
              <w:jc w:val="left"/>
              <w:rPr>
                <w:rFonts w:ascii="仿宋_GB2312" w:hAnsi="仿宋_GB2312" w:eastAsia="仿宋_GB2312" w:cs="仿宋_GB2312"/>
                <w:sz w:val="20"/>
                <w:szCs w:val="20"/>
              </w:rPr>
            </w:pPr>
          </w:p>
        </w:tc>
        <w:tc>
          <w:tcPr>
            <w:tcW w:w="555" w:type="dxa"/>
            <w:vMerge w:val="continue"/>
          </w:tcPr>
          <w:p w14:paraId="2216D7FF">
            <w:pPr>
              <w:spacing w:line="240" w:lineRule="atLeast"/>
              <w:jc w:val="left"/>
              <w:rPr>
                <w:rFonts w:ascii="仿宋_GB2312" w:hAnsi="仿宋_GB2312" w:eastAsia="仿宋_GB2312" w:cs="仿宋_GB2312"/>
                <w:sz w:val="20"/>
                <w:szCs w:val="20"/>
              </w:rPr>
            </w:pPr>
          </w:p>
        </w:tc>
        <w:tc>
          <w:tcPr>
            <w:tcW w:w="600" w:type="dxa"/>
            <w:vAlign w:val="center"/>
          </w:tcPr>
          <w:p w14:paraId="38272B78">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0E0F3C04">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6BC54D18">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649281D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35" w:type="dxa"/>
            <w:vAlign w:val="center"/>
          </w:tcPr>
          <w:p w14:paraId="0A49B11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050" w:type="dxa"/>
            <w:vAlign w:val="center"/>
          </w:tcPr>
          <w:p w14:paraId="4E7A11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099ECD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230" w:type="dxa"/>
            <w:vAlign w:val="center"/>
          </w:tcPr>
          <w:p w14:paraId="4A0631E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0E35A3D6">
            <w:pPr>
              <w:spacing w:line="240" w:lineRule="atLeast"/>
              <w:jc w:val="left"/>
              <w:rPr>
                <w:rFonts w:ascii="仿宋_GB2312" w:hAnsi="仿宋_GB2312" w:eastAsia="仿宋_GB2312" w:cs="仿宋_GB2312"/>
                <w:sz w:val="20"/>
                <w:szCs w:val="20"/>
              </w:rPr>
            </w:pPr>
          </w:p>
        </w:tc>
      </w:tr>
      <w:tr w14:paraId="2198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4DA8B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34</w:t>
            </w:r>
          </w:p>
        </w:tc>
        <w:tc>
          <w:tcPr>
            <w:tcW w:w="555" w:type="dxa"/>
            <w:vAlign w:val="center"/>
          </w:tcPr>
          <w:p w14:paraId="00FF3B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35CA5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8FAC1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5430F2E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对在国土空间规划确定的禁止开垦的范围内从事土地开发活动的处罚</w:t>
            </w:r>
          </w:p>
        </w:tc>
        <w:tc>
          <w:tcPr>
            <w:tcW w:w="645" w:type="dxa"/>
            <w:vAlign w:val="center"/>
          </w:tcPr>
          <w:p w14:paraId="6C849350">
            <w:pPr>
              <w:snapToGrid w:val="0"/>
              <w:spacing w:line="240" w:lineRule="atLeast"/>
              <w:jc w:val="center"/>
              <w:rPr>
                <w:rFonts w:ascii="仿宋_GB2312" w:hAnsi="仿宋_GB2312" w:eastAsia="仿宋_GB2312" w:cs="仿宋_GB2312"/>
                <w:sz w:val="20"/>
                <w:szCs w:val="20"/>
              </w:rPr>
            </w:pPr>
          </w:p>
        </w:tc>
        <w:tc>
          <w:tcPr>
            <w:tcW w:w="585" w:type="dxa"/>
            <w:vAlign w:val="center"/>
          </w:tcPr>
          <w:p w14:paraId="243A25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2DF878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35" w:type="dxa"/>
            <w:vAlign w:val="center"/>
          </w:tcPr>
          <w:p w14:paraId="0796E33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63940E5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049A321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4050" w:type="dxa"/>
            <w:vAlign w:val="center"/>
          </w:tcPr>
          <w:p w14:paraId="34AA7AF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670751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7D60A2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F05A1F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A64134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9C0476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01DD11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03C84A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230" w:type="dxa"/>
            <w:vAlign w:val="center"/>
          </w:tcPr>
          <w:p w14:paraId="2B60013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B8FAA7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219DF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C79B59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C6201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91D4D1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6C369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5BDCD8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6CB79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45EFB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45E7F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3EF41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3B4BA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3F7F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1E525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DCBD2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51B9C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42671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D1B77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AE4A9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EFCE847">
            <w:pPr>
              <w:snapToGrid w:val="0"/>
              <w:spacing w:line="240" w:lineRule="atLeast"/>
              <w:jc w:val="center"/>
              <w:rPr>
                <w:rFonts w:ascii="仿宋_GB2312" w:hAnsi="仿宋_GB2312" w:eastAsia="仿宋_GB2312" w:cs="仿宋_GB2312"/>
                <w:sz w:val="20"/>
                <w:szCs w:val="20"/>
              </w:rPr>
            </w:pPr>
          </w:p>
        </w:tc>
      </w:tr>
    </w:tbl>
    <w:p w14:paraId="6F17054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44"/>
        <w:gridCol w:w="615"/>
        <w:gridCol w:w="660"/>
        <w:gridCol w:w="1020"/>
        <w:gridCol w:w="4845"/>
        <w:gridCol w:w="3720"/>
        <w:gridCol w:w="9170"/>
        <w:gridCol w:w="330"/>
      </w:tblGrid>
      <w:tr w14:paraId="25B5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996752A">
            <w:pPr>
              <w:snapToGrid w:val="0"/>
              <w:spacing w:line="240" w:lineRule="atLeast"/>
              <w:jc w:val="left"/>
              <w:rPr>
                <w:rFonts w:asciiTheme="majorEastAsia" w:hAnsiTheme="majorEastAsia" w:eastAsiaTheme="majorEastAsia" w:cstheme="majorEastAsia"/>
                <w:spacing w:val="-23"/>
                <w:sz w:val="20"/>
                <w:szCs w:val="20"/>
              </w:rPr>
            </w:pPr>
          </w:p>
          <w:p w14:paraId="386EB771">
            <w:pPr>
              <w:snapToGrid w:val="0"/>
              <w:spacing w:line="240" w:lineRule="atLeast"/>
              <w:jc w:val="left"/>
              <w:rPr>
                <w:rFonts w:asciiTheme="majorEastAsia" w:hAnsiTheme="majorEastAsia" w:eastAsiaTheme="majorEastAsia" w:cstheme="majorEastAsia"/>
                <w:spacing w:val="-23"/>
                <w:sz w:val="20"/>
                <w:szCs w:val="20"/>
              </w:rPr>
            </w:pPr>
          </w:p>
          <w:p w14:paraId="05BF2023">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771A835">
            <w:pPr>
              <w:spacing w:line="240" w:lineRule="atLeast"/>
              <w:rPr>
                <w:rFonts w:asciiTheme="majorEastAsia" w:hAnsiTheme="majorEastAsia" w:eastAsiaTheme="majorEastAsia" w:cstheme="majorEastAsia"/>
                <w:spacing w:val="-20"/>
                <w:sz w:val="20"/>
                <w:szCs w:val="20"/>
              </w:rPr>
            </w:pPr>
          </w:p>
          <w:p w14:paraId="3E7CEFC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984" w:type="dxa"/>
            <w:gridSpan w:val="5"/>
            <w:vAlign w:val="center"/>
          </w:tcPr>
          <w:p w14:paraId="5DE3B28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890" w:type="dxa"/>
            <w:gridSpan w:val="2"/>
            <w:vAlign w:val="center"/>
          </w:tcPr>
          <w:p w14:paraId="2CBB34B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187810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28D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A9ADD6F">
            <w:pPr>
              <w:spacing w:line="240" w:lineRule="atLeast"/>
              <w:jc w:val="left"/>
              <w:rPr>
                <w:rFonts w:ascii="仿宋_GB2312" w:hAnsi="仿宋_GB2312" w:eastAsia="仿宋_GB2312" w:cs="仿宋_GB2312"/>
                <w:sz w:val="20"/>
                <w:szCs w:val="20"/>
              </w:rPr>
            </w:pPr>
          </w:p>
        </w:tc>
        <w:tc>
          <w:tcPr>
            <w:tcW w:w="555" w:type="dxa"/>
            <w:vMerge w:val="continue"/>
          </w:tcPr>
          <w:p w14:paraId="7AF1E8BD">
            <w:pPr>
              <w:spacing w:line="240" w:lineRule="atLeast"/>
              <w:jc w:val="left"/>
              <w:rPr>
                <w:rFonts w:ascii="仿宋_GB2312" w:hAnsi="仿宋_GB2312" w:eastAsia="仿宋_GB2312" w:cs="仿宋_GB2312"/>
                <w:sz w:val="20"/>
                <w:szCs w:val="20"/>
              </w:rPr>
            </w:pPr>
          </w:p>
        </w:tc>
        <w:tc>
          <w:tcPr>
            <w:tcW w:w="844" w:type="dxa"/>
            <w:vAlign w:val="center"/>
          </w:tcPr>
          <w:p w14:paraId="50528F0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06C676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75C5B19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3336A74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0" w:type="dxa"/>
            <w:vAlign w:val="center"/>
          </w:tcPr>
          <w:p w14:paraId="29FDE63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45" w:type="dxa"/>
            <w:vAlign w:val="center"/>
          </w:tcPr>
          <w:p w14:paraId="2E29EB0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20" w:type="dxa"/>
            <w:vAlign w:val="center"/>
          </w:tcPr>
          <w:p w14:paraId="2ABD2A7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F298F9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70" w:type="dxa"/>
            <w:vAlign w:val="center"/>
          </w:tcPr>
          <w:p w14:paraId="5220815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DAE441E">
            <w:pPr>
              <w:spacing w:line="240" w:lineRule="atLeast"/>
              <w:jc w:val="left"/>
              <w:rPr>
                <w:rFonts w:ascii="仿宋_GB2312" w:hAnsi="仿宋_GB2312" w:eastAsia="仿宋_GB2312" w:cs="仿宋_GB2312"/>
                <w:sz w:val="20"/>
                <w:szCs w:val="20"/>
              </w:rPr>
            </w:pPr>
          </w:p>
        </w:tc>
      </w:tr>
      <w:tr w14:paraId="6754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F2D65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35</w:t>
            </w:r>
          </w:p>
        </w:tc>
        <w:tc>
          <w:tcPr>
            <w:tcW w:w="555" w:type="dxa"/>
            <w:vAlign w:val="center"/>
          </w:tcPr>
          <w:p w14:paraId="06B68F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CE763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C9DF2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44" w:type="dxa"/>
            <w:vAlign w:val="center"/>
          </w:tcPr>
          <w:p w14:paraId="64E0DF2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对在国土空间规划确定的开垦的范围内，未经批准擅自开发土地行为的处罚</w:t>
            </w:r>
          </w:p>
        </w:tc>
        <w:tc>
          <w:tcPr>
            <w:tcW w:w="615" w:type="dxa"/>
            <w:vAlign w:val="center"/>
          </w:tcPr>
          <w:p w14:paraId="528F3B3D">
            <w:pPr>
              <w:snapToGrid w:val="0"/>
              <w:spacing w:line="240" w:lineRule="atLeast"/>
              <w:jc w:val="center"/>
              <w:rPr>
                <w:rFonts w:ascii="仿宋_GB2312" w:hAnsi="仿宋_GB2312" w:eastAsia="仿宋_GB2312" w:cs="仿宋_GB2312"/>
                <w:sz w:val="20"/>
                <w:szCs w:val="20"/>
              </w:rPr>
            </w:pPr>
          </w:p>
        </w:tc>
        <w:tc>
          <w:tcPr>
            <w:tcW w:w="660" w:type="dxa"/>
            <w:vAlign w:val="center"/>
          </w:tcPr>
          <w:p w14:paraId="43DA7A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7C3888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45" w:type="dxa"/>
            <w:vAlign w:val="center"/>
          </w:tcPr>
          <w:p w14:paraId="7207609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52DF773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121A81B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p w14:paraId="3FD6648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实施〈中华人民共和国土地管理法〉办法》（2001年广西壮族自治区第九届人民代表大会常务委员会第二十五次会议通过施行，2019年修正）第三十条：单位和个人在土地利用总体规划确定的土地开垦区内，开发未确定使用权的国有荒山、荒地、荒滩等未利用地从事种植业、林业、畜牧业、渔业生产的，应当向设区的市、县（市）人民政府自然资源行政主管部门提出申请，并按下列权限报经批准后方可进行开发：（一）一次性开发不超过50公顷的，由县（市）人民政府批准；（二）一次性开发超过50公顷的，由设区的市人民政府批准。</w:t>
            </w:r>
          </w:p>
          <w:p w14:paraId="082B17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五条：违反本办法第三十条规定，在土地利用总体规划确定的土地开垦区内，未经批准擅自开发土地的，由县级以上人民政府自然资源行政主管部门责令其限期办理报批手续；逾期不办理的，责令其停止开发，可以并处非法开发土地每平方米1元以上3元以下的罚款。</w:t>
            </w:r>
          </w:p>
        </w:tc>
        <w:tc>
          <w:tcPr>
            <w:tcW w:w="3720" w:type="dxa"/>
            <w:vAlign w:val="center"/>
          </w:tcPr>
          <w:p w14:paraId="6EE47E2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9FB319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EFC66E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E8B300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2204BB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1B1486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0C7764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1D5E2A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170" w:type="dxa"/>
            <w:vAlign w:val="center"/>
          </w:tcPr>
          <w:p w14:paraId="3B7795B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CE69D8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44079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E9EE6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E2FBF8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159C90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0510CF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5FC4A2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54F95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37F3B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AC3CC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64E8E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3569F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CD05F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65403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59ADA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26CF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B9443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5FC47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B99047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5B4C62D">
            <w:pPr>
              <w:snapToGrid w:val="0"/>
              <w:spacing w:line="240" w:lineRule="atLeast"/>
              <w:jc w:val="center"/>
              <w:rPr>
                <w:rFonts w:ascii="仿宋_GB2312" w:hAnsi="仿宋_GB2312" w:eastAsia="仿宋_GB2312" w:cs="仿宋_GB2312"/>
                <w:sz w:val="20"/>
                <w:szCs w:val="20"/>
              </w:rPr>
            </w:pPr>
          </w:p>
        </w:tc>
      </w:tr>
    </w:tbl>
    <w:p w14:paraId="39AF66A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39"/>
        <w:gridCol w:w="630"/>
        <w:gridCol w:w="705"/>
        <w:gridCol w:w="1035"/>
        <w:gridCol w:w="4110"/>
        <w:gridCol w:w="4170"/>
        <w:gridCol w:w="9485"/>
        <w:gridCol w:w="330"/>
      </w:tblGrid>
      <w:tr w14:paraId="022D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A0DCA12">
            <w:pPr>
              <w:snapToGrid w:val="0"/>
              <w:spacing w:line="240" w:lineRule="atLeast"/>
              <w:jc w:val="left"/>
              <w:rPr>
                <w:rFonts w:asciiTheme="majorEastAsia" w:hAnsiTheme="majorEastAsia" w:eastAsiaTheme="majorEastAsia" w:cstheme="majorEastAsia"/>
                <w:spacing w:val="-23"/>
                <w:sz w:val="20"/>
                <w:szCs w:val="20"/>
              </w:rPr>
            </w:pPr>
          </w:p>
          <w:p w14:paraId="67223FC2">
            <w:pPr>
              <w:snapToGrid w:val="0"/>
              <w:spacing w:line="240" w:lineRule="atLeast"/>
              <w:jc w:val="left"/>
              <w:rPr>
                <w:rFonts w:asciiTheme="majorEastAsia" w:hAnsiTheme="majorEastAsia" w:eastAsiaTheme="majorEastAsia" w:cstheme="majorEastAsia"/>
                <w:spacing w:val="-23"/>
                <w:sz w:val="20"/>
                <w:szCs w:val="20"/>
              </w:rPr>
            </w:pPr>
          </w:p>
          <w:p w14:paraId="5FB98E05">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39001F9">
            <w:pPr>
              <w:spacing w:line="240" w:lineRule="atLeast"/>
              <w:rPr>
                <w:rFonts w:asciiTheme="majorEastAsia" w:hAnsiTheme="majorEastAsia" w:eastAsiaTheme="majorEastAsia" w:cstheme="majorEastAsia"/>
                <w:spacing w:val="-20"/>
                <w:sz w:val="20"/>
                <w:szCs w:val="20"/>
              </w:rPr>
            </w:pPr>
          </w:p>
          <w:p w14:paraId="488478E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219" w:type="dxa"/>
            <w:gridSpan w:val="5"/>
            <w:vAlign w:val="center"/>
          </w:tcPr>
          <w:p w14:paraId="1E977F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655" w:type="dxa"/>
            <w:gridSpan w:val="2"/>
            <w:vAlign w:val="center"/>
          </w:tcPr>
          <w:p w14:paraId="4878A6C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2473A1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578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98CF473">
            <w:pPr>
              <w:spacing w:line="240" w:lineRule="atLeast"/>
              <w:jc w:val="left"/>
              <w:rPr>
                <w:rFonts w:ascii="仿宋_GB2312" w:hAnsi="仿宋_GB2312" w:eastAsia="仿宋_GB2312" w:cs="仿宋_GB2312"/>
                <w:sz w:val="20"/>
                <w:szCs w:val="20"/>
              </w:rPr>
            </w:pPr>
          </w:p>
        </w:tc>
        <w:tc>
          <w:tcPr>
            <w:tcW w:w="555" w:type="dxa"/>
            <w:vMerge w:val="continue"/>
          </w:tcPr>
          <w:p w14:paraId="279B26D6">
            <w:pPr>
              <w:spacing w:line="240" w:lineRule="atLeast"/>
              <w:jc w:val="left"/>
              <w:rPr>
                <w:rFonts w:ascii="仿宋_GB2312" w:hAnsi="仿宋_GB2312" w:eastAsia="仿宋_GB2312" w:cs="仿宋_GB2312"/>
                <w:sz w:val="20"/>
                <w:szCs w:val="20"/>
              </w:rPr>
            </w:pPr>
          </w:p>
        </w:tc>
        <w:tc>
          <w:tcPr>
            <w:tcW w:w="739" w:type="dxa"/>
            <w:vAlign w:val="center"/>
          </w:tcPr>
          <w:p w14:paraId="3F5AF05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1149D7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30" w:type="dxa"/>
            <w:vAlign w:val="center"/>
          </w:tcPr>
          <w:p w14:paraId="3D18402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705" w:type="dxa"/>
            <w:vAlign w:val="center"/>
          </w:tcPr>
          <w:p w14:paraId="65BD1C7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35" w:type="dxa"/>
            <w:vAlign w:val="center"/>
          </w:tcPr>
          <w:p w14:paraId="6583F07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110" w:type="dxa"/>
            <w:vAlign w:val="center"/>
          </w:tcPr>
          <w:p w14:paraId="5BB57DC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70" w:type="dxa"/>
            <w:vAlign w:val="center"/>
          </w:tcPr>
          <w:p w14:paraId="46CA449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85A944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85" w:type="dxa"/>
            <w:vAlign w:val="center"/>
          </w:tcPr>
          <w:p w14:paraId="7C65631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AD23762">
            <w:pPr>
              <w:spacing w:line="240" w:lineRule="atLeast"/>
              <w:jc w:val="left"/>
              <w:rPr>
                <w:rFonts w:ascii="仿宋_GB2312" w:hAnsi="仿宋_GB2312" w:eastAsia="仿宋_GB2312" w:cs="仿宋_GB2312"/>
                <w:sz w:val="20"/>
                <w:szCs w:val="20"/>
              </w:rPr>
            </w:pPr>
          </w:p>
        </w:tc>
      </w:tr>
      <w:tr w14:paraId="51D8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AF48AE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36</w:t>
            </w:r>
          </w:p>
        </w:tc>
        <w:tc>
          <w:tcPr>
            <w:tcW w:w="555" w:type="dxa"/>
            <w:vAlign w:val="center"/>
          </w:tcPr>
          <w:p w14:paraId="76426A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0EF1A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82006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39" w:type="dxa"/>
            <w:vAlign w:val="center"/>
          </w:tcPr>
          <w:p w14:paraId="5895D9E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对在土地利用总体规划制定前已建的不符合土地利用总体规划确定用途的建筑物、构筑物重建、扩建行为的处罚</w:t>
            </w:r>
          </w:p>
        </w:tc>
        <w:tc>
          <w:tcPr>
            <w:tcW w:w="630" w:type="dxa"/>
            <w:vAlign w:val="center"/>
          </w:tcPr>
          <w:p w14:paraId="43443F7E">
            <w:pPr>
              <w:snapToGrid w:val="0"/>
              <w:spacing w:line="240" w:lineRule="atLeast"/>
              <w:jc w:val="center"/>
              <w:rPr>
                <w:rFonts w:ascii="仿宋_GB2312" w:hAnsi="仿宋_GB2312" w:eastAsia="仿宋_GB2312" w:cs="仿宋_GB2312"/>
                <w:sz w:val="20"/>
                <w:szCs w:val="20"/>
              </w:rPr>
            </w:pPr>
          </w:p>
        </w:tc>
        <w:tc>
          <w:tcPr>
            <w:tcW w:w="705" w:type="dxa"/>
            <w:vAlign w:val="center"/>
          </w:tcPr>
          <w:p w14:paraId="279448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35" w:type="dxa"/>
            <w:vAlign w:val="center"/>
          </w:tcPr>
          <w:p w14:paraId="67F5EB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110" w:type="dxa"/>
            <w:vAlign w:val="center"/>
          </w:tcPr>
          <w:p w14:paraId="3E791BB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1.【法律】《中华人民共和国土地管理法》第六十五条：在土地利用总体规划制定前已建的不符合土地利用总体规划确定的用途的建筑物、构筑物，不得重建、扩建。</w:t>
            </w:r>
          </w:p>
          <w:p w14:paraId="3691B49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2.【行政法规】《中华人民共和国土地管理法实施条例》（1998年国务院令第256号公布，2021年国务院令第743号第三次修订）第五十三条： 违反《土地管理法》第六十五条的规定，对建筑物、构筑物进行重建、扩建的，由县级以上人民政府自然资源主管部门责令限期拆除；逾期不拆除的，由作出行政决定的机关依法申请人民法院强制执行。</w:t>
            </w:r>
          </w:p>
        </w:tc>
        <w:tc>
          <w:tcPr>
            <w:tcW w:w="4170" w:type="dxa"/>
            <w:vAlign w:val="center"/>
          </w:tcPr>
          <w:p w14:paraId="68E28F7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55FC6C9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006918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57428A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8C8D27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F99219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933CBD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8DA7A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85" w:type="dxa"/>
            <w:vAlign w:val="center"/>
          </w:tcPr>
          <w:p w14:paraId="6572A49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82F88F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55DA5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1BCDD0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614531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8F3DB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2E600E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537BEE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6F017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4F40C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CA610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449B6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0480A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E438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A1143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5457D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47820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4949B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9F545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0A92F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473BB18">
            <w:pPr>
              <w:snapToGrid w:val="0"/>
              <w:spacing w:line="240" w:lineRule="atLeast"/>
              <w:jc w:val="center"/>
              <w:rPr>
                <w:rFonts w:ascii="仿宋_GB2312" w:hAnsi="仿宋_GB2312" w:eastAsia="仿宋_GB2312" w:cs="仿宋_GB2312"/>
                <w:sz w:val="20"/>
                <w:szCs w:val="20"/>
              </w:rPr>
            </w:pPr>
          </w:p>
        </w:tc>
      </w:tr>
    </w:tbl>
    <w:p w14:paraId="251ADFA8"/>
    <w:p w14:paraId="2CC1CA8D"/>
    <w:p w14:paraId="47D0E70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300"/>
        <w:gridCol w:w="3885"/>
        <w:gridCol w:w="9830"/>
        <w:gridCol w:w="330"/>
      </w:tblGrid>
      <w:tr w14:paraId="466A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235FA10">
            <w:pPr>
              <w:snapToGrid w:val="0"/>
              <w:spacing w:line="240" w:lineRule="atLeast"/>
              <w:jc w:val="left"/>
              <w:rPr>
                <w:rFonts w:asciiTheme="majorEastAsia" w:hAnsiTheme="majorEastAsia" w:eastAsiaTheme="majorEastAsia" w:cstheme="majorEastAsia"/>
                <w:spacing w:val="-23"/>
                <w:sz w:val="20"/>
                <w:szCs w:val="20"/>
              </w:rPr>
            </w:pPr>
          </w:p>
          <w:p w14:paraId="0E8735F1">
            <w:pPr>
              <w:snapToGrid w:val="0"/>
              <w:spacing w:line="240" w:lineRule="atLeast"/>
              <w:jc w:val="left"/>
              <w:rPr>
                <w:rFonts w:asciiTheme="majorEastAsia" w:hAnsiTheme="majorEastAsia" w:eastAsiaTheme="majorEastAsia" w:cstheme="majorEastAsia"/>
                <w:spacing w:val="-23"/>
                <w:sz w:val="20"/>
                <w:szCs w:val="20"/>
              </w:rPr>
            </w:pPr>
          </w:p>
          <w:p w14:paraId="4803C3CD">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455587F5">
            <w:pPr>
              <w:spacing w:line="240" w:lineRule="atLeast"/>
              <w:rPr>
                <w:rFonts w:asciiTheme="majorEastAsia" w:hAnsiTheme="majorEastAsia" w:eastAsiaTheme="majorEastAsia" w:cstheme="majorEastAsia"/>
                <w:spacing w:val="-20"/>
                <w:sz w:val="20"/>
                <w:szCs w:val="20"/>
              </w:rPr>
            </w:pPr>
          </w:p>
          <w:p w14:paraId="710481F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159" w:type="dxa"/>
            <w:gridSpan w:val="5"/>
            <w:vAlign w:val="center"/>
          </w:tcPr>
          <w:p w14:paraId="611DCA4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715" w:type="dxa"/>
            <w:gridSpan w:val="2"/>
            <w:vAlign w:val="center"/>
          </w:tcPr>
          <w:p w14:paraId="32676C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9B46DC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209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B27849D">
            <w:pPr>
              <w:spacing w:line="240" w:lineRule="atLeast"/>
              <w:jc w:val="left"/>
              <w:rPr>
                <w:rFonts w:ascii="仿宋_GB2312" w:hAnsi="仿宋_GB2312" w:eastAsia="仿宋_GB2312" w:cs="仿宋_GB2312"/>
                <w:sz w:val="20"/>
                <w:szCs w:val="20"/>
              </w:rPr>
            </w:pPr>
          </w:p>
        </w:tc>
        <w:tc>
          <w:tcPr>
            <w:tcW w:w="555" w:type="dxa"/>
            <w:vMerge w:val="continue"/>
          </w:tcPr>
          <w:p w14:paraId="067FB9CE">
            <w:pPr>
              <w:spacing w:line="240" w:lineRule="atLeast"/>
              <w:jc w:val="left"/>
              <w:rPr>
                <w:rFonts w:ascii="仿宋_GB2312" w:hAnsi="仿宋_GB2312" w:eastAsia="仿宋_GB2312" w:cs="仿宋_GB2312"/>
                <w:sz w:val="20"/>
                <w:szCs w:val="20"/>
              </w:rPr>
            </w:pPr>
          </w:p>
        </w:tc>
        <w:tc>
          <w:tcPr>
            <w:tcW w:w="600" w:type="dxa"/>
            <w:vAlign w:val="center"/>
          </w:tcPr>
          <w:p w14:paraId="5D4FB684">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5894E2D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49C0BD6">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17D7ED5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00" w:type="dxa"/>
            <w:vAlign w:val="center"/>
          </w:tcPr>
          <w:p w14:paraId="5EC6332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85" w:type="dxa"/>
            <w:vAlign w:val="center"/>
          </w:tcPr>
          <w:p w14:paraId="7705F8C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13F95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830" w:type="dxa"/>
            <w:vAlign w:val="center"/>
          </w:tcPr>
          <w:p w14:paraId="4777DCC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86BAD7C">
            <w:pPr>
              <w:spacing w:line="240" w:lineRule="atLeast"/>
              <w:jc w:val="left"/>
              <w:rPr>
                <w:rFonts w:ascii="仿宋_GB2312" w:hAnsi="仿宋_GB2312" w:eastAsia="仿宋_GB2312" w:cs="仿宋_GB2312"/>
                <w:sz w:val="20"/>
                <w:szCs w:val="20"/>
              </w:rPr>
            </w:pPr>
          </w:p>
        </w:tc>
      </w:tr>
      <w:tr w14:paraId="24FD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1E0AD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37</w:t>
            </w:r>
          </w:p>
        </w:tc>
        <w:tc>
          <w:tcPr>
            <w:tcW w:w="555" w:type="dxa"/>
            <w:vAlign w:val="center"/>
          </w:tcPr>
          <w:p w14:paraId="70261C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4780E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C20E9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08655C2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对超过批准的数量占用土地行为的处罚</w:t>
            </w:r>
          </w:p>
        </w:tc>
        <w:tc>
          <w:tcPr>
            <w:tcW w:w="645" w:type="dxa"/>
            <w:vAlign w:val="center"/>
          </w:tcPr>
          <w:p w14:paraId="71C217D1">
            <w:pPr>
              <w:snapToGrid w:val="0"/>
              <w:spacing w:line="240" w:lineRule="atLeast"/>
              <w:jc w:val="center"/>
              <w:rPr>
                <w:rFonts w:ascii="仿宋_GB2312" w:hAnsi="仿宋_GB2312" w:eastAsia="仿宋_GB2312" w:cs="仿宋_GB2312"/>
                <w:sz w:val="20"/>
                <w:szCs w:val="20"/>
              </w:rPr>
            </w:pPr>
          </w:p>
        </w:tc>
        <w:tc>
          <w:tcPr>
            <w:tcW w:w="585" w:type="dxa"/>
            <w:vAlign w:val="center"/>
          </w:tcPr>
          <w:p w14:paraId="7C08788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22D01F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00" w:type="dxa"/>
            <w:vAlign w:val="center"/>
          </w:tcPr>
          <w:p w14:paraId="2D2D776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1.【法律】《中华人民共和国土地管理法》第七十七条第二款 ：超过批准的数量占用土地，多占的土地以非法占用土地论处。</w:t>
            </w:r>
          </w:p>
          <w:p w14:paraId="57A5211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544AD12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3885" w:type="dxa"/>
            <w:vAlign w:val="center"/>
          </w:tcPr>
          <w:p w14:paraId="0AEFEAE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F3375A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E499F6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2D5BDF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06FBD5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047481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F6DEAE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22FD10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830" w:type="dxa"/>
            <w:vAlign w:val="center"/>
          </w:tcPr>
          <w:p w14:paraId="72F5D7E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C2F7D0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0F46A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1F118E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92C91E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3FA5D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040762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82FB7D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2AE72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3A50C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20C2E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3A6F1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9350F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E5FBC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580A8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A64EB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9F4B6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ADBE6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4D68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4E2B3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081884D">
            <w:pPr>
              <w:snapToGrid w:val="0"/>
              <w:spacing w:line="240" w:lineRule="atLeast"/>
              <w:jc w:val="center"/>
              <w:rPr>
                <w:rFonts w:ascii="仿宋_GB2312" w:hAnsi="仿宋_GB2312" w:eastAsia="仿宋_GB2312" w:cs="仿宋_GB2312"/>
                <w:sz w:val="20"/>
                <w:szCs w:val="20"/>
              </w:rPr>
            </w:pPr>
          </w:p>
        </w:tc>
      </w:tr>
    </w:tbl>
    <w:p w14:paraId="67E79683"/>
    <w:p w14:paraId="32E253B2"/>
    <w:p w14:paraId="3DA022E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29"/>
        <w:gridCol w:w="645"/>
        <w:gridCol w:w="660"/>
        <w:gridCol w:w="945"/>
        <w:gridCol w:w="4395"/>
        <w:gridCol w:w="3765"/>
        <w:gridCol w:w="9635"/>
        <w:gridCol w:w="330"/>
      </w:tblGrid>
      <w:tr w14:paraId="6F46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AA75CA">
            <w:pPr>
              <w:snapToGrid w:val="0"/>
              <w:spacing w:line="240" w:lineRule="atLeast"/>
              <w:jc w:val="left"/>
              <w:rPr>
                <w:rFonts w:asciiTheme="majorEastAsia" w:hAnsiTheme="majorEastAsia" w:eastAsiaTheme="majorEastAsia" w:cstheme="majorEastAsia"/>
                <w:spacing w:val="-23"/>
                <w:sz w:val="20"/>
                <w:szCs w:val="20"/>
              </w:rPr>
            </w:pPr>
          </w:p>
          <w:p w14:paraId="160220B5">
            <w:pPr>
              <w:snapToGrid w:val="0"/>
              <w:spacing w:line="240" w:lineRule="atLeast"/>
              <w:jc w:val="left"/>
              <w:rPr>
                <w:rFonts w:asciiTheme="majorEastAsia" w:hAnsiTheme="majorEastAsia" w:eastAsiaTheme="majorEastAsia" w:cstheme="majorEastAsia"/>
                <w:spacing w:val="-23"/>
                <w:sz w:val="20"/>
                <w:szCs w:val="20"/>
              </w:rPr>
            </w:pPr>
          </w:p>
          <w:p w14:paraId="2B52AA45">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1C11FAF">
            <w:pPr>
              <w:spacing w:line="240" w:lineRule="atLeast"/>
              <w:rPr>
                <w:rFonts w:asciiTheme="majorEastAsia" w:hAnsiTheme="majorEastAsia" w:eastAsiaTheme="majorEastAsia" w:cstheme="majorEastAsia"/>
                <w:spacing w:val="-20"/>
                <w:sz w:val="20"/>
                <w:szCs w:val="20"/>
              </w:rPr>
            </w:pPr>
          </w:p>
          <w:p w14:paraId="662B0BF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474" w:type="dxa"/>
            <w:gridSpan w:val="5"/>
            <w:vAlign w:val="center"/>
          </w:tcPr>
          <w:p w14:paraId="333F8BC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400" w:type="dxa"/>
            <w:gridSpan w:val="2"/>
            <w:vAlign w:val="center"/>
          </w:tcPr>
          <w:p w14:paraId="157165C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C12D71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91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874D3C2">
            <w:pPr>
              <w:spacing w:line="240" w:lineRule="atLeast"/>
              <w:jc w:val="left"/>
              <w:rPr>
                <w:rFonts w:ascii="仿宋_GB2312" w:hAnsi="仿宋_GB2312" w:eastAsia="仿宋_GB2312" w:cs="仿宋_GB2312"/>
                <w:sz w:val="20"/>
                <w:szCs w:val="20"/>
              </w:rPr>
            </w:pPr>
          </w:p>
        </w:tc>
        <w:tc>
          <w:tcPr>
            <w:tcW w:w="555" w:type="dxa"/>
            <w:vMerge w:val="continue"/>
          </w:tcPr>
          <w:p w14:paraId="14FB7862">
            <w:pPr>
              <w:spacing w:line="240" w:lineRule="atLeast"/>
              <w:jc w:val="left"/>
              <w:rPr>
                <w:rFonts w:ascii="仿宋_GB2312" w:hAnsi="仿宋_GB2312" w:eastAsia="仿宋_GB2312" w:cs="仿宋_GB2312"/>
                <w:sz w:val="20"/>
                <w:szCs w:val="20"/>
              </w:rPr>
            </w:pPr>
          </w:p>
        </w:tc>
        <w:tc>
          <w:tcPr>
            <w:tcW w:w="829" w:type="dxa"/>
            <w:vAlign w:val="center"/>
          </w:tcPr>
          <w:p w14:paraId="3B6EA3B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0AC065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20E9D6B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2AF55C8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45" w:type="dxa"/>
            <w:vAlign w:val="center"/>
          </w:tcPr>
          <w:p w14:paraId="4B77027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95" w:type="dxa"/>
            <w:vAlign w:val="center"/>
          </w:tcPr>
          <w:p w14:paraId="161FB32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65" w:type="dxa"/>
            <w:vAlign w:val="center"/>
          </w:tcPr>
          <w:p w14:paraId="5DE3F41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4923E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635" w:type="dxa"/>
            <w:vAlign w:val="center"/>
          </w:tcPr>
          <w:p w14:paraId="2EAE126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51551BD7">
            <w:pPr>
              <w:spacing w:line="240" w:lineRule="atLeast"/>
              <w:jc w:val="left"/>
              <w:rPr>
                <w:rFonts w:ascii="仿宋_GB2312" w:hAnsi="仿宋_GB2312" w:eastAsia="仿宋_GB2312" w:cs="仿宋_GB2312"/>
                <w:sz w:val="20"/>
                <w:szCs w:val="20"/>
              </w:rPr>
            </w:pPr>
          </w:p>
        </w:tc>
      </w:tr>
      <w:tr w14:paraId="322A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9E002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38</w:t>
            </w:r>
          </w:p>
        </w:tc>
        <w:tc>
          <w:tcPr>
            <w:tcW w:w="555" w:type="dxa"/>
            <w:vAlign w:val="center"/>
          </w:tcPr>
          <w:p w14:paraId="64C5E9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EA972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03EF7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29" w:type="dxa"/>
            <w:vAlign w:val="center"/>
          </w:tcPr>
          <w:p w14:paraId="6231AC0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对未经批准或者采取欺骗手段骗取批准，非法占用土地行为的处罚</w:t>
            </w:r>
          </w:p>
        </w:tc>
        <w:tc>
          <w:tcPr>
            <w:tcW w:w="645" w:type="dxa"/>
            <w:vAlign w:val="center"/>
          </w:tcPr>
          <w:p w14:paraId="6491E7A5">
            <w:pPr>
              <w:snapToGrid w:val="0"/>
              <w:spacing w:line="240" w:lineRule="atLeast"/>
              <w:jc w:val="center"/>
              <w:rPr>
                <w:rFonts w:ascii="仿宋_GB2312" w:hAnsi="仿宋_GB2312" w:eastAsia="仿宋_GB2312" w:cs="仿宋_GB2312"/>
                <w:sz w:val="20"/>
                <w:szCs w:val="20"/>
              </w:rPr>
            </w:pPr>
          </w:p>
        </w:tc>
        <w:tc>
          <w:tcPr>
            <w:tcW w:w="660" w:type="dxa"/>
            <w:vAlign w:val="center"/>
          </w:tcPr>
          <w:p w14:paraId="65012A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45" w:type="dxa"/>
            <w:vAlign w:val="center"/>
          </w:tcPr>
          <w:p w14:paraId="0A130D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95" w:type="dxa"/>
            <w:vAlign w:val="center"/>
          </w:tcPr>
          <w:p w14:paraId="5498FD8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七条第一款：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0D3409A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73197C0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3765" w:type="dxa"/>
            <w:vAlign w:val="center"/>
          </w:tcPr>
          <w:p w14:paraId="4E0B911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73B022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547961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4BE29B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462B9B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0B5D73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F1DDCF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41E7B9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635" w:type="dxa"/>
            <w:vAlign w:val="center"/>
          </w:tcPr>
          <w:p w14:paraId="0D6565C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B5376B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7D36D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9E721D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FDB6C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3F12DD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5ABC8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F01B59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6A137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380B0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27625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F660B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70FAB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4614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83645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24F25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731C0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3453B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72031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CA0EE1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6C31A21">
            <w:pPr>
              <w:snapToGrid w:val="0"/>
              <w:spacing w:line="240" w:lineRule="atLeast"/>
              <w:jc w:val="center"/>
              <w:rPr>
                <w:rFonts w:ascii="仿宋_GB2312" w:hAnsi="仿宋_GB2312" w:eastAsia="仿宋_GB2312" w:cs="仿宋_GB2312"/>
                <w:sz w:val="20"/>
                <w:szCs w:val="20"/>
              </w:rPr>
            </w:pPr>
          </w:p>
        </w:tc>
      </w:tr>
    </w:tbl>
    <w:p w14:paraId="2E04C9C6"/>
    <w:p w14:paraId="2E8AA014"/>
    <w:p w14:paraId="41DE7CE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69"/>
        <w:gridCol w:w="615"/>
        <w:gridCol w:w="585"/>
        <w:gridCol w:w="1065"/>
        <w:gridCol w:w="4410"/>
        <w:gridCol w:w="3975"/>
        <w:gridCol w:w="9455"/>
        <w:gridCol w:w="330"/>
      </w:tblGrid>
      <w:tr w14:paraId="3400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B2002C9">
            <w:pPr>
              <w:snapToGrid w:val="0"/>
              <w:spacing w:line="240" w:lineRule="atLeast"/>
              <w:jc w:val="left"/>
              <w:rPr>
                <w:rFonts w:asciiTheme="majorEastAsia" w:hAnsiTheme="majorEastAsia" w:eastAsiaTheme="majorEastAsia" w:cstheme="majorEastAsia"/>
                <w:spacing w:val="-23"/>
                <w:sz w:val="20"/>
                <w:szCs w:val="20"/>
              </w:rPr>
            </w:pPr>
          </w:p>
          <w:p w14:paraId="151F56B2">
            <w:pPr>
              <w:snapToGrid w:val="0"/>
              <w:spacing w:line="240" w:lineRule="atLeast"/>
              <w:jc w:val="left"/>
              <w:rPr>
                <w:rFonts w:asciiTheme="majorEastAsia" w:hAnsiTheme="majorEastAsia" w:eastAsiaTheme="majorEastAsia" w:cstheme="majorEastAsia"/>
                <w:spacing w:val="-23"/>
                <w:sz w:val="20"/>
                <w:szCs w:val="20"/>
              </w:rPr>
            </w:pPr>
          </w:p>
          <w:p w14:paraId="57303995">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5E3F5FA2">
            <w:pPr>
              <w:spacing w:line="240" w:lineRule="atLeast"/>
              <w:rPr>
                <w:rFonts w:asciiTheme="majorEastAsia" w:hAnsiTheme="majorEastAsia" w:eastAsiaTheme="majorEastAsia" w:cstheme="majorEastAsia"/>
                <w:spacing w:val="-20"/>
                <w:sz w:val="20"/>
                <w:szCs w:val="20"/>
              </w:rPr>
            </w:pPr>
          </w:p>
          <w:p w14:paraId="656E0BE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444" w:type="dxa"/>
            <w:gridSpan w:val="5"/>
            <w:vAlign w:val="center"/>
          </w:tcPr>
          <w:p w14:paraId="3FCF340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430" w:type="dxa"/>
            <w:gridSpan w:val="2"/>
            <w:vAlign w:val="center"/>
          </w:tcPr>
          <w:p w14:paraId="66366B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919A9F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02F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606E477">
            <w:pPr>
              <w:spacing w:line="240" w:lineRule="atLeast"/>
              <w:jc w:val="left"/>
              <w:rPr>
                <w:rFonts w:ascii="仿宋_GB2312" w:hAnsi="仿宋_GB2312" w:eastAsia="仿宋_GB2312" w:cs="仿宋_GB2312"/>
                <w:sz w:val="20"/>
                <w:szCs w:val="20"/>
              </w:rPr>
            </w:pPr>
          </w:p>
        </w:tc>
        <w:tc>
          <w:tcPr>
            <w:tcW w:w="555" w:type="dxa"/>
            <w:vMerge w:val="continue"/>
          </w:tcPr>
          <w:p w14:paraId="3E5D972A">
            <w:pPr>
              <w:spacing w:line="240" w:lineRule="atLeast"/>
              <w:jc w:val="left"/>
              <w:rPr>
                <w:rFonts w:ascii="仿宋_GB2312" w:hAnsi="仿宋_GB2312" w:eastAsia="仿宋_GB2312" w:cs="仿宋_GB2312"/>
                <w:sz w:val="20"/>
                <w:szCs w:val="20"/>
              </w:rPr>
            </w:pPr>
          </w:p>
        </w:tc>
        <w:tc>
          <w:tcPr>
            <w:tcW w:w="769" w:type="dxa"/>
            <w:vAlign w:val="center"/>
          </w:tcPr>
          <w:p w14:paraId="71F33CEE">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FACCBF5">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47E09E52">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E1C2E71">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65" w:type="dxa"/>
            <w:vAlign w:val="center"/>
          </w:tcPr>
          <w:p w14:paraId="737D8CC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10" w:type="dxa"/>
            <w:vAlign w:val="center"/>
          </w:tcPr>
          <w:p w14:paraId="2F9B383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975" w:type="dxa"/>
            <w:vAlign w:val="center"/>
          </w:tcPr>
          <w:p w14:paraId="18BA346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6AB41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55" w:type="dxa"/>
            <w:vAlign w:val="center"/>
          </w:tcPr>
          <w:p w14:paraId="2C8C3E2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88A015B">
            <w:pPr>
              <w:spacing w:line="240" w:lineRule="atLeast"/>
              <w:jc w:val="left"/>
              <w:rPr>
                <w:rFonts w:ascii="仿宋_GB2312" w:hAnsi="仿宋_GB2312" w:eastAsia="仿宋_GB2312" w:cs="仿宋_GB2312"/>
                <w:sz w:val="20"/>
                <w:szCs w:val="20"/>
              </w:rPr>
            </w:pPr>
          </w:p>
        </w:tc>
      </w:tr>
      <w:tr w14:paraId="418A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D3C39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39</w:t>
            </w:r>
          </w:p>
        </w:tc>
        <w:tc>
          <w:tcPr>
            <w:tcW w:w="555" w:type="dxa"/>
            <w:vAlign w:val="center"/>
          </w:tcPr>
          <w:p w14:paraId="1A08D5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031E4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3E43E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69" w:type="dxa"/>
            <w:vAlign w:val="center"/>
          </w:tcPr>
          <w:p w14:paraId="58D8766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对有关当事人拒不归还非法批准、使用的土地行为的处罚</w:t>
            </w:r>
          </w:p>
        </w:tc>
        <w:tc>
          <w:tcPr>
            <w:tcW w:w="615" w:type="dxa"/>
            <w:vAlign w:val="center"/>
          </w:tcPr>
          <w:p w14:paraId="17001EF8">
            <w:pPr>
              <w:snapToGrid w:val="0"/>
              <w:spacing w:line="240" w:lineRule="atLeast"/>
              <w:jc w:val="center"/>
              <w:rPr>
                <w:rFonts w:ascii="仿宋_GB2312" w:hAnsi="仿宋_GB2312" w:eastAsia="仿宋_GB2312" w:cs="仿宋_GB2312"/>
                <w:sz w:val="20"/>
                <w:szCs w:val="20"/>
              </w:rPr>
            </w:pPr>
          </w:p>
        </w:tc>
        <w:tc>
          <w:tcPr>
            <w:tcW w:w="585" w:type="dxa"/>
            <w:vAlign w:val="center"/>
          </w:tcPr>
          <w:p w14:paraId="17821E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65" w:type="dxa"/>
            <w:vAlign w:val="center"/>
          </w:tcPr>
          <w:p w14:paraId="1EB418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10" w:type="dxa"/>
            <w:vAlign w:val="center"/>
          </w:tcPr>
          <w:p w14:paraId="3D385FB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九条：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处分；构成犯罪的，依法追究刑事责任。非法批准、使用的土地应当收回，有关当事人拒不归还的，以非法占用土地论处。</w:t>
            </w:r>
          </w:p>
          <w:p w14:paraId="5E5CB78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非法批准征收、使用土地，对当事人造成损失的，依法应当承担赔偿责任。</w:t>
            </w:r>
          </w:p>
          <w:p w14:paraId="4F8EBF4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26ECAC8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超过批准的数量占用土地，多占的土地以非法占用土地论处。</w:t>
            </w:r>
          </w:p>
          <w:p w14:paraId="56D9581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08BA65F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tc>
        <w:tc>
          <w:tcPr>
            <w:tcW w:w="3975" w:type="dxa"/>
            <w:vAlign w:val="center"/>
          </w:tcPr>
          <w:p w14:paraId="6983FF7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028A73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DC3A64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7568AC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20161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893449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F8B734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CA5A51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55" w:type="dxa"/>
            <w:vAlign w:val="center"/>
          </w:tcPr>
          <w:p w14:paraId="010BCE8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D7A87A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BB73C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19E6E9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8F9C9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927DEC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C0CF2F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0D31F8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09666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223E6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935D1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B4782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2815D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25C5A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D1F75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100B3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6F87E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DD2AC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5B2B0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D4142F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2DEEFAC">
            <w:pPr>
              <w:snapToGrid w:val="0"/>
              <w:spacing w:line="240" w:lineRule="atLeast"/>
              <w:jc w:val="center"/>
              <w:rPr>
                <w:rFonts w:ascii="仿宋_GB2312" w:hAnsi="仿宋_GB2312" w:eastAsia="仿宋_GB2312" w:cs="仿宋_GB2312"/>
                <w:sz w:val="20"/>
                <w:szCs w:val="20"/>
              </w:rPr>
            </w:pPr>
          </w:p>
        </w:tc>
      </w:tr>
    </w:tbl>
    <w:p w14:paraId="6EF1D56B"/>
    <w:p w14:paraId="04B12FC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54"/>
        <w:gridCol w:w="645"/>
        <w:gridCol w:w="660"/>
        <w:gridCol w:w="960"/>
        <w:gridCol w:w="5100"/>
        <w:gridCol w:w="3450"/>
        <w:gridCol w:w="9305"/>
        <w:gridCol w:w="330"/>
      </w:tblGrid>
      <w:tr w14:paraId="10E7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42697A7">
            <w:pPr>
              <w:snapToGrid w:val="0"/>
              <w:spacing w:line="240" w:lineRule="atLeast"/>
              <w:jc w:val="left"/>
              <w:rPr>
                <w:rFonts w:asciiTheme="majorEastAsia" w:hAnsiTheme="majorEastAsia" w:eastAsiaTheme="majorEastAsia" w:cstheme="majorEastAsia"/>
                <w:spacing w:val="-23"/>
                <w:sz w:val="20"/>
                <w:szCs w:val="20"/>
              </w:rPr>
            </w:pPr>
          </w:p>
          <w:p w14:paraId="2146FD68">
            <w:pPr>
              <w:snapToGrid w:val="0"/>
              <w:spacing w:line="240" w:lineRule="atLeast"/>
              <w:jc w:val="left"/>
              <w:rPr>
                <w:rFonts w:asciiTheme="majorEastAsia" w:hAnsiTheme="majorEastAsia" w:eastAsiaTheme="majorEastAsia" w:cstheme="majorEastAsia"/>
                <w:spacing w:val="-23"/>
                <w:sz w:val="20"/>
                <w:szCs w:val="20"/>
              </w:rPr>
            </w:pPr>
          </w:p>
          <w:p w14:paraId="75C6D0CE">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0C5CCDC">
            <w:pPr>
              <w:spacing w:line="240" w:lineRule="atLeast"/>
              <w:rPr>
                <w:rFonts w:asciiTheme="majorEastAsia" w:hAnsiTheme="majorEastAsia" w:eastAsiaTheme="majorEastAsia" w:cstheme="majorEastAsia"/>
                <w:spacing w:val="-20"/>
                <w:sz w:val="20"/>
                <w:szCs w:val="20"/>
              </w:rPr>
            </w:pPr>
          </w:p>
          <w:p w14:paraId="6CACAEB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119" w:type="dxa"/>
            <w:gridSpan w:val="5"/>
            <w:vAlign w:val="center"/>
          </w:tcPr>
          <w:p w14:paraId="4F89678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755" w:type="dxa"/>
            <w:gridSpan w:val="2"/>
            <w:vAlign w:val="center"/>
          </w:tcPr>
          <w:p w14:paraId="60C2498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00D652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6A8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C5395F5">
            <w:pPr>
              <w:spacing w:line="240" w:lineRule="atLeast"/>
              <w:jc w:val="left"/>
              <w:rPr>
                <w:rFonts w:ascii="仿宋_GB2312" w:hAnsi="仿宋_GB2312" w:eastAsia="仿宋_GB2312" w:cs="仿宋_GB2312"/>
                <w:sz w:val="20"/>
                <w:szCs w:val="20"/>
              </w:rPr>
            </w:pPr>
          </w:p>
        </w:tc>
        <w:tc>
          <w:tcPr>
            <w:tcW w:w="555" w:type="dxa"/>
            <w:vMerge w:val="continue"/>
          </w:tcPr>
          <w:p w14:paraId="1A89BA60">
            <w:pPr>
              <w:spacing w:line="240" w:lineRule="atLeast"/>
              <w:jc w:val="left"/>
              <w:rPr>
                <w:rFonts w:ascii="仿宋_GB2312" w:hAnsi="仿宋_GB2312" w:eastAsia="仿宋_GB2312" w:cs="仿宋_GB2312"/>
                <w:sz w:val="20"/>
                <w:szCs w:val="20"/>
              </w:rPr>
            </w:pPr>
          </w:p>
        </w:tc>
        <w:tc>
          <w:tcPr>
            <w:tcW w:w="754" w:type="dxa"/>
            <w:vAlign w:val="center"/>
          </w:tcPr>
          <w:p w14:paraId="578BC15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BEAE25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36582A5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7E219E9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60" w:type="dxa"/>
            <w:vAlign w:val="center"/>
          </w:tcPr>
          <w:p w14:paraId="06B75AD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100" w:type="dxa"/>
            <w:vAlign w:val="center"/>
          </w:tcPr>
          <w:p w14:paraId="2B78E2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50" w:type="dxa"/>
            <w:vAlign w:val="center"/>
          </w:tcPr>
          <w:p w14:paraId="7CE7B5D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3D6985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305" w:type="dxa"/>
            <w:vAlign w:val="center"/>
          </w:tcPr>
          <w:p w14:paraId="221E698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7F01052">
            <w:pPr>
              <w:spacing w:line="240" w:lineRule="atLeast"/>
              <w:jc w:val="left"/>
              <w:rPr>
                <w:rFonts w:ascii="仿宋_GB2312" w:hAnsi="仿宋_GB2312" w:eastAsia="仿宋_GB2312" w:cs="仿宋_GB2312"/>
                <w:sz w:val="20"/>
                <w:szCs w:val="20"/>
              </w:rPr>
            </w:pPr>
          </w:p>
        </w:tc>
      </w:tr>
      <w:tr w14:paraId="10AF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82425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40</w:t>
            </w:r>
          </w:p>
        </w:tc>
        <w:tc>
          <w:tcPr>
            <w:tcW w:w="555" w:type="dxa"/>
            <w:vAlign w:val="center"/>
          </w:tcPr>
          <w:p w14:paraId="05B27C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36D5B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DC79FD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54" w:type="dxa"/>
            <w:vAlign w:val="center"/>
          </w:tcPr>
          <w:p w14:paraId="6F7CDB3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对违规批准占用土地行为的处罚</w:t>
            </w:r>
          </w:p>
        </w:tc>
        <w:tc>
          <w:tcPr>
            <w:tcW w:w="645" w:type="dxa"/>
            <w:vAlign w:val="center"/>
          </w:tcPr>
          <w:p w14:paraId="64944D04">
            <w:pPr>
              <w:snapToGrid w:val="0"/>
              <w:spacing w:line="240" w:lineRule="atLeast"/>
              <w:jc w:val="center"/>
              <w:rPr>
                <w:rFonts w:ascii="仿宋_GB2312" w:hAnsi="仿宋_GB2312" w:eastAsia="仿宋_GB2312" w:cs="仿宋_GB2312"/>
                <w:sz w:val="20"/>
                <w:szCs w:val="20"/>
              </w:rPr>
            </w:pPr>
          </w:p>
        </w:tc>
        <w:tc>
          <w:tcPr>
            <w:tcW w:w="660" w:type="dxa"/>
            <w:vAlign w:val="center"/>
          </w:tcPr>
          <w:p w14:paraId="171598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60" w:type="dxa"/>
            <w:vAlign w:val="center"/>
          </w:tcPr>
          <w:p w14:paraId="5F298D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100" w:type="dxa"/>
            <w:vAlign w:val="center"/>
          </w:tcPr>
          <w:p w14:paraId="011CE4C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九条：无权批准征收、使用土地的单位或者个人非法批准占用土地的，超越批准权限非法批准占用土地的，不按照土地利用总体规划确定的用途批准用地的，或者违反法律规定的程序批准占用、征收土地的，其批准文件无效，对非法批准征收、使用土地的直接负责的主管人员和其他直接责任人员，依法给予处分；构成犯罪的，依法追究刑事责任。非法批准、使用的土地应当收回，有关当事人拒不归还的，以非法占用土地论处。</w:t>
            </w:r>
          </w:p>
          <w:p w14:paraId="7120CDA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非法批准征收、使用土地，对当事人造成损失的，依法应当承担赔偿责任。</w:t>
            </w:r>
          </w:p>
          <w:p w14:paraId="5DA9E21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十七条：未经批准或者采取欺骗手段骗取批准，非法占用土地的，由县级以上人民政府自然资源主管部门责令退还非法占用的土地，对违反土地利用总体规划擅自将农用地改为建设用地的，限期拆除在非法占用的土地上新建的建筑物和其他设施，恢复土地原状，对符合土地利用总体规划的，没收在非法占用的土地上新建的建筑物和其他设施，可以并处罚款；对非法占用土地单位的直接负责的主管人员和其他直接责任人员，依法给予处分；构成犯罪的，依法追究刑事责任。</w:t>
            </w:r>
          </w:p>
          <w:p w14:paraId="16BC463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超过批准的数量占用土地，多占的土地以非法占用土地论处。</w:t>
            </w:r>
          </w:p>
          <w:p w14:paraId="013FE0D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七条：依照《土地管理法》第七十七条的规定处以罚款的，罚款额为非法占用土地每平方米100元以上1000元以下。</w:t>
            </w:r>
          </w:p>
          <w:p w14:paraId="48AB042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违反本条例规定，在国土空间规划确定的禁止开垦的范围内从事土地开发活动的，由县级以上人民政府自然资源主管部门责令限期改正，并依照《土地管理法》第七十七条的规定处罚。</w:t>
            </w:r>
          </w:p>
          <w:p w14:paraId="0D4B14C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基本农田保护条例》（1998年国务院令第257号发布,2011年国务院令第588号修正）第三十条：违反本条例规定，有下列行为之一的，依照《中华人民共和国土地管理法》和《中华人民共和国土地管理法实施条例》的有关规定，从重给予处罚：</w:t>
            </w:r>
          </w:p>
          <w:p w14:paraId="26E1DFB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（一）未经批准或者采取欺骗手段骗取批准，非法占用基本农田的；</w:t>
            </w:r>
          </w:p>
          <w:p w14:paraId="2455187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（二）超过批准数量，非法占用基本农田的；</w:t>
            </w:r>
          </w:p>
          <w:p w14:paraId="6A5BB42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（三）非法批准占用基本农田的；</w:t>
            </w:r>
          </w:p>
          <w:p w14:paraId="399FB3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（四）买卖或者以其他形式非法转让基本农田的。</w:t>
            </w:r>
          </w:p>
        </w:tc>
        <w:tc>
          <w:tcPr>
            <w:tcW w:w="3450" w:type="dxa"/>
            <w:vAlign w:val="center"/>
          </w:tcPr>
          <w:p w14:paraId="11795AC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74B4A6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739DB2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3A2D7D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C69EBF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E9E8F1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AC3BBF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A8613D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305" w:type="dxa"/>
            <w:vAlign w:val="center"/>
          </w:tcPr>
          <w:p w14:paraId="437F87A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AB2418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B84FC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228D6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934189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CA5186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F5EBE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615B83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DC690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0BE9E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2262D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DAC7B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FE857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3EA9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6EE1C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13BBA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F1B91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C8277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8190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231E1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6005B6C">
            <w:pPr>
              <w:snapToGrid w:val="0"/>
              <w:spacing w:line="240" w:lineRule="atLeast"/>
              <w:jc w:val="center"/>
              <w:rPr>
                <w:rFonts w:ascii="仿宋_GB2312" w:hAnsi="仿宋_GB2312" w:eastAsia="仿宋_GB2312" w:cs="仿宋_GB2312"/>
                <w:sz w:val="20"/>
                <w:szCs w:val="20"/>
              </w:rPr>
            </w:pPr>
          </w:p>
        </w:tc>
      </w:tr>
    </w:tbl>
    <w:p w14:paraId="42EFE95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99"/>
        <w:gridCol w:w="675"/>
        <w:gridCol w:w="660"/>
        <w:gridCol w:w="1020"/>
        <w:gridCol w:w="4800"/>
        <w:gridCol w:w="3765"/>
        <w:gridCol w:w="9155"/>
        <w:gridCol w:w="330"/>
      </w:tblGrid>
      <w:tr w14:paraId="7063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C43AEE5">
            <w:pPr>
              <w:snapToGrid w:val="0"/>
              <w:spacing w:line="240" w:lineRule="atLeast"/>
              <w:jc w:val="left"/>
              <w:rPr>
                <w:rFonts w:asciiTheme="majorEastAsia" w:hAnsiTheme="majorEastAsia" w:eastAsiaTheme="majorEastAsia" w:cstheme="majorEastAsia"/>
                <w:spacing w:val="-23"/>
                <w:sz w:val="20"/>
                <w:szCs w:val="20"/>
              </w:rPr>
            </w:pPr>
          </w:p>
          <w:p w14:paraId="55BFA822">
            <w:pPr>
              <w:snapToGrid w:val="0"/>
              <w:spacing w:line="240" w:lineRule="atLeast"/>
              <w:jc w:val="left"/>
              <w:rPr>
                <w:rFonts w:asciiTheme="majorEastAsia" w:hAnsiTheme="majorEastAsia" w:eastAsiaTheme="majorEastAsia" w:cstheme="majorEastAsia"/>
                <w:spacing w:val="-23"/>
                <w:sz w:val="20"/>
                <w:szCs w:val="20"/>
              </w:rPr>
            </w:pPr>
          </w:p>
          <w:p w14:paraId="11941C22">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A24D7E0">
            <w:pPr>
              <w:spacing w:line="240" w:lineRule="atLeast"/>
              <w:rPr>
                <w:rFonts w:asciiTheme="majorEastAsia" w:hAnsiTheme="majorEastAsia" w:eastAsiaTheme="majorEastAsia" w:cstheme="majorEastAsia"/>
                <w:spacing w:val="-20"/>
                <w:sz w:val="20"/>
                <w:szCs w:val="20"/>
              </w:rPr>
            </w:pPr>
          </w:p>
          <w:p w14:paraId="1DDEBCA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954" w:type="dxa"/>
            <w:gridSpan w:val="5"/>
            <w:vAlign w:val="center"/>
          </w:tcPr>
          <w:p w14:paraId="0A14396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920" w:type="dxa"/>
            <w:gridSpan w:val="2"/>
            <w:vAlign w:val="center"/>
          </w:tcPr>
          <w:p w14:paraId="2EEBB6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2B8636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BBD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73B42F">
            <w:pPr>
              <w:spacing w:line="240" w:lineRule="atLeast"/>
              <w:jc w:val="left"/>
              <w:rPr>
                <w:rFonts w:ascii="仿宋_GB2312" w:hAnsi="仿宋_GB2312" w:eastAsia="仿宋_GB2312" w:cs="仿宋_GB2312"/>
                <w:sz w:val="20"/>
                <w:szCs w:val="20"/>
              </w:rPr>
            </w:pPr>
          </w:p>
        </w:tc>
        <w:tc>
          <w:tcPr>
            <w:tcW w:w="555" w:type="dxa"/>
            <w:vMerge w:val="continue"/>
          </w:tcPr>
          <w:p w14:paraId="79C6FD0A">
            <w:pPr>
              <w:spacing w:line="240" w:lineRule="atLeast"/>
              <w:jc w:val="left"/>
              <w:rPr>
                <w:rFonts w:ascii="仿宋_GB2312" w:hAnsi="仿宋_GB2312" w:eastAsia="仿宋_GB2312" w:cs="仿宋_GB2312"/>
                <w:sz w:val="20"/>
                <w:szCs w:val="20"/>
              </w:rPr>
            </w:pPr>
          </w:p>
        </w:tc>
        <w:tc>
          <w:tcPr>
            <w:tcW w:w="799" w:type="dxa"/>
            <w:vAlign w:val="center"/>
          </w:tcPr>
          <w:p w14:paraId="4763FDE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6DCE94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75" w:type="dxa"/>
            <w:vAlign w:val="center"/>
          </w:tcPr>
          <w:p w14:paraId="7061B60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60" w:type="dxa"/>
            <w:vAlign w:val="center"/>
          </w:tcPr>
          <w:p w14:paraId="5F1508C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0" w:type="dxa"/>
            <w:vAlign w:val="center"/>
          </w:tcPr>
          <w:p w14:paraId="392B205F">
            <w:pPr>
              <w:widowControl/>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00" w:type="dxa"/>
            <w:vAlign w:val="center"/>
          </w:tcPr>
          <w:p w14:paraId="3F71008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65" w:type="dxa"/>
            <w:vAlign w:val="center"/>
          </w:tcPr>
          <w:p w14:paraId="66CA6F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336047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55" w:type="dxa"/>
            <w:vAlign w:val="center"/>
          </w:tcPr>
          <w:p w14:paraId="5E0394D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5D6CD71">
            <w:pPr>
              <w:spacing w:line="240" w:lineRule="atLeast"/>
              <w:jc w:val="left"/>
              <w:rPr>
                <w:rFonts w:ascii="仿宋_GB2312" w:hAnsi="仿宋_GB2312" w:eastAsia="仿宋_GB2312" w:cs="仿宋_GB2312"/>
                <w:sz w:val="20"/>
                <w:szCs w:val="20"/>
              </w:rPr>
            </w:pPr>
          </w:p>
        </w:tc>
      </w:tr>
      <w:tr w14:paraId="4C64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4F1E4C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41</w:t>
            </w:r>
          </w:p>
        </w:tc>
        <w:tc>
          <w:tcPr>
            <w:tcW w:w="555" w:type="dxa"/>
            <w:vAlign w:val="center"/>
          </w:tcPr>
          <w:p w14:paraId="60A66C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BC603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539AA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99" w:type="dxa"/>
            <w:vAlign w:val="center"/>
          </w:tcPr>
          <w:p w14:paraId="71E5B39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对依法收回国有土地使用权当事人拒不交出土地的，临时使用土地期满拒不归还土地的，或者不按照批准的用途使用土地行为的处罚</w:t>
            </w:r>
          </w:p>
        </w:tc>
        <w:tc>
          <w:tcPr>
            <w:tcW w:w="675" w:type="dxa"/>
            <w:vAlign w:val="center"/>
          </w:tcPr>
          <w:p w14:paraId="7F36C542">
            <w:pPr>
              <w:snapToGrid w:val="0"/>
              <w:spacing w:line="240" w:lineRule="atLeast"/>
              <w:jc w:val="center"/>
              <w:rPr>
                <w:rFonts w:ascii="仿宋_GB2312" w:hAnsi="仿宋_GB2312" w:eastAsia="仿宋_GB2312" w:cs="仿宋_GB2312"/>
                <w:sz w:val="20"/>
                <w:szCs w:val="20"/>
              </w:rPr>
            </w:pPr>
          </w:p>
        </w:tc>
        <w:tc>
          <w:tcPr>
            <w:tcW w:w="660" w:type="dxa"/>
            <w:vAlign w:val="center"/>
          </w:tcPr>
          <w:p w14:paraId="44A49F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0" w:type="dxa"/>
            <w:vAlign w:val="center"/>
          </w:tcPr>
          <w:p w14:paraId="44637D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00" w:type="dxa"/>
            <w:vAlign w:val="center"/>
          </w:tcPr>
          <w:p w14:paraId="6156816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八十一条：依法收回国有土地使用权当事人拒不交出土地的，临时使用土地期满拒不归还的，或者不按照批准的用途使用国有土地的，由县级以上人民政府自然资源主管部门责令交还土地，处以罚款。</w:t>
            </w:r>
          </w:p>
          <w:p w14:paraId="495352A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九条：依照《土地管理法》第八十一条的规定处以罚款的，罚款额为非法占用土地每平方米100元以上500元以下。</w:t>
            </w:r>
          </w:p>
        </w:tc>
        <w:tc>
          <w:tcPr>
            <w:tcW w:w="3765" w:type="dxa"/>
            <w:vAlign w:val="center"/>
          </w:tcPr>
          <w:p w14:paraId="6AAD4ED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F1CD8C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0C638E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B1783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E3C18A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64FA49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B35DC0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29F61D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155" w:type="dxa"/>
            <w:vAlign w:val="center"/>
          </w:tcPr>
          <w:p w14:paraId="0F48F4E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BBA56A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289F7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6A188E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75011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4FC8C2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9597B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B4758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DDD04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CDE33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EB5CF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E6D2F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1BA8A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D228F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5436B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D91B2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51747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08133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EFAC0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E04562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D565338">
            <w:pPr>
              <w:snapToGrid w:val="0"/>
              <w:spacing w:line="240" w:lineRule="atLeast"/>
              <w:jc w:val="center"/>
              <w:rPr>
                <w:rFonts w:ascii="仿宋_GB2312" w:hAnsi="仿宋_GB2312" w:eastAsia="仿宋_GB2312" w:cs="仿宋_GB2312"/>
                <w:sz w:val="20"/>
                <w:szCs w:val="20"/>
              </w:rPr>
            </w:pPr>
          </w:p>
        </w:tc>
      </w:tr>
    </w:tbl>
    <w:p w14:paraId="28CEE7D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29"/>
        <w:gridCol w:w="630"/>
        <w:gridCol w:w="660"/>
        <w:gridCol w:w="1035"/>
        <w:gridCol w:w="4740"/>
        <w:gridCol w:w="3825"/>
        <w:gridCol w:w="9155"/>
        <w:gridCol w:w="330"/>
      </w:tblGrid>
      <w:tr w14:paraId="3C03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2C294BB">
            <w:pPr>
              <w:snapToGrid w:val="0"/>
              <w:spacing w:line="240" w:lineRule="atLeast"/>
              <w:jc w:val="left"/>
              <w:rPr>
                <w:rFonts w:asciiTheme="majorEastAsia" w:hAnsiTheme="majorEastAsia" w:eastAsiaTheme="majorEastAsia" w:cstheme="majorEastAsia"/>
                <w:spacing w:val="-23"/>
                <w:sz w:val="20"/>
                <w:szCs w:val="20"/>
              </w:rPr>
            </w:pPr>
          </w:p>
          <w:p w14:paraId="5D8AC0B1">
            <w:pPr>
              <w:snapToGrid w:val="0"/>
              <w:spacing w:line="240" w:lineRule="atLeast"/>
              <w:jc w:val="left"/>
              <w:rPr>
                <w:rFonts w:asciiTheme="majorEastAsia" w:hAnsiTheme="majorEastAsia" w:eastAsiaTheme="majorEastAsia" w:cstheme="majorEastAsia"/>
                <w:spacing w:val="-23"/>
                <w:sz w:val="20"/>
                <w:szCs w:val="20"/>
              </w:rPr>
            </w:pPr>
          </w:p>
          <w:p w14:paraId="3528CF7A">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698B8840">
            <w:pPr>
              <w:spacing w:line="240" w:lineRule="atLeast"/>
              <w:rPr>
                <w:rFonts w:asciiTheme="majorEastAsia" w:hAnsiTheme="majorEastAsia" w:eastAsiaTheme="majorEastAsia" w:cstheme="majorEastAsia"/>
                <w:spacing w:val="-20"/>
                <w:sz w:val="20"/>
                <w:szCs w:val="20"/>
              </w:rPr>
            </w:pPr>
          </w:p>
          <w:p w14:paraId="716D546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94" w:type="dxa"/>
            <w:gridSpan w:val="5"/>
            <w:vAlign w:val="center"/>
          </w:tcPr>
          <w:p w14:paraId="7747442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980" w:type="dxa"/>
            <w:gridSpan w:val="2"/>
            <w:vAlign w:val="center"/>
          </w:tcPr>
          <w:p w14:paraId="3876CA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8BC1F9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643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C287E10">
            <w:pPr>
              <w:spacing w:line="240" w:lineRule="atLeast"/>
              <w:jc w:val="left"/>
              <w:rPr>
                <w:rFonts w:ascii="仿宋_GB2312" w:hAnsi="仿宋_GB2312" w:eastAsia="仿宋_GB2312" w:cs="仿宋_GB2312"/>
                <w:sz w:val="20"/>
                <w:szCs w:val="20"/>
              </w:rPr>
            </w:pPr>
          </w:p>
        </w:tc>
        <w:tc>
          <w:tcPr>
            <w:tcW w:w="555" w:type="dxa"/>
            <w:vMerge w:val="continue"/>
          </w:tcPr>
          <w:p w14:paraId="1C17AA5B">
            <w:pPr>
              <w:spacing w:line="240" w:lineRule="atLeast"/>
              <w:jc w:val="left"/>
              <w:rPr>
                <w:rFonts w:ascii="仿宋_GB2312" w:hAnsi="仿宋_GB2312" w:eastAsia="仿宋_GB2312" w:cs="仿宋_GB2312"/>
                <w:sz w:val="20"/>
                <w:szCs w:val="20"/>
              </w:rPr>
            </w:pPr>
          </w:p>
        </w:tc>
        <w:tc>
          <w:tcPr>
            <w:tcW w:w="829" w:type="dxa"/>
            <w:vAlign w:val="center"/>
          </w:tcPr>
          <w:p w14:paraId="1B01C56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B0CC7D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30" w:type="dxa"/>
            <w:vAlign w:val="center"/>
          </w:tcPr>
          <w:p w14:paraId="629B47D4">
            <w:pPr>
              <w:adjustRightInd w:val="0"/>
              <w:snapToGrid w:val="0"/>
              <w:spacing w:line="240" w:lineRule="exact"/>
              <w:jc w:val="center"/>
              <w:rPr>
                <w:rFonts w:asciiTheme="minorEastAsia" w:hAnsiTheme="minorEastAsia" w:cstheme="minorEastAsia"/>
                <w:spacing w:val="-11"/>
                <w:sz w:val="18"/>
                <w:szCs w:val="18"/>
              </w:rPr>
            </w:pPr>
            <w:r>
              <w:rPr>
                <w:rFonts w:hint="eastAsia" w:asciiTheme="minorEastAsia" w:hAnsiTheme="minorEastAsia" w:cstheme="minorEastAsia"/>
                <w:spacing w:val="-11"/>
                <w:sz w:val="18"/>
                <w:szCs w:val="18"/>
              </w:rPr>
              <w:t>子项</w:t>
            </w:r>
          </w:p>
          <w:p w14:paraId="3FE762B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名 称</w:t>
            </w:r>
          </w:p>
        </w:tc>
        <w:tc>
          <w:tcPr>
            <w:tcW w:w="660" w:type="dxa"/>
            <w:vAlign w:val="center"/>
          </w:tcPr>
          <w:p w14:paraId="6AA6EA2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35" w:type="dxa"/>
            <w:vAlign w:val="center"/>
          </w:tcPr>
          <w:p w14:paraId="59010E2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40" w:type="dxa"/>
            <w:vAlign w:val="center"/>
          </w:tcPr>
          <w:p w14:paraId="1F5F838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825" w:type="dxa"/>
            <w:vAlign w:val="center"/>
          </w:tcPr>
          <w:p w14:paraId="2FE1FBE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8F62A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155" w:type="dxa"/>
            <w:vAlign w:val="center"/>
          </w:tcPr>
          <w:p w14:paraId="3B0DD3B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6312303F">
            <w:pPr>
              <w:spacing w:line="240" w:lineRule="atLeast"/>
              <w:jc w:val="left"/>
              <w:rPr>
                <w:rFonts w:ascii="仿宋_GB2312" w:hAnsi="仿宋_GB2312" w:eastAsia="仿宋_GB2312" w:cs="仿宋_GB2312"/>
                <w:sz w:val="20"/>
                <w:szCs w:val="20"/>
              </w:rPr>
            </w:pPr>
          </w:p>
        </w:tc>
      </w:tr>
      <w:tr w14:paraId="72E7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247CFF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42</w:t>
            </w:r>
          </w:p>
        </w:tc>
        <w:tc>
          <w:tcPr>
            <w:tcW w:w="555" w:type="dxa"/>
            <w:vAlign w:val="center"/>
          </w:tcPr>
          <w:p w14:paraId="30DBB8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FE907A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D074F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29" w:type="dxa"/>
            <w:vAlign w:val="center"/>
          </w:tcPr>
          <w:p w14:paraId="741F183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对擅自将农民集体所有的土地通过出让、转让使用权或者出租等方式用于非农业建设，或者违反《土地管理法》规定，将集体经营性建设用地通过出让、出租等方式交由单位或者个人使用行为的处罚</w:t>
            </w:r>
          </w:p>
        </w:tc>
        <w:tc>
          <w:tcPr>
            <w:tcW w:w="630" w:type="dxa"/>
            <w:vAlign w:val="center"/>
          </w:tcPr>
          <w:p w14:paraId="381D6E5D">
            <w:pPr>
              <w:snapToGrid w:val="0"/>
              <w:spacing w:line="240" w:lineRule="atLeast"/>
              <w:jc w:val="center"/>
              <w:rPr>
                <w:rFonts w:ascii="仿宋_GB2312" w:hAnsi="仿宋_GB2312" w:eastAsia="仿宋_GB2312" w:cs="仿宋_GB2312"/>
                <w:sz w:val="20"/>
                <w:szCs w:val="20"/>
              </w:rPr>
            </w:pPr>
          </w:p>
        </w:tc>
        <w:tc>
          <w:tcPr>
            <w:tcW w:w="660" w:type="dxa"/>
            <w:vAlign w:val="center"/>
          </w:tcPr>
          <w:p w14:paraId="3E6756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35" w:type="dxa"/>
            <w:vAlign w:val="center"/>
          </w:tcPr>
          <w:p w14:paraId="1C30A7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40" w:type="dxa"/>
            <w:vAlign w:val="center"/>
          </w:tcPr>
          <w:p w14:paraId="7356D5B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八十二条：擅自将农民集体所有的土地通过出让、转让使用权或者出租等方式用于非农业建设，或者违反本法规定，将集体经营性建设用地通过出让、出租等方式交由单位或者个人使用的，由县级以上人民政府自然资源主管部门责令限期改正，没收违法所得，并处罚款。</w:t>
            </w:r>
          </w:p>
          <w:p w14:paraId="2C6C00F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六十条：依照《土地管理法》第八十二条的规定处以罚款的，罚款额为违法所得的10%以上30%以下。</w:t>
            </w:r>
          </w:p>
        </w:tc>
        <w:tc>
          <w:tcPr>
            <w:tcW w:w="3825" w:type="dxa"/>
            <w:vAlign w:val="center"/>
          </w:tcPr>
          <w:p w14:paraId="6EDB297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1.立案阶段责任：接到举报或相关部门转送、巡查发现擅自将农民集体所有土地使用权出让、转让、出租用于非农业建设行为，及时予以审查，决定是否立案。下达《责令停止违法行为通知书》。</w:t>
            </w:r>
          </w:p>
          <w:p w14:paraId="03AD409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6BBF245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0A34C4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4AC513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801704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6E4622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C19B8D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155" w:type="dxa"/>
            <w:vAlign w:val="center"/>
          </w:tcPr>
          <w:p w14:paraId="336D2A0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9DC105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28219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95B432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ACD98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798EB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50CC55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3B2874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08FC2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F841A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6F8DC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9EC57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6C618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81614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6FFBD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49328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7912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7120C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2D62C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F4214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F6580A1">
            <w:pPr>
              <w:snapToGrid w:val="0"/>
              <w:spacing w:line="240" w:lineRule="atLeast"/>
              <w:jc w:val="center"/>
              <w:rPr>
                <w:rFonts w:ascii="仿宋_GB2312" w:hAnsi="仿宋_GB2312" w:eastAsia="仿宋_GB2312" w:cs="仿宋_GB2312"/>
                <w:sz w:val="20"/>
                <w:szCs w:val="20"/>
              </w:rPr>
            </w:pPr>
          </w:p>
        </w:tc>
      </w:tr>
    </w:tbl>
    <w:p w14:paraId="0A96C090"/>
    <w:p w14:paraId="41A0B1F6"/>
    <w:p w14:paraId="3264147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5005"/>
        <w:gridCol w:w="3495"/>
        <w:gridCol w:w="9515"/>
        <w:gridCol w:w="330"/>
      </w:tblGrid>
      <w:tr w14:paraId="3FF9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C9255E9">
            <w:pPr>
              <w:snapToGrid w:val="0"/>
              <w:spacing w:line="240" w:lineRule="atLeast"/>
              <w:jc w:val="left"/>
              <w:rPr>
                <w:rFonts w:asciiTheme="majorEastAsia" w:hAnsiTheme="majorEastAsia" w:eastAsiaTheme="majorEastAsia" w:cstheme="majorEastAsia"/>
                <w:spacing w:val="-23"/>
                <w:sz w:val="20"/>
                <w:szCs w:val="20"/>
              </w:rPr>
            </w:pPr>
          </w:p>
          <w:p w14:paraId="66EB945E">
            <w:pPr>
              <w:snapToGrid w:val="0"/>
              <w:spacing w:line="240" w:lineRule="atLeast"/>
              <w:jc w:val="left"/>
              <w:rPr>
                <w:rFonts w:asciiTheme="majorEastAsia" w:hAnsiTheme="majorEastAsia" w:eastAsiaTheme="majorEastAsia" w:cstheme="majorEastAsia"/>
                <w:spacing w:val="-23"/>
                <w:sz w:val="20"/>
                <w:szCs w:val="20"/>
              </w:rPr>
            </w:pPr>
          </w:p>
          <w:p w14:paraId="634C823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51FF24B">
            <w:pPr>
              <w:spacing w:line="240" w:lineRule="atLeast"/>
              <w:rPr>
                <w:rFonts w:asciiTheme="majorEastAsia" w:hAnsiTheme="majorEastAsia" w:eastAsiaTheme="majorEastAsia" w:cstheme="majorEastAsia"/>
                <w:spacing w:val="-20"/>
                <w:sz w:val="20"/>
                <w:szCs w:val="20"/>
              </w:rPr>
            </w:pPr>
          </w:p>
          <w:p w14:paraId="71AA639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64" w:type="dxa"/>
            <w:gridSpan w:val="5"/>
            <w:vAlign w:val="center"/>
          </w:tcPr>
          <w:p w14:paraId="36907BE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10" w:type="dxa"/>
            <w:gridSpan w:val="2"/>
            <w:vAlign w:val="center"/>
          </w:tcPr>
          <w:p w14:paraId="053793B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97364E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8C5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62FE752">
            <w:pPr>
              <w:spacing w:line="240" w:lineRule="atLeast"/>
              <w:jc w:val="left"/>
              <w:rPr>
                <w:rFonts w:ascii="仿宋_GB2312" w:hAnsi="仿宋_GB2312" w:eastAsia="仿宋_GB2312" w:cs="仿宋_GB2312"/>
                <w:sz w:val="20"/>
                <w:szCs w:val="20"/>
              </w:rPr>
            </w:pPr>
          </w:p>
        </w:tc>
        <w:tc>
          <w:tcPr>
            <w:tcW w:w="555" w:type="dxa"/>
            <w:vMerge w:val="continue"/>
          </w:tcPr>
          <w:p w14:paraId="13875A37">
            <w:pPr>
              <w:spacing w:line="240" w:lineRule="atLeast"/>
              <w:jc w:val="left"/>
              <w:rPr>
                <w:rFonts w:ascii="仿宋_GB2312" w:hAnsi="仿宋_GB2312" w:eastAsia="仿宋_GB2312" w:cs="仿宋_GB2312"/>
                <w:sz w:val="20"/>
                <w:szCs w:val="20"/>
              </w:rPr>
            </w:pPr>
          </w:p>
        </w:tc>
        <w:tc>
          <w:tcPr>
            <w:tcW w:w="600" w:type="dxa"/>
            <w:vAlign w:val="center"/>
          </w:tcPr>
          <w:p w14:paraId="65A7EC33">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22EF87FE">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36C74379">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53D80BA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005" w:type="dxa"/>
            <w:vAlign w:val="center"/>
          </w:tcPr>
          <w:p w14:paraId="4242DD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95" w:type="dxa"/>
            <w:vAlign w:val="center"/>
          </w:tcPr>
          <w:p w14:paraId="797ECD1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93D62B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D6FE11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066CDD0">
            <w:pPr>
              <w:spacing w:line="240" w:lineRule="atLeast"/>
              <w:jc w:val="left"/>
              <w:rPr>
                <w:rFonts w:ascii="仿宋_GB2312" w:hAnsi="仿宋_GB2312" w:eastAsia="仿宋_GB2312" w:cs="仿宋_GB2312"/>
                <w:sz w:val="20"/>
                <w:szCs w:val="20"/>
              </w:rPr>
            </w:pPr>
          </w:p>
        </w:tc>
      </w:tr>
      <w:tr w14:paraId="64E1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01B1BF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43</w:t>
            </w:r>
          </w:p>
        </w:tc>
        <w:tc>
          <w:tcPr>
            <w:tcW w:w="555" w:type="dxa"/>
            <w:vAlign w:val="center"/>
          </w:tcPr>
          <w:p w14:paraId="306C15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202C5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138E7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32BF846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对临时用地期满之日起一年内未完成复垦或者未恢复种植条件行为的处罚</w:t>
            </w:r>
          </w:p>
        </w:tc>
        <w:tc>
          <w:tcPr>
            <w:tcW w:w="645" w:type="dxa"/>
            <w:vAlign w:val="center"/>
          </w:tcPr>
          <w:p w14:paraId="3A29517F">
            <w:pPr>
              <w:snapToGrid w:val="0"/>
              <w:spacing w:line="240" w:lineRule="atLeast"/>
              <w:jc w:val="center"/>
              <w:rPr>
                <w:rFonts w:ascii="仿宋_GB2312" w:hAnsi="仿宋_GB2312" w:eastAsia="仿宋_GB2312" w:cs="仿宋_GB2312"/>
                <w:sz w:val="20"/>
                <w:szCs w:val="20"/>
              </w:rPr>
            </w:pPr>
          </w:p>
        </w:tc>
        <w:tc>
          <w:tcPr>
            <w:tcW w:w="585" w:type="dxa"/>
            <w:vAlign w:val="center"/>
          </w:tcPr>
          <w:p w14:paraId="53A5FE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5B7DBE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5005" w:type="dxa"/>
            <w:vAlign w:val="center"/>
          </w:tcPr>
          <w:p w14:paraId="4485AD3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七十六条：违反本法规定，拒不履行土地复垦义务的，由县级以上人民政府自然资源主管部门责令限期改正；逾期不改正的，责令缴纳复垦费，专项用于土地复垦，可以处以罚款。</w:t>
            </w:r>
          </w:p>
          <w:p w14:paraId="1DE1092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六条：依照《土地管理法》第七十六条的规定处以罚款的，罚款额为土地复垦费的2倍以上5倍以下。</w:t>
            </w:r>
          </w:p>
        </w:tc>
        <w:tc>
          <w:tcPr>
            <w:tcW w:w="3495" w:type="dxa"/>
            <w:vAlign w:val="center"/>
          </w:tcPr>
          <w:p w14:paraId="1B1E370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718530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F63C36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FACDDC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779023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0E9DB9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ECB786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305CC2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E80CD4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8B65F2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71B6A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166AF6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35A9D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2AB41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07213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9B8CC6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B44DF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AFDF4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EF772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12F18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963E5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622C4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C2D92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7A596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C5AD7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4136D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1B394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2CC8F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9632CE2">
            <w:pPr>
              <w:snapToGrid w:val="0"/>
              <w:spacing w:line="240" w:lineRule="atLeast"/>
              <w:jc w:val="center"/>
              <w:rPr>
                <w:rFonts w:ascii="仿宋_GB2312" w:hAnsi="仿宋_GB2312" w:eastAsia="仿宋_GB2312" w:cs="仿宋_GB2312"/>
                <w:sz w:val="20"/>
                <w:szCs w:val="20"/>
              </w:rPr>
            </w:pPr>
          </w:p>
        </w:tc>
      </w:tr>
    </w:tbl>
    <w:p w14:paraId="6614CE5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600"/>
        <w:gridCol w:w="645"/>
        <w:gridCol w:w="585"/>
        <w:gridCol w:w="1029"/>
        <w:gridCol w:w="4975"/>
        <w:gridCol w:w="3540"/>
        <w:gridCol w:w="9500"/>
        <w:gridCol w:w="330"/>
      </w:tblGrid>
      <w:tr w14:paraId="575F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B43F886">
            <w:pPr>
              <w:snapToGrid w:val="0"/>
              <w:spacing w:line="240" w:lineRule="atLeast"/>
              <w:jc w:val="left"/>
              <w:rPr>
                <w:rFonts w:asciiTheme="majorEastAsia" w:hAnsiTheme="majorEastAsia" w:eastAsiaTheme="majorEastAsia" w:cstheme="majorEastAsia"/>
                <w:spacing w:val="-23"/>
                <w:sz w:val="20"/>
                <w:szCs w:val="20"/>
              </w:rPr>
            </w:pPr>
          </w:p>
          <w:p w14:paraId="695C2B42">
            <w:pPr>
              <w:snapToGrid w:val="0"/>
              <w:spacing w:line="240" w:lineRule="atLeast"/>
              <w:jc w:val="left"/>
              <w:rPr>
                <w:rFonts w:asciiTheme="majorEastAsia" w:hAnsiTheme="majorEastAsia" w:eastAsiaTheme="majorEastAsia" w:cstheme="majorEastAsia"/>
                <w:spacing w:val="-23"/>
                <w:sz w:val="20"/>
                <w:szCs w:val="20"/>
              </w:rPr>
            </w:pPr>
          </w:p>
          <w:p w14:paraId="0F79393A">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037D8F4">
            <w:pPr>
              <w:spacing w:line="240" w:lineRule="atLeast"/>
              <w:rPr>
                <w:rFonts w:asciiTheme="majorEastAsia" w:hAnsiTheme="majorEastAsia" w:eastAsiaTheme="majorEastAsia" w:cstheme="majorEastAsia"/>
                <w:spacing w:val="-20"/>
                <w:sz w:val="20"/>
                <w:szCs w:val="20"/>
              </w:rPr>
            </w:pPr>
          </w:p>
          <w:p w14:paraId="1D39AC8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34" w:type="dxa"/>
            <w:gridSpan w:val="5"/>
            <w:vAlign w:val="center"/>
          </w:tcPr>
          <w:p w14:paraId="69A06F1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40" w:type="dxa"/>
            <w:gridSpan w:val="2"/>
            <w:vAlign w:val="center"/>
          </w:tcPr>
          <w:p w14:paraId="3C3DB2E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F9D753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146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D628CB7">
            <w:pPr>
              <w:spacing w:line="240" w:lineRule="atLeast"/>
              <w:jc w:val="left"/>
              <w:rPr>
                <w:rFonts w:ascii="仿宋_GB2312" w:hAnsi="仿宋_GB2312" w:eastAsia="仿宋_GB2312" w:cs="仿宋_GB2312"/>
                <w:sz w:val="20"/>
                <w:szCs w:val="20"/>
              </w:rPr>
            </w:pPr>
          </w:p>
        </w:tc>
        <w:tc>
          <w:tcPr>
            <w:tcW w:w="555" w:type="dxa"/>
            <w:vMerge w:val="continue"/>
          </w:tcPr>
          <w:p w14:paraId="5C5D20E8">
            <w:pPr>
              <w:spacing w:line="240" w:lineRule="atLeast"/>
              <w:jc w:val="left"/>
              <w:rPr>
                <w:rFonts w:ascii="仿宋_GB2312" w:hAnsi="仿宋_GB2312" w:eastAsia="仿宋_GB2312" w:cs="仿宋_GB2312"/>
                <w:sz w:val="20"/>
                <w:szCs w:val="20"/>
              </w:rPr>
            </w:pPr>
          </w:p>
        </w:tc>
        <w:tc>
          <w:tcPr>
            <w:tcW w:w="600" w:type="dxa"/>
            <w:vAlign w:val="center"/>
          </w:tcPr>
          <w:p w14:paraId="0041F15E">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645" w:type="dxa"/>
            <w:vAlign w:val="center"/>
          </w:tcPr>
          <w:p w14:paraId="7A5EE5E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7F2698AB">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029" w:type="dxa"/>
            <w:vAlign w:val="center"/>
          </w:tcPr>
          <w:p w14:paraId="2F3D8E8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975" w:type="dxa"/>
            <w:vAlign w:val="center"/>
          </w:tcPr>
          <w:p w14:paraId="4E3DD1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40" w:type="dxa"/>
            <w:vAlign w:val="center"/>
          </w:tcPr>
          <w:p w14:paraId="6672E44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252B5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00" w:type="dxa"/>
            <w:vAlign w:val="center"/>
          </w:tcPr>
          <w:p w14:paraId="2B29442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47DBA6AB">
            <w:pPr>
              <w:spacing w:line="240" w:lineRule="atLeast"/>
              <w:jc w:val="left"/>
              <w:rPr>
                <w:rFonts w:ascii="仿宋_GB2312" w:hAnsi="仿宋_GB2312" w:eastAsia="仿宋_GB2312" w:cs="仿宋_GB2312"/>
                <w:sz w:val="20"/>
                <w:szCs w:val="20"/>
              </w:rPr>
            </w:pPr>
          </w:p>
        </w:tc>
      </w:tr>
      <w:tr w14:paraId="41A2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7215A8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44</w:t>
            </w:r>
          </w:p>
        </w:tc>
        <w:tc>
          <w:tcPr>
            <w:tcW w:w="555" w:type="dxa"/>
            <w:vAlign w:val="center"/>
          </w:tcPr>
          <w:p w14:paraId="0656D1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59EDB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4A368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600" w:type="dxa"/>
            <w:vAlign w:val="center"/>
          </w:tcPr>
          <w:p w14:paraId="0F10D0B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对在临时使用的土地上修建永久性建筑物、构筑物行为的处罚</w:t>
            </w:r>
          </w:p>
        </w:tc>
        <w:tc>
          <w:tcPr>
            <w:tcW w:w="645" w:type="dxa"/>
            <w:vAlign w:val="center"/>
          </w:tcPr>
          <w:p w14:paraId="745D12E1">
            <w:pPr>
              <w:snapToGrid w:val="0"/>
              <w:spacing w:line="240" w:lineRule="atLeast"/>
              <w:jc w:val="center"/>
              <w:rPr>
                <w:rFonts w:ascii="仿宋_GB2312" w:hAnsi="仿宋_GB2312" w:eastAsia="仿宋_GB2312" w:cs="仿宋_GB2312"/>
                <w:sz w:val="20"/>
                <w:szCs w:val="20"/>
              </w:rPr>
            </w:pPr>
          </w:p>
        </w:tc>
        <w:tc>
          <w:tcPr>
            <w:tcW w:w="585" w:type="dxa"/>
            <w:vAlign w:val="center"/>
          </w:tcPr>
          <w:p w14:paraId="5A0342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029" w:type="dxa"/>
            <w:vAlign w:val="center"/>
          </w:tcPr>
          <w:p w14:paraId="600D44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975" w:type="dxa"/>
            <w:vAlign w:val="center"/>
          </w:tcPr>
          <w:p w14:paraId="6547C50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十七条：建设项目施工和地质勘查需要临时使用国有土地或者农民集体所有的土地的，由县级以上人民政府自然资源主管部门批准。其中，在城市规划区内的临时用地，在报批前，应当先经有关城市规划行政主管部门同意。土地使用者应当根据土地权属，与有关自然资源主管部门或者农村集体经济组织、村民委员会签订临时使用土地合同，并按照合同的约定支付临时使用土地补偿费。</w:t>
            </w:r>
          </w:p>
          <w:p w14:paraId="6D2FEFA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临时使用土地的使用者应当按照临时使用土地合同约定的用途使用土地，并不得修建永久性建筑物。</w:t>
            </w:r>
          </w:p>
          <w:p w14:paraId="6375547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临时使用土地期限一般不超过二年。</w:t>
            </w:r>
          </w:p>
          <w:p w14:paraId="7279321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中华人民共和国土地管理法实施条例》（1998年国务院令第256号公布，2021年国务院令第743号第三次修订）第五十二条：违反《土地管理法》第五十七条的规定，在临时使用的土地上修建永久性建筑物的，由县级以上人民政府自然资源主管部门责令限期拆除，按占用面积处土地复垦费5倍以上10倍以下的罚款；逾期不拆除的，由作出行政决定的机关依法申请人民法院强制执行。</w:t>
            </w:r>
          </w:p>
        </w:tc>
        <w:tc>
          <w:tcPr>
            <w:tcW w:w="3540" w:type="dxa"/>
            <w:vAlign w:val="center"/>
          </w:tcPr>
          <w:p w14:paraId="1AE4DF5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79ADC94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3BF42D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3A32E2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DA5512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EEC4D4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DD3F61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C58BE6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00" w:type="dxa"/>
            <w:vAlign w:val="center"/>
          </w:tcPr>
          <w:p w14:paraId="66145DD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2A2236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6A996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A840B6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058EBD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D2BAC5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E7F3E8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72057A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F1F21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59FEE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49815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E0CC9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B47E5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0F7C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C95CA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709CC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0F4B1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39C28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89BCA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D31F7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99A49F8">
            <w:pPr>
              <w:snapToGrid w:val="0"/>
              <w:spacing w:line="240" w:lineRule="atLeast"/>
              <w:jc w:val="center"/>
              <w:rPr>
                <w:rFonts w:ascii="仿宋_GB2312" w:hAnsi="仿宋_GB2312" w:eastAsia="仿宋_GB2312" w:cs="仿宋_GB2312"/>
                <w:sz w:val="20"/>
                <w:szCs w:val="20"/>
              </w:rPr>
            </w:pPr>
          </w:p>
        </w:tc>
      </w:tr>
    </w:tbl>
    <w:p w14:paraId="3EB12990"/>
    <w:p w14:paraId="75629B58"/>
    <w:p w14:paraId="79B6295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29"/>
        <w:gridCol w:w="570"/>
        <w:gridCol w:w="630"/>
        <w:gridCol w:w="975"/>
        <w:gridCol w:w="4815"/>
        <w:gridCol w:w="3585"/>
        <w:gridCol w:w="9470"/>
        <w:gridCol w:w="330"/>
      </w:tblGrid>
      <w:tr w14:paraId="482C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B6CB7E">
            <w:pPr>
              <w:snapToGrid w:val="0"/>
              <w:spacing w:line="240" w:lineRule="atLeast"/>
              <w:jc w:val="left"/>
              <w:rPr>
                <w:rFonts w:asciiTheme="majorEastAsia" w:hAnsiTheme="majorEastAsia" w:eastAsiaTheme="majorEastAsia" w:cstheme="majorEastAsia"/>
                <w:spacing w:val="-23"/>
                <w:sz w:val="20"/>
                <w:szCs w:val="20"/>
              </w:rPr>
            </w:pPr>
          </w:p>
          <w:p w14:paraId="6D3D262E">
            <w:pPr>
              <w:snapToGrid w:val="0"/>
              <w:spacing w:line="240" w:lineRule="atLeast"/>
              <w:jc w:val="left"/>
              <w:rPr>
                <w:rFonts w:asciiTheme="majorEastAsia" w:hAnsiTheme="majorEastAsia" w:eastAsiaTheme="majorEastAsia" w:cstheme="majorEastAsia"/>
                <w:spacing w:val="-23"/>
                <w:sz w:val="20"/>
                <w:szCs w:val="20"/>
              </w:rPr>
            </w:pPr>
          </w:p>
          <w:p w14:paraId="2783C943">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369C86B0">
            <w:pPr>
              <w:spacing w:line="240" w:lineRule="atLeast"/>
              <w:rPr>
                <w:rFonts w:asciiTheme="majorEastAsia" w:hAnsiTheme="majorEastAsia" w:eastAsiaTheme="majorEastAsia" w:cstheme="majorEastAsia"/>
                <w:spacing w:val="-20"/>
                <w:sz w:val="20"/>
                <w:szCs w:val="20"/>
              </w:rPr>
            </w:pPr>
          </w:p>
          <w:p w14:paraId="35ED46D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19" w:type="dxa"/>
            <w:gridSpan w:val="5"/>
            <w:vAlign w:val="center"/>
          </w:tcPr>
          <w:p w14:paraId="31FC3FC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55" w:type="dxa"/>
            <w:gridSpan w:val="2"/>
            <w:vAlign w:val="center"/>
          </w:tcPr>
          <w:p w14:paraId="7223E2D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CD7CFE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8E8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68F4F5A">
            <w:pPr>
              <w:spacing w:line="240" w:lineRule="atLeast"/>
              <w:jc w:val="left"/>
              <w:rPr>
                <w:rFonts w:ascii="仿宋_GB2312" w:hAnsi="仿宋_GB2312" w:eastAsia="仿宋_GB2312" w:cs="仿宋_GB2312"/>
                <w:sz w:val="20"/>
                <w:szCs w:val="20"/>
              </w:rPr>
            </w:pPr>
          </w:p>
        </w:tc>
        <w:tc>
          <w:tcPr>
            <w:tcW w:w="555" w:type="dxa"/>
            <w:vMerge w:val="continue"/>
          </w:tcPr>
          <w:p w14:paraId="4CF65FC9">
            <w:pPr>
              <w:spacing w:line="240" w:lineRule="atLeast"/>
              <w:jc w:val="left"/>
              <w:rPr>
                <w:rFonts w:ascii="仿宋_GB2312" w:hAnsi="仿宋_GB2312" w:eastAsia="仿宋_GB2312" w:cs="仿宋_GB2312"/>
                <w:sz w:val="20"/>
                <w:szCs w:val="20"/>
              </w:rPr>
            </w:pPr>
          </w:p>
        </w:tc>
        <w:tc>
          <w:tcPr>
            <w:tcW w:w="829" w:type="dxa"/>
            <w:vAlign w:val="center"/>
          </w:tcPr>
          <w:p w14:paraId="3BE38A2A">
            <w:pPr>
              <w:snapToGrid w:val="0"/>
              <w:spacing w:line="200" w:lineRule="exact"/>
              <w:jc w:val="left"/>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目名 称</w:t>
            </w:r>
          </w:p>
        </w:tc>
        <w:tc>
          <w:tcPr>
            <w:tcW w:w="570" w:type="dxa"/>
            <w:vAlign w:val="center"/>
          </w:tcPr>
          <w:p w14:paraId="0580B527">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子项名称</w:t>
            </w:r>
          </w:p>
        </w:tc>
        <w:tc>
          <w:tcPr>
            <w:tcW w:w="630" w:type="dxa"/>
            <w:vAlign w:val="center"/>
          </w:tcPr>
          <w:p w14:paraId="2FF8E9D1">
            <w:pPr>
              <w:adjustRightInd w:val="0"/>
              <w:snapToGrid w:val="0"/>
              <w:spacing w:line="240" w:lineRule="exact"/>
              <w:jc w:val="lef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5154FE1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15" w:type="dxa"/>
            <w:vAlign w:val="center"/>
          </w:tcPr>
          <w:p w14:paraId="278741E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EC0C16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9871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70" w:type="dxa"/>
            <w:vAlign w:val="center"/>
          </w:tcPr>
          <w:p w14:paraId="6FC8345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B40C94E">
            <w:pPr>
              <w:spacing w:line="240" w:lineRule="atLeast"/>
              <w:jc w:val="left"/>
              <w:rPr>
                <w:rFonts w:ascii="仿宋_GB2312" w:hAnsi="仿宋_GB2312" w:eastAsia="仿宋_GB2312" w:cs="仿宋_GB2312"/>
                <w:sz w:val="20"/>
                <w:szCs w:val="20"/>
              </w:rPr>
            </w:pPr>
          </w:p>
        </w:tc>
      </w:tr>
      <w:tr w14:paraId="652A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6A658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45</w:t>
            </w:r>
          </w:p>
        </w:tc>
        <w:tc>
          <w:tcPr>
            <w:tcW w:w="555" w:type="dxa"/>
            <w:vAlign w:val="center"/>
          </w:tcPr>
          <w:p w14:paraId="78FCF9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AE590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571CD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29" w:type="dxa"/>
            <w:vAlign w:val="center"/>
          </w:tcPr>
          <w:p w14:paraId="411899A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对违法占用永久基本农田建窑、建房、建坟、挖砂、采石、采矿、取土、堆放固体废弃物或者从事其他活动破坏基本农田，毁坏种植条件行为的处罚</w:t>
            </w:r>
          </w:p>
        </w:tc>
        <w:tc>
          <w:tcPr>
            <w:tcW w:w="570" w:type="dxa"/>
            <w:vAlign w:val="center"/>
          </w:tcPr>
          <w:p w14:paraId="7BDC01B7">
            <w:pPr>
              <w:snapToGrid w:val="0"/>
              <w:spacing w:line="240" w:lineRule="atLeast"/>
              <w:jc w:val="center"/>
              <w:rPr>
                <w:rFonts w:ascii="仿宋_GB2312" w:hAnsi="仿宋_GB2312" w:eastAsia="仿宋_GB2312" w:cs="仿宋_GB2312"/>
                <w:sz w:val="20"/>
                <w:szCs w:val="20"/>
              </w:rPr>
            </w:pPr>
          </w:p>
        </w:tc>
        <w:tc>
          <w:tcPr>
            <w:tcW w:w="630" w:type="dxa"/>
            <w:vAlign w:val="center"/>
          </w:tcPr>
          <w:p w14:paraId="2F0A44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110046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15" w:type="dxa"/>
            <w:vAlign w:val="center"/>
          </w:tcPr>
          <w:p w14:paraId="7D3F8E3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基本农田保护条例》（1998年国务院令第257号发布，2011年国务院令第588号修正）第三十条：违反本条例规定，有下列行为之一的，依照《中华人民共和国土地管理法》和《中华人民共和国土地管理法实施条例》的有关规定，从重给予处罚：</w:t>
            </w:r>
          </w:p>
          <w:p w14:paraId="4C5CAF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（一）未经批准或者采取欺骗手段骗取批准，非法占用基本农田的；</w:t>
            </w:r>
          </w:p>
          <w:p w14:paraId="4E41C4D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（二）超过批准数量，非法占用基本农田的；</w:t>
            </w:r>
          </w:p>
          <w:p w14:paraId="57F3254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（三）非法批准占用基本农田的；</w:t>
            </w:r>
          </w:p>
          <w:p w14:paraId="77759F2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（四）买卖或者以其他形式非法转让基本农田的。</w:t>
            </w:r>
          </w:p>
          <w:p w14:paraId="150936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三条：违反本条例规定，占用基本农田建窑、建房、建坟、挖砂、采石、采矿、取土、堆放固体废弃物或者从事其他活动破坏基本农田，毁坏种植条件的，由县级以上人民政府土地行政主管部门责令改正或者治理，恢复原种植条件，处占用基本农田的耕地开垦费１倍以上２倍以下的罚款；构成犯罪的，依法追究刑事责任。</w:t>
            </w:r>
          </w:p>
        </w:tc>
        <w:tc>
          <w:tcPr>
            <w:tcW w:w="3585" w:type="dxa"/>
            <w:vAlign w:val="center"/>
          </w:tcPr>
          <w:p w14:paraId="5917998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D9C16B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A3229A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F8851A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E88055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E2729D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900457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5B61BC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70" w:type="dxa"/>
            <w:vAlign w:val="center"/>
          </w:tcPr>
          <w:p w14:paraId="03FFC44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61A76B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717D3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0B649E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CD7B3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6AC0C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D5109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C42452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A234D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1A088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506D6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980E3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BAEEA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9165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68872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72CD5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247ED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DA7ED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B3612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381158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E5E8CF2">
            <w:pPr>
              <w:snapToGrid w:val="0"/>
              <w:spacing w:line="240" w:lineRule="atLeast"/>
              <w:jc w:val="center"/>
              <w:rPr>
                <w:rFonts w:ascii="仿宋_GB2312" w:hAnsi="仿宋_GB2312" w:eastAsia="仿宋_GB2312" w:cs="仿宋_GB2312"/>
                <w:sz w:val="20"/>
                <w:szCs w:val="20"/>
              </w:rPr>
            </w:pPr>
          </w:p>
        </w:tc>
      </w:tr>
    </w:tbl>
    <w:p w14:paraId="70930ECF"/>
    <w:p w14:paraId="26991C3E"/>
    <w:p w14:paraId="1783840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14"/>
        <w:gridCol w:w="600"/>
        <w:gridCol w:w="600"/>
        <w:gridCol w:w="975"/>
        <w:gridCol w:w="4800"/>
        <w:gridCol w:w="3615"/>
        <w:gridCol w:w="9470"/>
        <w:gridCol w:w="330"/>
      </w:tblGrid>
      <w:tr w14:paraId="48D4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4398F36">
            <w:pPr>
              <w:snapToGrid w:val="0"/>
              <w:spacing w:line="240" w:lineRule="atLeast"/>
              <w:jc w:val="left"/>
              <w:rPr>
                <w:rFonts w:asciiTheme="majorEastAsia" w:hAnsiTheme="majorEastAsia" w:eastAsiaTheme="majorEastAsia" w:cstheme="majorEastAsia"/>
                <w:spacing w:val="-23"/>
                <w:sz w:val="20"/>
                <w:szCs w:val="20"/>
              </w:rPr>
            </w:pPr>
          </w:p>
          <w:p w14:paraId="45E1CBDE">
            <w:pPr>
              <w:snapToGrid w:val="0"/>
              <w:spacing w:line="240" w:lineRule="atLeast"/>
              <w:jc w:val="left"/>
              <w:rPr>
                <w:rFonts w:asciiTheme="majorEastAsia" w:hAnsiTheme="majorEastAsia" w:eastAsiaTheme="majorEastAsia" w:cstheme="majorEastAsia"/>
                <w:spacing w:val="-23"/>
                <w:sz w:val="20"/>
                <w:szCs w:val="20"/>
              </w:rPr>
            </w:pPr>
          </w:p>
          <w:p w14:paraId="6DC05F29">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B0B7C93">
            <w:pPr>
              <w:spacing w:line="240" w:lineRule="atLeast"/>
              <w:rPr>
                <w:rFonts w:asciiTheme="majorEastAsia" w:hAnsiTheme="majorEastAsia" w:eastAsiaTheme="majorEastAsia" w:cstheme="majorEastAsia"/>
                <w:spacing w:val="-20"/>
                <w:sz w:val="20"/>
                <w:szCs w:val="20"/>
              </w:rPr>
            </w:pPr>
          </w:p>
          <w:p w14:paraId="032D5AC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89" w:type="dxa"/>
            <w:gridSpan w:val="5"/>
            <w:vAlign w:val="center"/>
          </w:tcPr>
          <w:p w14:paraId="7D9F80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85" w:type="dxa"/>
            <w:gridSpan w:val="2"/>
            <w:vAlign w:val="center"/>
          </w:tcPr>
          <w:p w14:paraId="6C573C5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6E388D2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39E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3E74969">
            <w:pPr>
              <w:spacing w:line="240" w:lineRule="atLeast"/>
              <w:jc w:val="left"/>
              <w:rPr>
                <w:rFonts w:ascii="仿宋_GB2312" w:hAnsi="仿宋_GB2312" w:eastAsia="仿宋_GB2312" w:cs="仿宋_GB2312"/>
                <w:sz w:val="20"/>
                <w:szCs w:val="20"/>
              </w:rPr>
            </w:pPr>
          </w:p>
        </w:tc>
        <w:tc>
          <w:tcPr>
            <w:tcW w:w="555" w:type="dxa"/>
            <w:vMerge w:val="continue"/>
          </w:tcPr>
          <w:p w14:paraId="730DFCAC">
            <w:pPr>
              <w:spacing w:line="240" w:lineRule="atLeast"/>
              <w:jc w:val="left"/>
              <w:rPr>
                <w:rFonts w:ascii="仿宋_GB2312" w:hAnsi="仿宋_GB2312" w:eastAsia="仿宋_GB2312" w:cs="仿宋_GB2312"/>
                <w:sz w:val="20"/>
                <w:szCs w:val="20"/>
              </w:rPr>
            </w:pPr>
          </w:p>
        </w:tc>
        <w:tc>
          <w:tcPr>
            <w:tcW w:w="814" w:type="dxa"/>
            <w:vAlign w:val="center"/>
          </w:tcPr>
          <w:p w14:paraId="0C84A49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06F82E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00" w:type="dxa"/>
            <w:vAlign w:val="center"/>
          </w:tcPr>
          <w:p w14:paraId="54A853B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2F7B141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1DAE660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00" w:type="dxa"/>
            <w:vAlign w:val="center"/>
          </w:tcPr>
          <w:p w14:paraId="054C8CF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15" w:type="dxa"/>
            <w:vAlign w:val="center"/>
          </w:tcPr>
          <w:p w14:paraId="2B36172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99EE5C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70" w:type="dxa"/>
            <w:vAlign w:val="center"/>
          </w:tcPr>
          <w:p w14:paraId="12139F2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71CAF4C9">
            <w:pPr>
              <w:spacing w:line="240" w:lineRule="atLeast"/>
              <w:jc w:val="left"/>
              <w:rPr>
                <w:rFonts w:ascii="仿宋_GB2312" w:hAnsi="仿宋_GB2312" w:eastAsia="仿宋_GB2312" w:cs="仿宋_GB2312"/>
                <w:sz w:val="20"/>
                <w:szCs w:val="20"/>
              </w:rPr>
            </w:pPr>
          </w:p>
        </w:tc>
      </w:tr>
      <w:tr w14:paraId="1FC3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4320B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46</w:t>
            </w:r>
          </w:p>
        </w:tc>
        <w:tc>
          <w:tcPr>
            <w:tcW w:w="555" w:type="dxa"/>
            <w:vAlign w:val="center"/>
          </w:tcPr>
          <w:p w14:paraId="4AB7BA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32628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CCA5A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14" w:type="dxa"/>
            <w:vAlign w:val="center"/>
          </w:tcPr>
          <w:p w14:paraId="1179F0D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对破坏或者擅自改变永久基本农田标志行为的处罚</w:t>
            </w:r>
          </w:p>
        </w:tc>
        <w:tc>
          <w:tcPr>
            <w:tcW w:w="600" w:type="dxa"/>
            <w:vAlign w:val="center"/>
          </w:tcPr>
          <w:p w14:paraId="00A06E96">
            <w:pPr>
              <w:snapToGrid w:val="0"/>
              <w:spacing w:line="240" w:lineRule="atLeast"/>
              <w:jc w:val="center"/>
              <w:rPr>
                <w:rFonts w:ascii="仿宋_GB2312" w:hAnsi="仿宋_GB2312" w:eastAsia="仿宋_GB2312" w:cs="仿宋_GB2312"/>
                <w:sz w:val="20"/>
                <w:szCs w:val="20"/>
              </w:rPr>
            </w:pPr>
          </w:p>
        </w:tc>
        <w:tc>
          <w:tcPr>
            <w:tcW w:w="600" w:type="dxa"/>
            <w:vAlign w:val="center"/>
          </w:tcPr>
          <w:p w14:paraId="30A280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5AE935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00" w:type="dxa"/>
            <w:vAlign w:val="center"/>
          </w:tcPr>
          <w:p w14:paraId="7565E3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【行政法规】《基本农田保护条例》（</w:t>
            </w:r>
            <w:r>
              <w:rPr>
                <w:rFonts w:hint="eastAsia" w:eastAsia="仿宋_GB2312"/>
                <w:snapToGrid w:val="0"/>
                <w:color w:val="000000"/>
                <w:sz w:val="20"/>
                <w:szCs w:val="20"/>
              </w:rPr>
              <w:t>1998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257</w:t>
            </w:r>
            <w:r>
              <w:rPr>
                <w:rFonts w:hint="eastAsia" w:eastAsia="仿宋_GB2312" w:cs="宋体"/>
                <w:snapToGrid w:val="0"/>
                <w:color w:val="000000"/>
                <w:sz w:val="20"/>
                <w:szCs w:val="20"/>
              </w:rPr>
              <w:t>号发布，</w:t>
            </w:r>
            <w:r>
              <w:rPr>
                <w:rFonts w:hint="eastAsia" w:eastAsia="仿宋_GB2312"/>
                <w:snapToGrid w:val="0"/>
                <w:color w:val="000000"/>
                <w:sz w:val="20"/>
                <w:szCs w:val="20"/>
              </w:rPr>
              <w:t>2011</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588</w:t>
            </w:r>
            <w:r>
              <w:rPr>
                <w:rFonts w:hint="eastAsia" w:eastAsia="仿宋_GB2312" w:cs="宋体"/>
                <w:snapToGrid w:val="0"/>
                <w:color w:val="000000"/>
                <w:sz w:val="20"/>
                <w:szCs w:val="20"/>
              </w:rPr>
              <w:t>号修正）第三十二条：违反本条例规定，破坏或者擅自改变基本农田保护区标志的，由县级以上地方人民政府土地行政主管部门或者农业行政主管部门责令恢复原状，可以处</w:t>
            </w:r>
            <w:r>
              <w:rPr>
                <w:rFonts w:hint="eastAsia" w:eastAsia="仿宋_GB2312"/>
                <w:snapToGrid w:val="0"/>
                <w:color w:val="000000"/>
                <w:sz w:val="20"/>
                <w:szCs w:val="20"/>
              </w:rPr>
              <w:t>1000</w:t>
            </w:r>
            <w:r>
              <w:rPr>
                <w:rFonts w:hint="eastAsia" w:eastAsia="仿宋_GB2312" w:cs="宋体"/>
                <w:snapToGrid w:val="0"/>
                <w:color w:val="000000"/>
                <w:sz w:val="20"/>
                <w:szCs w:val="20"/>
              </w:rPr>
              <w:t>元以下罚款。</w:t>
            </w:r>
          </w:p>
        </w:tc>
        <w:tc>
          <w:tcPr>
            <w:tcW w:w="3615" w:type="dxa"/>
            <w:vAlign w:val="center"/>
          </w:tcPr>
          <w:p w14:paraId="4631DA4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985F1C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5BC22B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1B47F7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9251CC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94754F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0C0477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FE3081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70" w:type="dxa"/>
            <w:vAlign w:val="center"/>
          </w:tcPr>
          <w:p w14:paraId="16F889F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C224F4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6DA5F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F66700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C2F7A9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A1E2F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4429A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5F71B4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18A74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9BACE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47FA2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2924A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3B870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3F6C9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F3159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02C4E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38CA1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6A321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6B38B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5ADBD4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DE6803B">
            <w:pPr>
              <w:snapToGrid w:val="0"/>
              <w:spacing w:line="240" w:lineRule="atLeast"/>
              <w:jc w:val="center"/>
              <w:rPr>
                <w:rFonts w:ascii="仿宋_GB2312" w:hAnsi="仿宋_GB2312" w:eastAsia="仿宋_GB2312" w:cs="仿宋_GB2312"/>
                <w:sz w:val="20"/>
                <w:szCs w:val="20"/>
              </w:rPr>
            </w:pPr>
          </w:p>
        </w:tc>
      </w:tr>
    </w:tbl>
    <w:p w14:paraId="52CC8A3B"/>
    <w:p w14:paraId="6F983037"/>
    <w:p w14:paraId="2143B3C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99"/>
        <w:gridCol w:w="600"/>
        <w:gridCol w:w="615"/>
        <w:gridCol w:w="975"/>
        <w:gridCol w:w="4830"/>
        <w:gridCol w:w="3585"/>
        <w:gridCol w:w="9470"/>
        <w:gridCol w:w="330"/>
      </w:tblGrid>
      <w:tr w14:paraId="555C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D2F1D93">
            <w:pPr>
              <w:snapToGrid w:val="0"/>
              <w:spacing w:line="240" w:lineRule="atLeast"/>
              <w:jc w:val="left"/>
              <w:rPr>
                <w:rFonts w:asciiTheme="majorEastAsia" w:hAnsiTheme="majorEastAsia" w:eastAsiaTheme="majorEastAsia" w:cstheme="majorEastAsia"/>
                <w:spacing w:val="-23"/>
                <w:sz w:val="20"/>
                <w:szCs w:val="20"/>
              </w:rPr>
            </w:pPr>
          </w:p>
          <w:p w14:paraId="283CE71A">
            <w:pPr>
              <w:snapToGrid w:val="0"/>
              <w:spacing w:line="240" w:lineRule="atLeast"/>
              <w:jc w:val="left"/>
              <w:rPr>
                <w:rFonts w:asciiTheme="majorEastAsia" w:hAnsiTheme="majorEastAsia" w:eastAsiaTheme="majorEastAsia" w:cstheme="majorEastAsia"/>
                <w:spacing w:val="-23"/>
                <w:sz w:val="20"/>
                <w:szCs w:val="20"/>
              </w:rPr>
            </w:pPr>
          </w:p>
          <w:p w14:paraId="7C1FA869">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7E50E822">
            <w:pPr>
              <w:spacing w:line="240" w:lineRule="atLeast"/>
              <w:rPr>
                <w:rFonts w:asciiTheme="majorEastAsia" w:hAnsiTheme="majorEastAsia" w:eastAsiaTheme="majorEastAsia" w:cstheme="majorEastAsia"/>
                <w:spacing w:val="-20"/>
                <w:sz w:val="20"/>
                <w:szCs w:val="20"/>
              </w:rPr>
            </w:pPr>
          </w:p>
          <w:p w14:paraId="4E30504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819" w:type="dxa"/>
            <w:gridSpan w:val="5"/>
            <w:vAlign w:val="center"/>
          </w:tcPr>
          <w:p w14:paraId="39D3FD2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055" w:type="dxa"/>
            <w:gridSpan w:val="2"/>
            <w:vAlign w:val="center"/>
          </w:tcPr>
          <w:p w14:paraId="4306701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40485FB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D34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00777B">
            <w:pPr>
              <w:spacing w:line="240" w:lineRule="atLeast"/>
              <w:jc w:val="left"/>
              <w:rPr>
                <w:rFonts w:ascii="仿宋_GB2312" w:hAnsi="仿宋_GB2312" w:eastAsia="仿宋_GB2312" w:cs="仿宋_GB2312"/>
                <w:sz w:val="20"/>
                <w:szCs w:val="20"/>
              </w:rPr>
            </w:pPr>
          </w:p>
        </w:tc>
        <w:tc>
          <w:tcPr>
            <w:tcW w:w="555" w:type="dxa"/>
            <w:vMerge w:val="continue"/>
          </w:tcPr>
          <w:p w14:paraId="09E85DB6">
            <w:pPr>
              <w:spacing w:line="240" w:lineRule="atLeast"/>
              <w:jc w:val="left"/>
              <w:rPr>
                <w:rFonts w:ascii="仿宋_GB2312" w:hAnsi="仿宋_GB2312" w:eastAsia="仿宋_GB2312" w:cs="仿宋_GB2312"/>
                <w:sz w:val="20"/>
                <w:szCs w:val="20"/>
              </w:rPr>
            </w:pPr>
          </w:p>
        </w:tc>
        <w:tc>
          <w:tcPr>
            <w:tcW w:w="799" w:type="dxa"/>
            <w:vAlign w:val="center"/>
          </w:tcPr>
          <w:p w14:paraId="67B1CBB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9B4AE8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00" w:type="dxa"/>
            <w:vAlign w:val="center"/>
          </w:tcPr>
          <w:p w14:paraId="0503865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1A2177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205C32A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830" w:type="dxa"/>
            <w:vAlign w:val="center"/>
          </w:tcPr>
          <w:p w14:paraId="7B4DFC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7D8360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9565C9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70" w:type="dxa"/>
            <w:vAlign w:val="center"/>
          </w:tcPr>
          <w:p w14:paraId="0FC79ED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6C9D288">
            <w:pPr>
              <w:spacing w:line="240" w:lineRule="atLeast"/>
              <w:jc w:val="left"/>
              <w:rPr>
                <w:rFonts w:ascii="仿宋_GB2312" w:hAnsi="仿宋_GB2312" w:eastAsia="仿宋_GB2312" w:cs="仿宋_GB2312"/>
                <w:sz w:val="20"/>
                <w:szCs w:val="20"/>
              </w:rPr>
            </w:pPr>
          </w:p>
        </w:tc>
      </w:tr>
      <w:tr w14:paraId="4CEA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63FD4F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47</w:t>
            </w:r>
          </w:p>
        </w:tc>
        <w:tc>
          <w:tcPr>
            <w:tcW w:w="555" w:type="dxa"/>
            <w:vAlign w:val="center"/>
          </w:tcPr>
          <w:p w14:paraId="2C6D1A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75066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E614B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99" w:type="dxa"/>
            <w:vAlign w:val="center"/>
          </w:tcPr>
          <w:p w14:paraId="0D100B6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对接受土地调查的单位和个人无正当理由不履行现场指界义务行为的处罚</w:t>
            </w:r>
          </w:p>
        </w:tc>
        <w:tc>
          <w:tcPr>
            <w:tcW w:w="600" w:type="dxa"/>
            <w:vAlign w:val="center"/>
          </w:tcPr>
          <w:p w14:paraId="3D171044">
            <w:pPr>
              <w:snapToGrid w:val="0"/>
              <w:spacing w:line="240" w:lineRule="atLeast"/>
              <w:jc w:val="center"/>
              <w:rPr>
                <w:rFonts w:ascii="仿宋_GB2312" w:hAnsi="仿宋_GB2312" w:eastAsia="仿宋_GB2312" w:cs="仿宋_GB2312"/>
                <w:sz w:val="20"/>
                <w:szCs w:val="20"/>
              </w:rPr>
            </w:pPr>
          </w:p>
        </w:tc>
        <w:tc>
          <w:tcPr>
            <w:tcW w:w="615" w:type="dxa"/>
            <w:vAlign w:val="center"/>
          </w:tcPr>
          <w:p w14:paraId="2BDD0F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078E32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830" w:type="dxa"/>
            <w:vAlign w:val="center"/>
          </w:tcPr>
          <w:p w14:paraId="0B17FE9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土地调查条例》（2008年国务院令第518号公布，2018年国务院令第698号修正）第十七条：接受调查的有关单位和个人应当如实回答询问，履行现场指界义务，按照要求提供相关资料，不得转移、隐匿、篡改、毁弃原始记录和土地登记簿等相关资料。</w:t>
            </w:r>
          </w:p>
          <w:p w14:paraId="4BBDE08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14:paraId="111215E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（一）拒绝或者阻挠土地调查人员依法进行调查的；</w:t>
            </w:r>
          </w:p>
          <w:p w14:paraId="796F67D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（二）提供虚假调查资料的；</w:t>
            </w:r>
          </w:p>
          <w:p w14:paraId="698EBA2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（三）拒绝提供调查资料的；</w:t>
            </w:r>
          </w:p>
          <w:p w14:paraId="33327DB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（四）转移、隐匿、篡改、毁弃原始记录、土地登记簿等相关资料的。</w:t>
            </w:r>
          </w:p>
          <w:p w14:paraId="67358FD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土地调查条例实施办法》（2009年国土资源部第45号令公布，2019年自然资源部令第5号修正）第二十九条：接受土地调查的单位和个人违反条例第十七条的规定，无正当理由不履行现场指界义务的，由县级以上人民政府自然资源主管部门责令限期改正，逾期不改正的，依照条例第三十二条的规定进行处罚。</w:t>
            </w:r>
          </w:p>
          <w:p w14:paraId="5722E46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一条：承担土地调查任务的单位不符合条例第十三条和本办法第十条规定的相关条件，弄虚作假，骗取土地调查任务的，县级以上自然资源主管部门应当终止该单位承担的土地调查任务，并不再将该单位列入土地调查单位名录。</w:t>
            </w:r>
          </w:p>
          <w:p w14:paraId="5200DA0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第三十二条：土地调查人员违反条例第三十一条规定的，由自然资源部注销土地调查员工作证，不得再次参加土地调查人员考核。</w:t>
            </w:r>
          </w:p>
        </w:tc>
        <w:tc>
          <w:tcPr>
            <w:tcW w:w="3585" w:type="dxa"/>
            <w:vAlign w:val="center"/>
          </w:tcPr>
          <w:p w14:paraId="42C816E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E5B481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5260C39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524600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7D74D1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1F2348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94EB7F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A39A63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70" w:type="dxa"/>
            <w:vAlign w:val="center"/>
          </w:tcPr>
          <w:p w14:paraId="7CE160B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4C8177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B24C6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11738E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C355B0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24E4B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A65D3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949C34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E87CA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4D944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4B4BE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8FD1A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05EAA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D479A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CD786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8CEDE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D647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04660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E99B5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D5A7E7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1FDE5A1">
            <w:pPr>
              <w:snapToGrid w:val="0"/>
              <w:spacing w:line="240" w:lineRule="atLeast"/>
              <w:jc w:val="center"/>
              <w:rPr>
                <w:rFonts w:ascii="仿宋_GB2312" w:hAnsi="仿宋_GB2312" w:eastAsia="仿宋_GB2312" w:cs="仿宋_GB2312"/>
                <w:sz w:val="20"/>
                <w:szCs w:val="20"/>
              </w:rPr>
            </w:pPr>
          </w:p>
        </w:tc>
      </w:tr>
    </w:tbl>
    <w:p w14:paraId="038EAF9A"/>
    <w:p w14:paraId="7D9EBF17"/>
    <w:p w14:paraId="3A837A3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14"/>
        <w:gridCol w:w="615"/>
        <w:gridCol w:w="600"/>
        <w:gridCol w:w="960"/>
        <w:gridCol w:w="4770"/>
        <w:gridCol w:w="3615"/>
        <w:gridCol w:w="9500"/>
        <w:gridCol w:w="330"/>
      </w:tblGrid>
      <w:tr w14:paraId="1D7D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F635697">
            <w:pPr>
              <w:snapToGrid w:val="0"/>
              <w:spacing w:line="240" w:lineRule="atLeast"/>
              <w:jc w:val="left"/>
              <w:rPr>
                <w:rFonts w:asciiTheme="majorEastAsia" w:hAnsiTheme="majorEastAsia" w:eastAsiaTheme="majorEastAsia" w:cstheme="majorEastAsia"/>
                <w:spacing w:val="-23"/>
                <w:sz w:val="20"/>
                <w:szCs w:val="20"/>
              </w:rPr>
            </w:pPr>
          </w:p>
          <w:p w14:paraId="61A35451">
            <w:pPr>
              <w:snapToGrid w:val="0"/>
              <w:spacing w:line="240" w:lineRule="atLeast"/>
              <w:jc w:val="left"/>
              <w:rPr>
                <w:rFonts w:asciiTheme="majorEastAsia" w:hAnsiTheme="majorEastAsia" w:eastAsiaTheme="majorEastAsia" w:cstheme="majorEastAsia"/>
                <w:spacing w:val="-23"/>
                <w:sz w:val="20"/>
                <w:szCs w:val="20"/>
              </w:rPr>
            </w:pPr>
          </w:p>
          <w:p w14:paraId="444D2800">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BA68DE5">
            <w:pPr>
              <w:spacing w:line="240" w:lineRule="atLeast"/>
              <w:rPr>
                <w:rFonts w:asciiTheme="majorEastAsia" w:hAnsiTheme="majorEastAsia" w:eastAsiaTheme="majorEastAsia" w:cstheme="majorEastAsia"/>
                <w:spacing w:val="-20"/>
                <w:sz w:val="20"/>
                <w:szCs w:val="20"/>
              </w:rPr>
            </w:pPr>
          </w:p>
          <w:p w14:paraId="295A903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59" w:type="dxa"/>
            <w:gridSpan w:val="5"/>
            <w:vAlign w:val="center"/>
          </w:tcPr>
          <w:p w14:paraId="617B25B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15" w:type="dxa"/>
            <w:gridSpan w:val="2"/>
            <w:vAlign w:val="center"/>
          </w:tcPr>
          <w:p w14:paraId="63C7551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5259104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4C1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DB2992">
            <w:pPr>
              <w:spacing w:line="240" w:lineRule="atLeast"/>
              <w:jc w:val="left"/>
              <w:rPr>
                <w:rFonts w:ascii="仿宋_GB2312" w:hAnsi="仿宋_GB2312" w:eastAsia="仿宋_GB2312" w:cs="仿宋_GB2312"/>
                <w:sz w:val="20"/>
                <w:szCs w:val="20"/>
              </w:rPr>
            </w:pPr>
          </w:p>
        </w:tc>
        <w:tc>
          <w:tcPr>
            <w:tcW w:w="555" w:type="dxa"/>
            <w:vMerge w:val="continue"/>
          </w:tcPr>
          <w:p w14:paraId="75D36DFD">
            <w:pPr>
              <w:spacing w:line="240" w:lineRule="atLeast"/>
              <w:jc w:val="left"/>
              <w:rPr>
                <w:rFonts w:ascii="仿宋_GB2312" w:hAnsi="仿宋_GB2312" w:eastAsia="仿宋_GB2312" w:cs="仿宋_GB2312"/>
                <w:sz w:val="20"/>
                <w:szCs w:val="20"/>
              </w:rPr>
            </w:pPr>
          </w:p>
        </w:tc>
        <w:tc>
          <w:tcPr>
            <w:tcW w:w="814" w:type="dxa"/>
            <w:vAlign w:val="center"/>
          </w:tcPr>
          <w:p w14:paraId="7477425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12A12F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55B44DB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79C55F5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60" w:type="dxa"/>
            <w:vAlign w:val="center"/>
          </w:tcPr>
          <w:p w14:paraId="05134B4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70" w:type="dxa"/>
            <w:vAlign w:val="center"/>
          </w:tcPr>
          <w:p w14:paraId="2E835E4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15" w:type="dxa"/>
            <w:vAlign w:val="center"/>
          </w:tcPr>
          <w:p w14:paraId="64455E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1203C4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00" w:type="dxa"/>
            <w:vAlign w:val="center"/>
          </w:tcPr>
          <w:p w14:paraId="4B36CCD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351AE60A">
            <w:pPr>
              <w:spacing w:line="240" w:lineRule="atLeast"/>
              <w:jc w:val="left"/>
              <w:rPr>
                <w:rFonts w:ascii="仿宋_GB2312" w:hAnsi="仿宋_GB2312" w:eastAsia="仿宋_GB2312" w:cs="仿宋_GB2312"/>
                <w:sz w:val="20"/>
                <w:szCs w:val="20"/>
              </w:rPr>
            </w:pPr>
          </w:p>
        </w:tc>
      </w:tr>
      <w:tr w14:paraId="28DD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1438C4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48</w:t>
            </w:r>
          </w:p>
        </w:tc>
        <w:tc>
          <w:tcPr>
            <w:tcW w:w="555" w:type="dxa"/>
            <w:vAlign w:val="center"/>
          </w:tcPr>
          <w:p w14:paraId="45A9D6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24D23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4A4C1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14" w:type="dxa"/>
            <w:vAlign w:val="center"/>
          </w:tcPr>
          <w:p w14:paraId="7B27475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对接受调查的单位和个人拒绝或者阻挠土地调查人员依法进行调查行为的处罚</w:t>
            </w:r>
          </w:p>
        </w:tc>
        <w:tc>
          <w:tcPr>
            <w:tcW w:w="615" w:type="dxa"/>
            <w:vAlign w:val="center"/>
          </w:tcPr>
          <w:p w14:paraId="69EDCF1F">
            <w:pPr>
              <w:snapToGrid w:val="0"/>
              <w:spacing w:line="240" w:lineRule="atLeast"/>
              <w:jc w:val="center"/>
              <w:rPr>
                <w:rFonts w:ascii="仿宋_GB2312" w:hAnsi="仿宋_GB2312" w:eastAsia="仿宋_GB2312" w:cs="仿宋_GB2312"/>
                <w:sz w:val="20"/>
                <w:szCs w:val="20"/>
              </w:rPr>
            </w:pPr>
          </w:p>
        </w:tc>
        <w:tc>
          <w:tcPr>
            <w:tcW w:w="600" w:type="dxa"/>
            <w:vAlign w:val="center"/>
          </w:tcPr>
          <w:p w14:paraId="71F0E5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60" w:type="dxa"/>
            <w:vAlign w:val="center"/>
          </w:tcPr>
          <w:p w14:paraId="439696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70" w:type="dxa"/>
            <w:vAlign w:val="center"/>
          </w:tcPr>
          <w:p w14:paraId="2E3C9651">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【行政法规】《土地调查条例》（</w:t>
            </w:r>
            <w:r>
              <w:rPr>
                <w:rFonts w:hint="eastAsia" w:eastAsia="仿宋_GB2312"/>
                <w:snapToGrid w:val="0"/>
                <w:color w:val="000000"/>
                <w:sz w:val="20"/>
                <w:szCs w:val="20"/>
              </w:rPr>
              <w:t>2008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518</w:t>
            </w:r>
            <w:r>
              <w:rPr>
                <w:rFonts w:hint="eastAsia" w:eastAsia="仿宋_GB2312" w:cs="宋体"/>
                <w:snapToGrid w:val="0"/>
                <w:color w:val="000000"/>
                <w:sz w:val="20"/>
                <w:szCs w:val="20"/>
              </w:rPr>
              <w:t>号公布，</w:t>
            </w:r>
            <w:r>
              <w:rPr>
                <w:rFonts w:hint="eastAsia" w:eastAsia="仿宋_GB2312"/>
                <w:snapToGrid w:val="0"/>
                <w:color w:val="000000"/>
                <w:sz w:val="20"/>
                <w:szCs w:val="20"/>
              </w:rPr>
              <w:t>2018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698</w:t>
            </w:r>
            <w:r>
              <w:rPr>
                <w:rFonts w:hint="eastAsia" w:eastAsia="仿宋_GB2312" w:cs="宋体"/>
                <w:snapToGrid w:val="0"/>
                <w:color w:val="000000"/>
                <w:sz w:val="20"/>
                <w:szCs w:val="20"/>
              </w:rPr>
              <w:t>号修正）第三十二条：接受调查的单位和个人有下列行为之一的，由县级以上人民政府国土资源主管部门责令限期改正，可以处</w:t>
            </w:r>
            <w:r>
              <w:rPr>
                <w:rFonts w:hint="eastAsia" w:eastAsia="仿宋_GB2312"/>
                <w:snapToGrid w:val="0"/>
                <w:color w:val="000000"/>
                <w:sz w:val="20"/>
                <w:szCs w:val="20"/>
              </w:rPr>
              <w:t>5</w:t>
            </w:r>
            <w:r>
              <w:rPr>
                <w:rFonts w:hint="eastAsia" w:eastAsia="仿宋_GB2312" w:cs="宋体"/>
                <w:snapToGrid w:val="0"/>
                <w:color w:val="000000"/>
                <w:sz w:val="20"/>
                <w:szCs w:val="20"/>
              </w:rPr>
              <w:t>万元以下的罚款；构成违反治安管理行为的，由公安机关依法给予治安管理处罚；构成犯罪的，依法追究刑事责任：</w:t>
            </w:r>
          </w:p>
          <w:p w14:paraId="53B2516C">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（一）拒绝或者阻挠土地调查人员依法进行调查的。</w:t>
            </w:r>
          </w:p>
        </w:tc>
        <w:tc>
          <w:tcPr>
            <w:tcW w:w="3615" w:type="dxa"/>
            <w:vAlign w:val="center"/>
          </w:tcPr>
          <w:p w14:paraId="016A250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26D8CD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41E455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CA93A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DEF206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FBC12B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AFB3EE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D8D76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00" w:type="dxa"/>
            <w:vAlign w:val="center"/>
          </w:tcPr>
          <w:p w14:paraId="6BA8E87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C99EA9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2CB52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8DDD6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849136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22BB1E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A755EA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AC8B42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50708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6A567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EEC30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090BE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4FACB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699DD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F2B2E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6B15E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C04FA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A35AD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F6A5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8C4FAC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02CE8B8">
            <w:pPr>
              <w:snapToGrid w:val="0"/>
              <w:spacing w:line="240" w:lineRule="atLeast"/>
              <w:jc w:val="center"/>
              <w:rPr>
                <w:rFonts w:ascii="仿宋_GB2312" w:hAnsi="仿宋_GB2312" w:eastAsia="仿宋_GB2312" w:cs="仿宋_GB2312"/>
                <w:sz w:val="20"/>
                <w:szCs w:val="20"/>
              </w:rPr>
            </w:pPr>
          </w:p>
        </w:tc>
      </w:tr>
    </w:tbl>
    <w:p w14:paraId="3AE0B823"/>
    <w:p w14:paraId="7830F568"/>
    <w:p w14:paraId="602633E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814"/>
        <w:gridCol w:w="615"/>
        <w:gridCol w:w="585"/>
        <w:gridCol w:w="975"/>
        <w:gridCol w:w="4755"/>
        <w:gridCol w:w="3645"/>
        <w:gridCol w:w="9485"/>
        <w:gridCol w:w="330"/>
      </w:tblGrid>
      <w:tr w14:paraId="1D9D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349EBD4">
            <w:pPr>
              <w:snapToGrid w:val="0"/>
              <w:spacing w:line="240" w:lineRule="atLeast"/>
              <w:jc w:val="left"/>
              <w:rPr>
                <w:rFonts w:asciiTheme="majorEastAsia" w:hAnsiTheme="majorEastAsia" w:eastAsiaTheme="majorEastAsia" w:cstheme="majorEastAsia"/>
                <w:spacing w:val="-23"/>
                <w:sz w:val="20"/>
                <w:szCs w:val="20"/>
              </w:rPr>
            </w:pPr>
          </w:p>
          <w:p w14:paraId="7A917D13">
            <w:pPr>
              <w:snapToGrid w:val="0"/>
              <w:spacing w:line="240" w:lineRule="atLeast"/>
              <w:jc w:val="left"/>
              <w:rPr>
                <w:rFonts w:asciiTheme="majorEastAsia" w:hAnsiTheme="majorEastAsia" w:eastAsiaTheme="majorEastAsia" w:cstheme="majorEastAsia"/>
                <w:spacing w:val="-23"/>
                <w:sz w:val="20"/>
                <w:szCs w:val="20"/>
              </w:rPr>
            </w:pPr>
          </w:p>
          <w:p w14:paraId="016FA9C1">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1CC4F671">
            <w:pPr>
              <w:spacing w:line="240" w:lineRule="atLeast"/>
              <w:rPr>
                <w:rFonts w:asciiTheme="majorEastAsia" w:hAnsiTheme="majorEastAsia" w:eastAsiaTheme="majorEastAsia" w:cstheme="majorEastAsia"/>
                <w:spacing w:val="-20"/>
                <w:sz w:val="20"/>
                <w:szCs w:val="20"/>
              </w:rPr>
            </w:pPr>
          </w:p>
          <w:p w14:paraId="5265FE1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44" w:type="dxa"/>
            <w:gridSpan w:val="5"/>
            <w:vAlign w:val="center"/>
          </w:tcPr>
          <w:p w14:paraId="6228B66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30" w:type="dxa"/>
            <w:gridSpan w:val="2"/>
            <w:vAlign w:val="center"/>
          </w:tcPr>
          <w:p w14:paraId="143B230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7AF82E5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37E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4088FF7">
            <w:pPr>
              <w:spacing w:line="240" w:lineRule="atLeast"/>
              <w:jc w:val="left"/>
              <w:rPr>
                <w:rFonts w:ascii="仿宋_GB2312" w:hAnsi="仿宋_GB2312" w:eastAsia="仿宋_GB2312" w:cs="仿宋_GB2312"/>
                <w:sz w:val="20"/>
                <w:szCs w:val="20"/>
              </w:rPr>
            </w:pPr>
          </w:p>
        </w:tc>
        <w:tc>
          <w:tcPr>
            <w:tcW w:w="555" w:type="dxa"/>
            <w:vMerge w:val="continue"/>
          </w:tcPr>
          <w:p w14:paraId="58334E7C">
            <w:pPr>
              <w:spacing w:line="240" w:lineRule="atLeast"/>
              <w:jc w:val="left"/>
              <w:rPr>
                <w:rFonts w:ascii="仿宋_GB2312" w:hAnsi="仿宋_GB2312" w:eastAsia="仿宋_GB2312" w:cs="仿宋_GB2312"/>
                <w:sz w:val="20"/>
                <w:szCs w:val="20"/>
              </w:rPr>
            </w:pPr>
          </w:p>
        </w:tc>
        <w:tc>
          <w:tcPr>
            <w:tcW w:w="814" w:type="dxa"/>
            <w:vAlign w:val="center"/>
          </w:tcPr>
          <w:p w14:paraId="75105C1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C84F62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7FED6CF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585" w:type="dxa"/>
            <w:vAlign w:val="center"/>
          </w:tcPr>
          <w:p w14:paraId="2F3E905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75" w:type="dxa"/>
            <w:vAlign w:val="center"/>
          </w:tcPr>
          <w:p w14:paraId="05802CE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755" w:type="dxa"/>
            <w:vAlign w:val="center"/>
          </w:tcPr>
          <w:p w14:paraId="4615A2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45" w:type="dxa"/>
            <w:vAlign w:val="center"/>
          </w:tcPr>
          <w:p w14:paraId="188EDCA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C9D966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485" w:type="dxa"/>
            <w:vAlign w:val="center"/>
          </w:tcPr>
          <w:p w14:paraId="58D4DE9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50C66C5">
            <w:pPr>
              <w:spacing w:line="240" w:lineRule="atLeast"/>
              <w:jc w:val="left"/>
              <w:rPr>
                <w:rFonts w:ascii="仿宋_GB2312" w:hAnsi="仿宋_GB2312" w:eastAsia="仿宋_GB2312" w:cs="仿宋_GB2312"/>
                <w:sz w:val="20"/>
                <w:szCs w:val="20"/>
              </w:rPr>
            </w:pPr>
          </w:p>
        </w:tc>
      </w:tr>
      <w:tr w14:paraId="0CDE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3EABCD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49</w:t>
            </w:r>
          </w:p>
        </w:tc>
        <w:tc>
          <w:tcPr>
            <w:tcW w:w="555" w:type="dxa"/>
            <w:vAlign w:val="center"/>
          </w:tcPr>
          <w:p w14:paraId="7A5D49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F8D62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E2CA6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814" w:type="dxa"/>
            <w:vAlign w:val="center"/>
          </w:tcPr>
          <w:p w14:paraId="4CAA4AF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对接受调查的单位和个人提供虚假调查资料行为的处罚</w:t>
            </w:r>
          </w:p>
        </w:tc>
        <w:tc>
          <w:tcPr>
            <w:tcW w:w="615" w:type="dxa"/>
            <w:vAlign w:val="center"/>
          </w:tcPr>
          <w:p w14:paraId="65CB87F5">
            <w:pPr>
              <w:snapToGrid w:val="0"/>
              <w:spacing w:line="240" w:lineRule="atLeast"/>
              <w:jc w:val="center"/>
              <w:rPr>
                <w:rFonts w:ascii="仿宋_GB2312" w:hAnsi="仿宋_GB2312" w:eastAsia="仿宋_GB2312" w:cs="仿宋_GB2312"/>
                <w:sz w:val="20"/>
                <w:szCs w:val="20"/>
              </w:rPr>
            </w:pPr>
          </w:p>
        </w:tc>
        <w:tc>
          <w:tcPr>
            <w:tcW w:w="585" w:type="dxa"/>
            <w:vAlign w:val="center"/>
          </w:tcPr>
          <w:p w14:paraId="54B8B7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75" w:type="dxa"/>
            <w:vAlign w:val="center"/>
          </w:tcPr>
          <w:p w14:paraId="552DB2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755" w:type="dxa"/>
            <w:vAlign w:val="center"/>
          </w:tcPr>
          <w:p w14:paraId="627FA17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【行政法规】《土地调查条例》（</w:t>
            </w:r>
            <w:r>
              <w:rPr>
                <w:rFonts w:hint="eastAsia" w:eastAsia="仿宋_GB2312"/>
                <w:snapToGrid w:val="0"/>
                <w:color w:val="000000"/>
                <w:sz w:val="20"/>
                <w:szCs w:val="20"/>
              </w:rPr>
              <w:t>2008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518</w:t>
            </w:r>
            <w:r>
              <w:rPr>
                <w:rFonts w:hint="eastAsia" w:eastAsia="仿宋_GB2312" w:cs="宋体"/>
                <w:snapToGrid w:val="0"/>
                <w:color w:val="000000"/>
                <w:sz w:val="20"/>
                <w:szCs w:val="20"/>
              </w:rPr>
              <w:t>号公布，</w:t>
            </w:r>
            <w:r>
              <w:rPr>
                <w:rFonts w:hint="eastAsia" w:eastAsia="仿宋_GB2312"/>
                <w:snapToGrid w:val="0"/>
                <w:color w:val="000000"/>
                <w:sz w:val="20"/>
                <w:szCs w:val="20"/>
              </w:rPr>
              <w:t>2018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698</w:t>
            </w:r>
            <w:r>
              <w:rPr>
                <w:rFonts w:hint="eastAsia" w:eastAsia="仿宋_GB2312" w:cs="宋体"/>
                <w:snapToGrid w:val="0"/>
                <w:color w:val="000000"/>
                <w:sz w:val="20"/>
                <w:szCs w:val="20"/>
              </w:rPr>
              <w:t>号修正）第三十二条：接受调查的单位和个人有下列行为之一的，由县级以上人民政府国土资源主管部门责令限期改正，可以处</w:t>
            </w:r>
            <w:r>
              <w:rPr>
                <w:rFonts w:hint="eastAsia" w:eastAsia="仿宋_GB2312"/>
                <w:snapToGrid w:val="0"/>
                <w:color w:val="000000"/>
                <w:sz w:val="20"/>
                <w:szCs w:val="20"/>
              </w:rPr>
              <w:t>5</w:t>
            </w:r>
            <w:r>
              <w:rPr>
                <w:rFonts w:hint="eastAsia" w:eastAsia="仿宋_GB2312" w:cs="宋体"/>
                <w:snapToGrid w:val="0"/>
                <w:color w:val="000000"/>
                <w:sz w:val="20"/>
                <w:szCs w:val="20"/>
              </w:rPr>
              <w:t>万元以下的罚款；构成违反治安管理行为的，由公安机关依法给予治安管理处罚；构成犯罪的，依法追究刑事责任：</w:t>
            </w:r>
          </w:p>
          <w:p w14:paraId="7E506A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（二）提供虚假调查资料的；</w:t>
            </w:r>
          </w:p>
        </w:tc>
        <w:tc>
          <w:tcPr>
            <w:tcW w:w="3645" w:type="dxa"/>
            <w:vAlign w:val="center"/>
          </w:tcPr>
          <w:p w14:paraId="51AB74E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199D6F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41CE905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7042DC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C36D1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C01D38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725F5E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8A8FCE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485" w:type="dxa"/>
            <w:vAlign w:val="center"/>
          </w:tcPr>
          <w:p w14:paraId="2835126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9B9C01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EC82F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231E7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8C372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D90B2C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5449F7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C849F5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5856C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48095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D5588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79C87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9290B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FF397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EEBB9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4817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54959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B5DA7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5D660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4341F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B00ECC9">
            <w:pPr>
              <w:snapToGrid w:val="0"/>
              <w:spacing w:line="240" w:lineRule="atLeast"/>
              <w:jc w:val="center"/>
              <w:rPr>
                <w:rFonts w:ascii="仿宋_GB2312" w:hAnsi="仿宋_GB2312" w:eastAsia="仿宋_GB2312" w:cs="仿宋_GB2312"/>
                <w:sz w:val="20"/>
                <w:szCs w:val="20"/>
              </w:rPr>
            </w:pPr>
          </w:p>
        </w:tc>
      </w:tr>
    </w:tbl>
    <w:p w14:paraId="30837D36"/>
    <w:p w14:paraId="7372BACE"/>
    <w:p w14:paraId="001E923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99"/>
        <w:gridCol w:w="645"/>
        <w:gridCol w:w="615"/>
        <w:gridCol w:w="990"/>
        <w:gridCol w:w="4695"/>
        <w:gridCol w:w="3630"/>
        <w:gridCol w:w="9500"/>
        <w:gridCol w:w="330"/>
      </w:tblGrid>
      <w:tr w14:paraId="5DDB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BB9F91D">
            <w:pPr>
              <w:snapToGrid w:val="0"/>
              <w:spacing w:line="240" w:lineRule="atLeast"/>
              <w:jc w:val="left"/>
              <w:rPr>
                <w:rFonts w:asciiTheme="majorEastAsia" w:hAnsiTheme="majorEastAsia" w:eastAsiaTheme="majorEastAsia" w:cstheme="majorEastAsia"/>
                <w:spacing w:val="-23"/>
                <w:sz w:val="20"/>
                <w:szCs w:val="20"/>
              </w:rPr>
            </w:pPr>
          </w:p>
          <w:p w14:paraId="68492961">
            <w:pPr>
              <w:snapToGrid w:val="0"/>
              <w:spacing w:line="240" w:lineRule="atLeast"/>
              <w:jc w:val="left"/>
              <w:rPr>
                <w:rFonts w:asciiTheme="majorEastAsia" w:hAnsiTheme="majorEastAsia" w:eastAsiaTheme="majorEastAsia" w:cstheme="majorEastAsia"/>
                <w:spacing w:val="-23"/>
                <w:sz w:val="20"/>
                <w:szCs w:val="20"/>
              </w:rPr>
            </w:pPr>
          </w:p>
          <w:p w14:paraId="4E940C48">
            <w:pPr>
              <w:snapToGrid w:val="0"/>
              <w:spacing w:line="240" w:lineRule="atLeast"/>
              <w:jc w:val="left"/>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序号</w:t>
            </w:r>
          </w:p>
        </w:tc>
        <w:tc>
          <w:tcPr>
            <w:tcW w:w="555" w:type="dxa"/>
            <w:vMerge w:val="restart"/>
            <w:vAlign w:val="center"/>
          </w:tcPr>
          <w:p w14:paraId="086BC886">
            <w:pPr>
              <w:spacing w:line="240" w:lineRule="atLeast"/>
              <w:rPr>
                <w:rFonts w:asciiTheme="majorEastAsia" w:hAnsiTheme="majorEastAsia" w:eastAsiaTheme="majorEastAsia" w:cstheme="majorEastAsia"/>
                <w:spacing w:val="-20"/>
                <w:sz w:val="20"/>
                <w:szCs w:val="20"/>
              </w:rPr>
            </w:pPr>
          </w:p>
          <w:p w14:paraId="3C046B5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44" w:type="dxa"/>
            <w:gridSpan w:val="5"/>
            <w:vAlign w:val="center"/>
          </w:tcPr>
          <w:p w14:paraId="177A088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30" w:type="dxa"/>
            <w:gridSpan w:val="2"/>
            <w:vAlign w:val="center"/>
          </w:tcPr>
          <w:p w14:paraId="196DDC1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Align w:val="center"/>
          </w:tcPr>
          <w:p w14:paraId="1C2155E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846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1A9BA2A">
            <w:pPr>
              <w:spacing w:line="240" w:lineRule="atLeast"/>
              <w:jc w:val="left"/>
              <w:rPr>
                <w:rFonts w:ascii="仿宋_GB2312" w:hAnsi="仿宋_GB2312" w:eastAsia="仿宋_GB2312" w:cs="仿宋_GB2312"/>
                <w:sz w:val="20"/>
                <w:szCs w:val="20"/>
              </w:rPr>
            </w:pPr>
          </w:p>
        </w:tc>
        <w:tc>
          <w:tcPr>
            <w:tcW w:w="555" w:type="dxa"/>
            <w:vMerge w:val="continue"/>
          </w:tcPr>
          <w:p w14:paraId="38690E60">
            <w:pPr>
              <w:spacing w:line="240" w:lineRule="atLeast"/>
              <w:jc w:val="left"/>
              <w:rPr>
                <w:rFonts w:ascii="仿宋_GB2312" w:hAnsi="仿宋_GB2312" w:eastAsia="仿宋_GB2312" w:cs="仿宋_GB2312"/>
                <w:sz w:val="20"/>
                <w:szCs w:val="20"/>
              </w:rPr>
            </w:pPr>
          </w:p>
        </w:tc>
        <w:tc>
          <w:tcPr>
            <w:tcW w:w="799" w:type="dxa"/>
            <w:vAlign w:val="center"/>
          </w:tcPr>
          <w:p w14:paraId="4C915D8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DAD8A8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1E60927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677BE7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90" w:type="dxa"/>
            <w:vAlign w:val="center"/>
          </w:tcPr>
          <w:p w14:paraId="0594E65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95" w:type="dxa"/>
            <w:vAlign w:val="center"/>
          </w:tcPr>
          <w:p w14:paraId="48D7CC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630" w:type="dxa"/>
            <w:vAlign w:val="center"/>
          </w:tcPr>
          <w:p w14:paraId="580FF2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585CAC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00" w:type="dxa"/>
            <w:vAlign w:val="center"/>
          </w:tcPr>
          <w:p w14:paraId="1268441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tcPr>
          <w:p w14:paraId="1621194B">
            <w:pPr>
              <w:spacing w:line="240" w:lineRule="atLeast"/>
              <w:jc w:val="left"/>
              <w:rPr>
                <w:rFonts w:ascii="仿宋_GB2312" w:hAnsi="仿宋_GB2312" w:eastAsia="仿宋_GB2312" w:cs="仿宋_GB2312"/>
                <w:sz w:val="20"/>
                <w:szCs w:val="20"/>
              </w:rPr>
            </w:pPr>
          </w:p>
        </w:tc>
      </w:tr>
      <w:tr w14:paraId="5AFC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611" w:type="dxa"/>
            <w:vAlign w:val="center"/>
          </w:tcPr>
          <w:p w14:paraId="52A728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50</w:t>
            </w:r>
          </w:p>
        </w:tc>
        <w:tc>
          <w:tcPr>
            <w:tcW w:w="555" w:type="dxa"/>
            <w:vAlign w:val="center"/>
          </w:tcPr>
          <w:p w14:paraId="4152C5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8B770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0F18D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99" w:type="dxa"/>
            <w:vAlign w:val="center"/>
          </w:tcPr>
          <w:p w14:paraId="4A8A10F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对接受调查的单位和个人转移、隐匿、篡改、毁弃原始记录、土地登记簿等相关资料行为的处罚</w:t>
            </w:r>
          </w:p>
        </w:tc>
        <w:tc>
          <w:tcPr>
            <w:tcW w:w="645" w:type="dxa"/>
            <w:vAlign w:val="center"/>
          </w:tcPr>
          <w:p w14:paraId="6ADC3B45">
            <w:pPr>
              <w:snapToGrid w:val="0"/>
              <w:spacing w:line="240" w:lineRule="atLeast"/>
              <w:jc w:val="center"/>
              <w:rPr>
                <w:rFonts w:ascii="仿宋_GB2312" w:hAnsi="仿宋_GB2312" w:eastAsia="仿宋_GB2312" w:cs="仿宋_GB2312"/>
                <w:sz w:val="20"/>
                <w:szCs w:val="20"/>
              </w:rPr>
            </w:pPr>
          </w:p>
        </w:tc>
        <w:tc>
          <w:tcPr>
            <w:tcW w:w="615" w:type="dxa"/>
            <w:vAlign w:val="center"/>
          </w:tcPr>
          <w:p w14:paraId="07F4464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90" w:type="dxa"/>
            <w:vAlign w:val="center"/>
          </w:tcPr>
          <w:p w14:paraId="29E339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95" w:type="dxa"/>
            <w:vAlign w:val="center"/>
          </w:tcPr>
          <w:p w14:paraId="57AD989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土地调查条例》（2008年国务院令第518号公布，2018年国务院令第698号修正）第三十二条：接受调查的单位和个人有下列行为之一的，由县级以上人民政府国土资源主管部门责令限期改正，可以处5万元以下的罚款；构成违反治安管理行为的，由公安机关依法给予治安管理处罚；构成犯罪的，依法追究刑事责任：</w:t>
            </w:r>
          </w:p>
          <w:p w14:paraId="552342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（四）转移、隐匿、篡改、毁弃原始记录、土地登记簿等相关资料的。</w:t>
            </w:r>
          </w:p>
        </w:tc>
        <w:tc>
          <w:tcPr>
            <w:tcW w:w="3630" w:type="dxa"/>
            <w:vAlign w:val="center"/>
          </w:tcPr>
          <w:p w14:paraId="33E7C1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7C0816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AE3DA6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F67EC9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34F065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0C9B74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231137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630F83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00" w:type="dxa"/>
            <w:vAlign w:val="center"/>
          </w:tcPr>
          <w:p w14:paraId="15561E8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425B17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38A40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835519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593415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315621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6237D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1A47E1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C746D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B7E61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27868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0E17C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8A732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ACC0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6551A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6CB8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BF732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10D91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3BE7B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4258B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0EB657F">
            <w:pPr>
              <w:snapToGrid w:val="0"/>
              <w:spacing w:line="240" w:lineRule="atLeast"/>
              <w:jc w:val="center"/>
              <w:rPr>
                <w:rFonts w:ascii="仿宋_GB2312" w:hAnsi="仿宋_GB2312" w:eastAsia="仿宋_GB2312" w:cs="仿宋_GB2312"/>
                <w:sz w:val="20"/>
                <w:szCs w:val="20"/>
              </w:rPr>
            </w:pPr>
          </w:p>
        </w:tc>
      </w:tr>
    </w:tbl>
    <w:p w14:paraId="342B376F"/>
    <w:p w14:paraId="08619C43"/>
    <w:p w14:paraId="6EF5EE6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D57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B41B5B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4FD7514">
            <w:pPr>
              <w:spacing w:line="240" w:lineRule="atLeast"/>
              <w:rPr>
                <w:rFonts w:asciiTheme="majorEastAsia" w:hAnsiTheme="majorEastAsia" w:eastAsiaTheme="majorEastAsia" w:cstheme="majorEastAsia"/>
                <w:spacing w:val="-20"/>
                <w:sz w:val="20"/>
                <w:szCs w:val="20"/>
              </w:rPr>
            </w:pPr>
          </w:p>
          <w:p w14:paraId="5BD9248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3121D5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57E41A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723461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9A4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E6380C8">
            <w:pPr>
              <w:spacing w:line="240" w:lineRule="atLeast"/>
              <w:jc w:val="left"/>
              <w:rPr>
                <w:rFonts w:ascii="仿宋_GB2312" w:hAnsi="仿宋_GB2312" w:eastAsia="仿宋_GB2312" w:cs="仿宋_GB2312"/>
                <w:sz w:val="20"/>
                <w:szCs w:val="20"/>
              </w:rPr>
            </w:pPr>
          </w:p>
        </w:tc>
        <w:tc>
          <w:tcPr>
            <w:tcW w:w="555" w:type="dxa"/>
            <w:vMerge w:val="continue"/>
          </w:tcPr>
          <w:p w14:paraId="0C975A0A">
            <w:pPr>
              <w:spacing w:line="240" w:lineRule="atLeast"/>
              <w:jc w:val="left"/>
              <w:rPr>
                <w:rFonts w:ascii="仿宋_GB2312" w:hAnsi="仿宋_GB2312" w:eastAsia="仿宋_GB2312" w:cs="仿宋_GB2312"/>
                <w:sz w:val="20"/>
                <w:szCs w:val="20"/>
              </w:rPr>
            </w:pPr>
          </w:p>
        </w:tc>
        <w:tc>
          <w:tcPr>
            <w:tcW w:w="784" w:type="dxa"/>
            <w:vAlign w:val="center"/>
          </w:tcPr>
          <w:p w14:paraId="6E82F63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9E282A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2E84F3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23AC18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09495B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B34FE9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EF8690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D3E143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9CBC96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E724653">
            <w:pPr>
              <w:spacing w:line="240" w:lineRule="atLeast"/>
              <w:jc w:val="left"/>
              <w:rPr>
                <w:rFonts w:ascii="仿宋_GB2312" w:hAnsi="仿宋_GB2312" w:eastAsia="仿宋_GB2312" w:cs="仿宋_GB2312"/>
                <w:sz w:val="20"/>
                <w:szCs w:val="20"/>
              </w:rPr>
            </w:pPr>
          </w:p>
        </w:tc>
      </w:tr>
      <w:tr w14:paraId="4FB8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FEA54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51</w:t>
            </w:r>
          </w:p>
        </w:tc>
        <w:tc>
          <w:tcPr>
            <w:tcW w:w="555" w:type="dxa"/>
            <w:vAlign w:val="center"/>
          </w:tcPr>
          <w:p w14:paraId="5531B2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2C0F9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DE559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D2CE18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对未按照规定期限和条件开发利用土地行为的处罚</w:t>
            </w:r>
          </w:p>
        </w:tc>
        <w:tc>
          <w:tcPr>
            <w:tcW w:w="660" w:type="dxa"/>
            <w:vAlign w:val="center"/>
          </w:tcPr>
          <w:p w14:paraId="4FCE2B3C">
            <w:pPr>
              <w:snapToGrid w:val="0"/>
              <w:spacing w:line="240" w:lineRule="atLeast"/>
              <w:jc w:val="center"/>
              <w:rPr>
                <w:rFonts w:ascii="仿宋_GB2312" w:hAnsi="仿宋_GB2312" w:eastAsia="仿宋_GB2312" w:cs="仿宋_GB2312"/>
                <w:sz w:val="20"/>
                <w:szCs w:val="20"/>
              </w:rPr>
            </w:pPr>
          </w:p>
        </w:tc>
        <w:tc>
          <w:tcPr>
            <w:tcW w:w="615" w:type="dxa"/>
            <w:vAlign w:val="center"/>
          </w:tcPr>
          <w:p w14:paraId="60F0B4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8FBB0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01261C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城镇国有土地使用权出让和转让暂行条例》（1990年国务院令第55号发布，2020年修订）第十七条：土地使用者应当按照土地使用权出让合同的规定和城市规划的要求，开发、利用、经营土地。</w:t>
            </w:r>
          </w:p>
          <w:p w14:paraId="2B081C2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未按合同规定的期限和条件开发、利用土地的，市、县人民政府土地管理部门应当予以纠正，并根据情节可以给予警告、罚款直至无偿收回土地使用权行为的处罚。</w:t>
            </w:r>
          </w:p>
        </w:tc>
        <w:tc>
          <w:tcPr>
            <w:tcW w:w="3585" w:type="dxa"/>
            <w:vAlign w:val="center"/>
          </w:tcPr>
          <w:p w14:paraId="5697A62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727CB6B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1A3CD0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C4188F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EF9EFE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F29DAF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D9CF14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F5506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B96033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0C5F04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BF559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9E9C78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850BBE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5B6DB8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8F65B4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6CBD89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0F46C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2F48F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74466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4A37A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8AEDC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1AB28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D72FD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3BC60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80D7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77E80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4AFC5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BE005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825634B">
            <w:pPr>
              <w:snapToGrid w:val="0"/>
              <w:spacing w:line="240" w:lineRule="atLeast"/>
              <w:jc w:val="center"/>
              <w:rPr>
                <w:rFonts w:ascii="仿宋_GB2312" w:hAnsi="仿宋_GB2312" w:eastAsia="仿宋_GB2312" w:cs="仿宋_GB2312"/>
                <w:sz w:val="20"/>
                <w:szCs w:val="20"/>
              </w:rPr>
            </w:pPr>
          </w:p>
        </w:tc>
      </w:tr>
    </w:tbl>
    <w:p w14:paraId="2EB10B3D"/>
    <w:p w14:paraId="4151B0C8"/>
    <w:p w14:paraId="06212C7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F6C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54A3F5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8656851">
            <w:pPr>
              <w:spacing w:line="240" w:lineRule="atLeast"/>
              <w:rPr>
                <w:rFonts w:asciiTheme="majorEastAsia" w:hAnsiTheme="majorEastAsia" w:eastAsiaTheme="majorEastAsia" w:cstheme="majorEastAsia"/>
                <w:spacing w:val="-20"/>
                <w:sz w:val="20"/>
                <w:szCs w:val="20"/>
              </w:rPr>
            </w:pPr>
          </w:p>
          <w:p w14:paraId="2B2EB98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EBB5FB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142EBB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2D6855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2E5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9DE5D55">
            <w:pPr>
              <w:spacing w:line="240" w:lineRule="atLeast"/>
              <w:jc w:val="left"/>
              <w:rPr>
                <w:rFonts w:ascii="仿宋_GB2312" w:hAnsi="仿宋_GB2312" w:eastAsia="仿宋_GB2312" w:cs="仿宋_GB2312"/>
                <w:sz w:val="20"/>
                <w:szCs w:val="20"/>
              </w:rPr>
            </w:pPr>
          </w:p>
        </w:tc>
        <w:tc>
          <w:tcPr>
            <w:tcW w:w="555" w:type="dxa"/>
            <w:vMerge w:val="continue"/>
          </w:tcPr>
          <w:p w14:paraId="2B11649C">
            <w:pPr>
              <w:spacing w:line="240" w:lineRule="atLeast"/>
              <w:jc w:val="left"/>
              <w:rPr>
                <w:rFonts w:ascii="仿宋_GB2312" w:hAnsi="仿宋_GB2312" w:eastAsia="仿宋_GB2312" w:cs="仿宋_GB2312"/>
                <w:sz w:val="20"/>
                <w:szCs w:val="20"/>
              </w:rPr>
            </w:pPr>
          </w:p>
        </w:tc>
        <w:tc>
          <w:tcPr>
            <w:tcW w:w="784" w:type="dxa"/>
            <w:vAlign w:val="center"/>
          </w:tcPr>
          <w:p w14:paraId="0FA9C4D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16A294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CC8D34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E92BAF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0DBFDC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1A8B54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84D951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E11F88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537739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CCF0916">
            <w:pPr>
              <w:spacing w:line="240" w:lineRule="atLeast"/>
              <w:jc w:val="left"/>
              <w:rPr>
                <w:rFonts w:ascii="仿宋_GB2312" w:hAnsi="仿宋_GB2312" w:eastAsia="仿宋_GB2312" w:cs="仿宋_GB2312"/>
                <w:sz w:val="20"/>
                <w:szCs w:val="20"/>
              </w:rPr>
            </w:pPr>
          </w:p>
        </w:tc>
      </w:tr>
      <w:tr w14:paraId="4D09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88AED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52</w:t>
            </w:r>
          </w:p>
        </w:tc>
        <w:tc>
          <w:tcPr>
            <w:tcW w:w="555" w:type="dxa"/>
            <w:vAlign w:val="center"/>
          </w:tcPr>
          <w:p w14:paraId="1393B8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65B41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05320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0FED69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对伪造不动产权属证书、不动产登记证明，或者买卖、使用伪造、变造的不动产权属证书、不动产登记证明行为的处罚</w:t>
            </w:r>
          </w:p>
        </w:tc>
        <w:tc>
          <w:tcPr>
            <w:tcW w:w="660" w:type="dxa"/>
            <w:vAlign w:val="center"/>
          </w:tcPr>
          <w:p w14:paraId="64010470">
            <w:pPr>
              <w:snapToGrid w:val="0"/>
              <w:spacing w:line="240" w:lineRule="atLeast"/>
              <w:jc w:val="center"/>
              <w:rPr>
                <w:rFonts w:ascii="仿宋_GB2312" w:hAnsi="仿宋_GB2312" w:eastAsia="仿宋_GB2312" w:cs="仿宋_GB2312"/>
                <w:sz w:val="20"/>
                <w:szCs w:val="20"/>
              </w:rPr>
            </w:pPr>
          </w:p>
        </w:tc>
        <w:tc>
          <w:tcPr>
            <w:tcW w:w="615" w:type="dxa"/>
            <w:vAlign w:val="center"/>
          </w:tcPr>
          <w:p w14:paraId="32E317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DB2C7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116D56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【行政法规】《不动产登记暂行条例》（2014年国务院令第656号公布，2019年国务院令第710号修订）第六条：国务院国土资源主管部门负责指导、监督全国不动产登记工作。</w:t>
            </w:r>
          </w:p>
          <w:p w14:paraId="4DC99CE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县级以上地方人民政府应当确定一个部门为本行政区域的不动产登记机构，负责不动产登记工作，并接受上级人民政府不动产登记主管部门的指导、监督。</w:t>
            </w:r>
          </w:p>
          <w:p w14:paraId="73E955E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一条：伪造、变造不动产权属证书、不动产登记证明，或者买卖、使用伪造、变造的不动产权属证书、不动产登记证明的，由不动产登记机构或者公安机关依法予以收缴；有违法所得的，没收违法所得；给他人造成损害的，依法承担赔偿责任；构成违反治安管理行为的，依法给予治安管理处罚；构成犯罪的，依法追究刑事责任。</w:t>
            </w:r>
          </w:p>
        </w:tc>
        <w:tc>
          <w:tcPr>
            <w:tcW w:w="3585" w:type="dxa"/>
            <w:vAlign w:val="center"/>
          </w:tcPr>
          <w:p w14:paraId="5A7C19E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4EA1A46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746C4E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BC36A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7CB192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9373F4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45B36B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0172C9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8B77B3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FA4C48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A9AFD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993145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794B24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B77B5E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F1943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614F49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2B1B3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51016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E2F3D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7D22B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AD726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09D36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59666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D4292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7957A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B9D0B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04A30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B91D2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CECB657">
            <w:pPr>
              <w:snapToGrid w:val="0"/>
              <w:spacing w:line="240" w:lineRule="atLeast"/>
              <w:jc w:val="center"/>
              <w:rPr>
                <w:rFonts w:ascii="仿宋_GB2312" w:hAnsi="仿宋_GB2312" w:eastAsia="仿宋_GB2312" w:cs="仿宋_GB2312"/>
                <w:sz w:val="20"/>
                <w:szCs w:val="20"/>
              </w:rPr>
            </w:pPr>
          </w:p>
        </w:tc>
      </w:tr>
    </w:tbl>
    <w:p w14:paraId="4EFB5A7F"/>
    <w:p w14:paraId="47122D33"/>
    <w:p w14:paraId="3363035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009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CB8033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4993ACF">
            <w:pPr>
              <w:spacing w:line="240" w:lineRule="atLeast"/>
              <w:rPr>
                <w:rFonts w:asciiTheme="majorEastAsia" w:hAnsiTheme="majorEastAsia" w:eastAsiaTheme="majorEastAsia" w:cstheme="majorEastAsia"/>
                <w:spacing w:val="-20"/>
                <w:sz w:val="20"/>
                <w:szCs w:val="20"/>
              </w:rPr>
            </w:pPr>
          </w:p>
          <w:p w14:paraId="4ECBFB2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923090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5A7DD6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6D0518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D0A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E69DEF2">
            <w:pPr>
              <w:spacing w:line="240" w:lineRule="atLeast"/>
              <w:jc w:val="left"/>
              <w:rPr>
                <w:rFonts w:ascii="仿宋_GB2312" w:hAnsi="仿宋_GB2312" w:eastAsia="仿宋_GB2312" w:cs="仿宋_GB2312"/>
                <w:sz w:val="20"/>
                <w:szCs w:val="20"/>
              </w:rPr>
            </w:pPr>
          </w:p>
        </w:tc>
        <w:tc>
          <w:tcPr>
            <w:tcW w:w="555" w:type="dxa"/>
            <w:vMerge w:val="continue"/>
          </w:tcPr>
          <w:p w14:paraId="42BE1F41">
            <w:pPr>
              <w:spacing w:line="240" w:lineRule="atLeast"/>
              <w:jc w:val="left"/>
              <w:rPr>
                <w:rFonts w:ascii="仿宋_GB2312" w:hAnsi="仿宋_GB2312" w:eastAsia="仿宋_GB2312" w:cs="仿宋_GB2312"/>
                <w:sz w:val="20"/>
                <w:szCs w:val="20"/>
              </w:rPr>
            </w:pPr>
          </w:p>
        </w:tc>
        <w:tc>
          <w:tcPr>
            <w:tcW w:w="784" w:type="dxa"/>
            <w:vAlign w:val="center"/>
          </w:tcPr>
          <w:p w14:paraId="5DBC509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1E3BAA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011EBA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687829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971BEF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A0E34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8FC44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DAE43C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62620F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1C6EE6E">
            <w:pPr>
              <w:spacing w:line="240" w:lineRule="atLeast"/>
              <w:jc w:val="left"/>
              <w:rPr>
                <w:rFonts w:ascii="仿宋_GB2312" w:hAnsi="仿宋_GB2312" w:eastAsia="仿宋_GB2312" w:cs="仿宋_GB2312"/>
                <w:sz w:val="20"/>
                <w:szCs w:val="20"/>
              </w:rPr>
            </w:pPr>
          </w:p>
        </w:tc>
      </w:tr>
      <w:tr w14:paraId="49FE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7BA7C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53</w:t>
            </w:r>
          </w:p>
        </w:tc>
        <w:tc>
          <w:tcPr>
            <w:tcW w:w="555" w:type="dxa"/>
            <w:vAlign w:val="center"/>
          </w:tcPr>
          <w:p w14:paraId="54D53A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645E4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D5EB5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8CB3E8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对转让房地产时，不符合法律规定的条件，非法转让以出让方式取得的土地使用权行为的处罚</w:t>
            </w:r>
          </w:p>
        </w:tc>
        <w:tc>
          <w:tcPr>
            <w:tcW w:w="660" w:type="dxa"/>
            <w:vAlign w:val="center"/>
          </w:tcPr>
          <w:p w14:paraId="751529F9">
            <w:pPr>
              <w:snapToGrid w:val="0"/>
              <w:spacing w:line="240" w:lineRule="atLeast"/>
              <w:jc w:val="center"/>
              <w:rPr>
                <w:rFonts w:ascii="仿宋_GB2312" w:hAnsi="仿宋_GB2312" w:eastAsia="仿宋_GB2312" w:cs="仿宋_GB2312"/>
                <w:sz w:val="20"/>
                <w:szCs w:val="20"/>
              </w:rPr>
            </w:pPr>
          </w:p>
        </w:tc>
        <w:tc>
          <w:tcPr>
            <w:tcW w:w="615" w:type="dxa"/>
            <w:vAlign w:val="center"/>
          </w:tcPr>
          <w:p w14:paraId="742BA2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362A8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1D6C10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1.【法律】《中华人民共和国城市房地产管理法》第三十九条：以出让方式取得土地使用权的，转让房地产时，应当符合下列条件：</w:t>
            </w:r>
          </w:p>
          <w:p w14:paraId="2199C6E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（一）按照出让合同约定已经支付全部土地使用权出让金，并取得土地使用权证书；</w:t>
            </w:r>
          </w:p>
          <w:p w14:paraId="7E034FC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第六十六条：违反本法第三十九条第一款的规定转让土地使用权的，由县级以上人民政府土地管理部门没收违法所得，可以并处罚款。</w:t>
            </w:r>
          </w:p>
          <w:p w14:paraId="6F57751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4C55058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中华人民共和国土地管理法实施条例》（1998年国务院令第256号公布，2021年国务院令第743号第三次修订）第五十四条：依照《土地管理法》第七十四条的规定处以罚款的，罚款额为违法所得的10%以上50%以下。</w:t>
            </w:r>
          </w:p>
        </w:tc>
        <w:tc>
          <w:tcPr>
            <w:tcW w:w="3585" w:type="dxa"/>
            <w:vAlign w:val="center"/>
          </w:tcPr>
          <w:p w14:paraId="532AFDD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7026A3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FFE78A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DB28E2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9606D9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87210C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E70169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B4A147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A76EEF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A8F087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D0111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E0B91B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CEE61B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2A368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EE38CC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9F9462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CC600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B3AF1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EA7AE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C5884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50D6C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922E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233CF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13CE5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CC74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E631F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1ECD3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8D3ED4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68B6F20">
            <w:pPr>
              <w:snapToGrid w:val="0"/>
              <w:spacing w:line="240" w:lineRule="atLeast"/>
              <w:jc w:val="center"/>
              <w:rPr>
                <w:rFonts w:ascii="仿宋_GB2312" w:hAnsi="仿宋_GB2312" w:eastAsia="仿宋_GB2312" w:cs="仿宋_GB2312"/>
                <w:sz w:val="20"/>
                <w:szCs w:val="20"/>
              </w:rPr>
            </w:pPr>
          </w:p>
        </w:tc>
      </w:tr>
    </w:tbl>
    <w:p w14:paraId="2041A30E"/>
    <w:p w14:paraId="0AF44116"/>
    <w:p w14:paraId="72F6656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A5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F5C966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560EA1B">
            <w:pPr>
              <w:spacing w:line="240" w:lineRule="atLeast"/>
              <w:rPr>
                <w:rFonts w:asciiTheme="majorEastAsia" w:hAnsiTheme="majorEastAsia" w:eastAsiaTheme="majorEastAsia" w:cstheme="majorEastAsia"/>
                <w:spacing w:val="-20"/>
                <w:sz w:val="20"/>
                <w:szCs w:val="20"/>
              </w:rPr>
            </w:pPr>
          </w:p>
          <w:p w14:paraId="23717F7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405D16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1A78A0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B6560E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1ED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AEDA45D">
            <w:pPr>
              <w:spacing w:line="240" w:lineRule="atLeast"/>
              <w:jc w:val="left"/>
              <w:rPr>
                <w:rFonts w:ascii="仿宋_GB2312" w:hAnsi="仿宋_GB2312" w:eastAsia="仿宋_GB2312" w:cs="仿宋_GB2312"/>
                <w:sz w:val="20"/>
                <w:szCs w:val="20"/>
              </w:rPr>
            </w:pPr>
          </w:p>
        </w:tc>
        <w:tc>
          <w:tcPr>
            <w:tcW w:w="555" w:type="dxa"/>
            <w:vMerge w:val="continue"/>
          </w:tcPr>
          <w:p w14:paraId="202D0F42">
            <w:pPr>
              <w:spacing w:line="240" w:lineRule="atLeast"/>
              <w:jc w:val="left"/>
              <w:rPr>
                <w:rFonts w:ascii="仿宋_GB2312" w:hAnsi="仿宋_GB2312" w:eastAsia="仿宋_GB2312" w:cs="仿宋_GB2312"/>
                <w:sz w:val="20"/>
                <w:szCs w:val="20"/>
              </w:rPr>
            </w:pPr>
          </w:p>
        </w:tc>
        <w:tc>
          <w:tcPr>
            <w:tcW w:w="784" w:type="dxa"/>
            <w:vAlign w:val="center"/>
          </w:tcPr>
          <w:p w14:paraId="29020D6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821A14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EB0D5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9CAA62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CD4B31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A9F58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D5F092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5F736C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A18FF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75CDCD6">
            <w:pPr>
              <w:spacing w:line="240" w:lineRule="atLeast"/>
              <w:jc w:val="left"/>
              <w:rPr>
                <w:rFonts w:ascii="仿宋_GB2312" w:hAnsi="仿宋_GB2312" w:eastAsia="仿宋_GB2312" w:cs="仿宋_GB2312"/>
                <w:sz w:val="20"/>
                <w:szCs w:val="20"/>
              </w:rPr>
            </w:pPr>
          </w:p>
        </w:tc>
      </w:tr>
      <w:tr w14:paraId="6245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292F1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54</w:t>
            </w:r>
          </w:p>
        </w:tc>
        <w:tc>
          <w:tcPr>
            <w:tcW w:w="555" w:type="dxa"/>
            <w:vAlign w:val="center"/>
          </w:tcPr>
          <w:p w14:paraId="494D29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C6013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FAFCA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329A7C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对转让房地产时未经批准，非法转让以划拨方式取得的土地使用权的，或者经过批准转让以划拨方式取得的土地使用权，但未按规定缴纳土地使用权出让金行为的处罚</w:t>
            </w:r>
          </w:p>
        </w:tc>
        <w:tc>
          <w:tcPr>
            <w:tcW w:w="660" w:type="dxa"/>
            <w:vAlign w:val="center"/>
          </w:tcPr>
          <w:p w14:paraId="009ABBE7">
            <w:pPr>
              <w:snapToGrid w:val="0"/>
              <w:spacing w:line="240" w:lineRule="atLeast"/>
              <w:jc w:val="center"/>
              <w:rPr>
                <w:rFonts w:ascii="仿宋_GB2312" w:hAnsi="仿宋_GB2312" w:eastAsia="仿宋_GB2312" w:cs="仿宋_GB2312"/>
                <w:sz w:val="20"/>
                <w:szCs w:val="20"/>
              </w:rPr>
            </w:pPr>
          </w:p>
        </w:tc>
        <w:tc>
          <w:tcPr>
            <w:tcW w:w="615" w:type="dxa"/>
            <w:vAlign w:val="center"/>
          </w:tcPr>
          <w:p w14:paraId="6D723E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1F680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BE2743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四十条第一款：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14:paraId="064A157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第六十七条：违反本法第四十条第一款的规定转让房地产的，由县级以上人民政府土地管理部门责令缴纳土地使用权出让金，没收违法所得，可以并处罚款。</w:t>
            </w:r>
          </w:p>
          <w:p w14:paraId="0AAACD7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法律】《中华人民共和国土地管理法》第七十四条：买卖或者以其他形式非法转让土地的，由县级以上人民政府自然资源主管部门没收违法所得；对违反土地利用总体规划擅自将农用地改为建设用地的，限期拆除在非法转让的土地上新建的建筑物和其他设施，恢复土地原状，对符合土地利用总体规划的，没收在非法转让的土地上新建的建筑物和其他设施；可以并处罚款；对直接负责的主管人员和其他直接责任人员，依法给予处分；构成犯罪的，依法追究刑事责任。</w:t>
            </w:r>
          </w:p>
          <w:p w14:paraId="4546E0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中华人民共和国土地管理法实施条例》（1998年国务院令第256号公布，2021年国务院令第743号第三次修订）第五十四条：依照《土地管理法》第七十四条的规定处以罚款的，罚款额为违法所得的10%以上50%以下。</w:t>
            </w:r>
          </w:p>
        </w:tc>
        <w:tc>
          <w:tcPr>
            <w:tcW w:w="3585" w:type="dxa"/>
            <w:vAlign w:val="center"/>
          </w:tcPr>
          <w:p w14:paraId="281CE08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783D96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E382AA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9F840F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9C47C1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DECA6C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6FBAFE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4C400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17A7A3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285B03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4E247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B561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50DAC4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DE210B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CAD69A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6CF296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B282E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C63E3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F5BE0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51F43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17839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715A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41A8D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F8DA3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298D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F23FE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30131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37571A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B39DDA4">
            <w:pPr>
              <w:snapToGrid w:val="0"/>
              <w:spacing w:line="240" w:lineRule="atLeast"/>
              <w:jc w:val="center"/>
              <w:rPr>
                <w:rFonts w:ascii="仿宋_GB2312" w:hAnsi="仿宋_GB2312" w:eastAsia="仿宋_GB2312" w:cs="仿宋_GB2312"/>
                <w:sz w:val="20"/>
                <w:szCs w:val="20"/>
              </w:rPr>
            </w:pPr>
          </w:p>
        </w:tc>
      </w:tr>
    </w:tbl>
    <w:p w14:paraId="3414EA63"/>
    <w:p w14:paraId="55FDF8CE"/>
    <w:p w14:paraId="4A4975F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CFD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A3133C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9847E26">
            <w:pPr>
              <w:spacing w:line="240" w:lineRule="atLeast"/>
              <w:rPr>
                <w:rFonts w:asciiTheme="majorEastAsia" w:hAnsiTheme="majorEastAsia" w:eastAsiaTheme="majorEastAsia" w:cstheme="majorEastAsia"/>
                <w:spacing w:val="-20"/>
                <w:sz w:val="20"/>
                <w:szCs w:val="20"/>
              </w:rPr>
            </w:pPr>
          </w:p>
          <w:p w14:paraId="1688DF2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565586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95EA23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7932AD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86E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7F4E569">
            <w:pPr>
              <w:spacing w:line="240" w:lineRule="atLeast"/>
              <w:jc w:val="left"/>
              <w:rPr>
                <w:rFonts w:ascii="仿宋_GB2312" w:hAnsi="仿宋_GB2312" w:eastAsia="仿宋_GB2312" w:cs="仿宋_GB2312"/>
                <w:sz w:val="20"/>
                <w:szCs w:val="20"/>
              </w:rPr>
            </w:pPr>
          </w:p>
        </w:tc>
        <w:tc>
          <w:tcPr>
            <w:tcW w:w="555" w:type="dxa"/>
            <w:vMerge w:val="continue"/>
          </w:tcPr>
          <w:p w14:paraId="33A66610">
            <w:pPr>
              <w:spacing w:line="240" w:lineRule="atLeast"/>
              <w:jc w:val="left"/>
              <w:rPr>
                <w:rFonts w:ascii="仿宋_GB2312" w:hAnsi="仿宋_GB2312" w:eastAsia="仿宋_GB2312" w:cs="仿宋_GB2312"/>
                <w:sz w:val="20"/>
                <w:szCs w:val="20"/>
              </w:rPr>
            </w:pPr>
          </w:p>
        </w:tc>
        <w:tc>
          <w:tcPr>
            <w:tcW w:w="784" w:type="dxa"/>
            <w:vAlign w:val="center"/>
          </w:tcPr>
          <w:p w14:paraId="3E271BB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379660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3B3A92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B98C9E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4CDCCC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202446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7F50F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7388DE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03644D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96C88FA">
            <w:pPr>
              <w:spacing w:line="240" w:lineRule="atLeast"/>
              <w:jc w:val="left"/>
              <w:rPr>
                <w:rFonts w:ascii="仿宋_GB2312" w:hAnsi="仿宋_GB2312" w:eastAsia="仿宋_GB2312" w:cs="仿宋_GB2312"/>
                <w:sz w:val="20"/>
                <w:szCs w:val="20"/>
              </w:rPr>
            </w:pPr>
          </w:p>
        </w:tc>
      </w:tr>
      <w:tr w14:paraId="2866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4D1FE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55</w:t>
            </w:r>
          </w:p>
        </w:tc>
        <w:tc>
          <w:tcPr>
            <w:tcW w:w="555" w:type="dxa"/>
            <w:vAlign w:val="center"/>
          </w:tcPr>
          <w:p w14:paraId="49E8A8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ECA15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EA2DC7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ECF974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对违反规定伪造、涂改和买卖土地权属证书行为的处罚</w:t>
            </w:r>
          </w:p>
        </w:tc>
        <w:tc>
          <w:tcPr>
            <w:tcW w:w="660" w:type="dxa"/>
            <w:vAlign w:val="center"/>
          </w:tcPr>
          <w:p w14:paraId="0F79D5B8">
            <w:pPr>
              <w:snapToGrid w:val="0"/>
              <w:spacing w:line="240" w:lineRule="atLeast"/>
              <w:jc w:val="center"/>
              <w:rPr>
                <w:rFonts w:ascii="仿宋_GB2312" w:hAnsi="仿宋_GB2312" w:eastAsia="仿宋_GB2312" w:cs="仿宋_GB2312"/>
                <w:sz w:val="20"/>
                <w:szCs w:val="20"/>
              </w:rPr>
            </w:pPr>
          </w:p>
        </w:tc>
        <w:tc>
          <w:tcPr>
            <w:tcW w:w="615" w:type="dxa"/>
            <w:vAlign w:val="center"/>
          </w:tcPr>
          <w:p w14:paraId="40BF75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E4B5E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C54042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实施〈中华人民共和国土地管理法〉办法》（2001年广西壮族自治区第九届人民代表大会常务委员会公布施行，2019年第二次修正）第十五条：土地权属证书是土地权利人拥有合法土地权利的法律凭证，任何单位和个人不得伪造、涂改和买卖。</w:t>
            </w:r>
          </w:p>
          <w:p w14:paraId="77087C7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第六十四条：违反本办法第十五条规定，伪造、涂改和买卖土地权属证书的，由县级以上人民政府土地行政主管部门没收违法所得，可以并处500元以上5000元以下的罚款。</w:t>
            </w:r>
          </w:p>
        </w:tc>
        <w:tc>
          <w:tcPr>
            <w:tcW w:w="3585" w:type="dxa"/>
            <w:vAlign w:val="center"/>
          </w:tcPr>
          <w:p w14:paraId="7758D04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B3BA9F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C9F694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C1DE80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1C283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955FA4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DC5F9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AE0D4B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6CE2A3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78E131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9B9B3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0B78C5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C83498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6EAB4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A5F1E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9AB7E9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D6E97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63D89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C41B4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C09F9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DC4D0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36755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6C1C5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CED2C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58347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2A477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08E85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406670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4EF38DE">
            <w:pPr>
              <w:snapToGrid w:val="0"/>
              <w:spacing w:line="240" w:lineRule="atLeast"/>
              <w:jc w:val="center"/>
              <w:rPr>
                <w:rFonts w:ascii="仿宋_GB2312" w:hAnsi="仿宋_GB2312" w:eastAsia="仿宋_GB2312" w:cs="仿宋_GB2312"/>
                <w:sz w:val="20"/>
                <w:szCs w:val="20"/>
              </w:rPr>
            </w:pPr>
          </w:p>
        </w:tc>
      </w:tr>
    </w:tbl>
    <w:p w14:paraId="34ABBE7A"/>
    <w:p w14:paraId="51680A03"/>
    <w:p w14:paraId="1EBC92F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980"/>
        <w:gridCol w:w="3450"/>
        <w:gridCol w:w="9275"/>
        <w:gridCol w:w="330"/>
      </w:tblGrid>
      <w:tr w14:paraId="0D5F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E17EC1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17BA477">
            <w:pPr>
              <w:spacing w:line="240" w:lineRule="atLeast"/>
              <w:rPr>
                <w:rFonts w:asciiTheme="majorEastAsia" w:hAnsiTheme="majorEastAsia" w:eastAsiaTheme="majorEastAsia" w:cstheme="majorEastAsia"/>
                <w:spacing w:val="-20"/>
                <w:sz w:val="20"/>
                <w:szCs w:val="20"/>
              </w:rPr>
            </w:pPr>
          </w:p>
          <w:p w14:paraId="2C3769C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149" w:type="dxa"/>
            <w:gridSpan w:val="5"/>
            <w:vAlign w:val="center"/>
          </w:tcPr>
          <w:p w14:paraId="3AFC214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725" w:type="dxa"/>
            <w:gridSpan w:val="2"/>
            <w:vAlign w:val="center"/>
          </w:tcPr>
          <w:p w14:paraId="3D66B2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FB9328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6AE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5F3A322">
            <w:pPr>
              <w:spacing w:line="240" w:lineRule="atLeast"/>
              <w:jc w:val="left"/>
              <w:rPr>
                <w:rFonts w:ascii="仿宋_GB2312" w:hAnsi="仿宋_GB2312" w:eastAsia="仿宋_GB2312" w:cs="仿宋_GB2312"/>
                <w:sz w:val="20"/>
                <w:szCs w:val="20"/>
              </w:rPr>
            </w:pPr>
          </w:p>
        </w:tc>
        <w:tc>
          <w:tcPr>
            <w:tcW w:w="555" w:type="dxa"/>
            <w:vMerge w:val="continue"/>
          </w:tcPr>
          <w:p w14:paraId="60E3EC81">
            <w:pPr>
              <w:spacing w:line="240" w:lineRule="atLeast"/>
              <w:jc w:val="left"/>
              <w:rPr>
                <w:rFonts w:ascii="仿宋_GB2312" w:hAnsi="仿宋_GB2312" w:eastAsia="仿宋_GB2312" w:cs="仿宋_GB2312"/>
                <w:sz w:val="20"/>
                <w:szCs w:val="20"/>
              </w:rPr>
            </w:pPr>
          </w:p>
        </w:tc>
        <w:tc>
          <w:tcPr>
            <w:tcW w:w="784" w:type="dxa"/>
            <w:vAlign w:val="center"/>
          </w:tcPr>
          <w:p w14:paraId="533DD1C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553115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0D5DD6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56AB6A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14A78C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980" w:type="dxa"/>
            <w:vAlign w:val="center"/>
          </w:tcPr>
          <w:p w14:paraId="396562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450" w:type="dxa"/>
            <w:vAlign w:val="center"/>
          </w:tcPr>
          <w:p w14:paraId="00BBCA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D8CA07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275" w:type="dxa"/>
            <w:vAlign w:val="center"/>
          </w:tcPr>
          <w:p w14:paraId="4B35121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23D4F4C">
            <w:pPr>
              <w:spacing w:line="240" w:lineRule="atLeast"/>
              <w:jc w:val="left"/>
              <w:rPr>
                <w:rFonts w:ascii="仿宋_GB2312" w:hAnsi="仿宋_GB2312" w:eastAsia="仿宋_GB2312" w:cs="仿宋_GB2312"/>
                <w:sz w:val="20"/>
                <w:szCs w:val="20"/>
              </w:rPr>
            </w:pPr>
          </w:p>
        </w:tc>
      </w:tr>
      <w:tr w14:paraId="5DD3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5C1DC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56</w:t>
            </w:r>
          </w:p>
        </w:tc>
        <w:tc>
          <w:tcPr>
            <w:tcW w:w="555" w:type="dxa"/>
            <w:vAlign w:val="center"/>
          </w:tcPr>
          <w:p w14:paraId="05898A2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8A336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B2043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0F3B6F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对未取得采矿许可证擅自采矿，擅自进入国家规划矿区、对国民经济具有重要价值的矿区和他人矿区范围采矿，擅自开采国家规定实行保护性开采特定矿种行为的处罚</w:t>
            </w:r>
          </w:p>
        </w:tc>
        <w:tc>
          <w:tcPr>
            <w:tcW w:w="660" w:type="dxa"/>
            <w:vAlign w:val="center"/>
          </w:tcPr>
          <w:p w14:paraId="4FA657AB">
            <w:pPr>
              <w:snapToGrid w:val="0"/>
              <w:spacing w:line="240" w:lineRule="atLeast"/>
              <w:jc w:val="center"/>
              <w:rPr>
                <w:rFonts w:ascii="仿宋_GB2312" w:hAnsi="仿宋_GB2312" w:eastAsia="仿宋_GB2312" w:cs="仿宋_GB2312"/>
                <w:sz w:val="20"/>
                <w:szCs w:val="20"/>
              </w:rPr>
            </w:pPr>
          </w:p>
        </w:tc>
        <w:tc>
          <w:tcPr>
            <w:tcW w:w="615" w:type="dxa"/>
            <w:vAlign w:val="center"/>
          </w:tcPr>
          <w:p w14:paraId="644868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672A6E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980" w:type="dxa"/>
            <w:vAlign w:val="center"/>
          </w:tcPr>
          <w:p w14:paraId="1391731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三十九条：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第一百五十六条的规定对直接责任人员追究刑事责任。</w:t>
            </w:r>
          </w:p>
          <w:p w14:paraId="531E407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单位和个人进入他人依法设立的国有矿山企业和其他矿山企业矿区范围内采矿的，依照前款规定处罚。</w:t>
            </w:r>
          </w:p>
          <w:p w14:paraId="51B30CB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24D18E9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一）未取得采矿许可证擅自采矿的，擅自进入国家规划矿区、对国民经济具有重要价值的矿区和他人矿区范围采矿的，擅自开采国家规定实行保护性开采的特定矿种的，处以违法所得百分之五十以下的罚款；</w:t>
            </w:r>
          </w:p>
          <w:p w14:paraId="2EBE500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3.【行政法规】《矿产资源开采登记管理办法》（1998年国务院令第241号公布，2014年国务院令第653号修订）第三条： 开采下列矿产资源，由国务院地质矿产主管部门审批登记，颁发采矿许可证：</w:t>
            </w:r>
          </w:p>
          <w:p w14:paraId="69369C5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（一）国家规划矿区和对国民经济具有重要价值的矿区内的矿产资源；</w:t>
            </w:r>
          </w:p>
          <w:p w14:paraId="5D422E9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（二）领海及中国管辖的其他海域的矿产资源；</w:t>
            </w:r>
          </w:p>
          <w:p w14:paraId="35C2C1D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（三）外商投资开采的矿产资源；</w:t>
            </w:r>
          </w:p>
          <w:p w14:paraId="3FBB6E9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（四）本办法附录所列的矿产资源。</w:t>
            </w:r>
          </w:p>
          <w:p w14:paraId="787CAF0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开采石油、天然气矿产的，经国务院指定的机关审查同意后，由国务院地质矿产主管部门登记，颁发采矿许可证。</w:t>
            </w:r>
          </w:p>
          <w:p w14:paraId="54AC5E1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开采下列矿产资源，由省、自治区、直辖市人民政府地质矿产主管部门审批登记，颁发采矿许可证：</w:t>
            </w:r>
          </w:p>
          <w:p w14:paraId="4EF52EA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（一）本条第一款、第二款规定以外的矿产储量规模中型以上的矿产资源；</w:t>
            </w:r>
          </w:p>
          <w:p w14:paraId="1E2C17C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（二）国务院地质矿产主管部门授权省、自治区、直辖市人民政府地质矿产主管部门审批登记的矿产资源。</w:t>
            </w:r>
          </w:p>
          <w:p w14:paraId="516EFB7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开采本条第一款、第二款、第三款规定以外的矿产资源，由县级以上地方人民政府负责地质矿产管理工作的部门，按照省、自治区、直辖市人民代表大会常务委员会制定的管理办法审批登记，颁发采矿许可证。</w:t>
            </w:r>
          </w:p>
          <w:p w14:paraId="3FE7F0B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矿区范围跨县级以上行政区域的，由所涉及行政区域的共同上一级登记管理机关审批登记，颁发采矿许可证。</w:t>
            </w:r>
          </w:p>
          <w:p w14:paraId="2AA38DF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县级以上地方人民政府负责地质矿产管理工作的部门在审批发证后，应当逐级向上一级人民政府负责地质矿产管理工作的部门备案。</w:t>
            </w:r>
          </w:p>
          <w:p w14:paraId="5DE0715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七条：任何单位和个人未领取采矿许可证擅自采矿的，擅自进入国家规划矿区和对国民经济具有重要价值的矿区范围采矿的，擅自开采国家规定实行保护性开采的特定矿种的，超越批准的矿区范围采矿的，由登记管理机关依照有关法律、行政法规的规定予以处罚。</w:t>
            </w:r>
          </w:p>
        </w:tc>
        <w:tc>
          <w:tcPr>
            <w:tcW w:w="3450" w:type="dxa"/>
            <w:vAlign w:val="center"/>
          </w:tcPr>
          <w:p w14:paraId="4C0604D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0DF623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B939A8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F23F1A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6A21C7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66B520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21CB44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AAB711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275" w:type="dxa"/>
            <w:vAlign w:val="center"/>
          </w:tcPr>
          <w:p w14:paraId="266FE91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66143C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00317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488AF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4E9A34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1ED0E5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0D6F83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D13CE0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E24D3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661CD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F9129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B5386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C8649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3F253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37CF0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6240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9A0D5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FA7CB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A147B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858086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1E18C4D">
            <w:pPr>
              <w:snapToGrid w:val="0"/>
              <w:spacing w:line="240" w:lineRule="atLeast"/>
              <w:jc w:val="center"/>
              <w:rPr>
                <w:rFonts w:ascii="仿宋_GB2312" w:hAnsi="仿宋_GB2312" w:eastAsia="仿宋_GB2312" w:cs="仿宋_GB2312"/>
                <w:sz w:val="20"/>
                <w:szCs w:val="20"/>
              </w:rPr>
            </w:pPr>
          </w:p>
        </w:tc>
      </w:tr>
    </w:tbl>
    <w:p w14:paraId="0FD18F2F"/>
    <w:p w14:paraId="27E76425"/>
    <w:p w14:paraId="2CF7576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7C4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34A007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7A801A5">
            <w:pPr>
              <w:spacing w:line="240" w:lineRule="atLeast"/>
              <w:rPr>
                <w:rFonts w:asciiTheme="majorEastAsia" w:hAnsiTheme="majorEastAsia" w:eastAsiaTheme="majorEastAsia" w:cstheme="majorEastAsia"/>
                <w:spacing w:val="-20"/>
                <w:sz w:val="20"/>
                <w:szCs w:val="20"/>
              </w:rPr>
            </w:pPr>
          </w:p>
          <w:p w14:paraId="447D257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91D972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4A907D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17EBF9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868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80517C">
            <w:pPr>
              <w:spacing w:line="240" w:lineRule="atLeast"/>
              <w:jc w:val="left"/>
              <w:rPr>
                <w:rFonts w:ascii="仿宋_GB2312" w:hAnsi="仿宋_GB2312" w:eastAsia="仿宋_GB2312" w:cs="仿宋_GB2312"/>
                <w:sz w:val="20"/>
                <w:szCs w:val="20"/>
              </w:rPr>
            </w:pPr>
          </w:p>
        </w:tc>
        <w:tc>
          <w:tcPr>
            <w:tcW w:w="555" w:type="dxa"/>
            <w:vMerge w:val="continue"/>
          </w:tcPr>
          <w:p w14:paraId="3DD93D8A">
            <w:pPr>
              <w:spacing w:line="240" w:lineRule="atLeast"/>
              <w:jc w:val="left"/>
              <w:rPr>
                <w:rFonts w:ascii="仿宋_GB2312" w:hAnsi="仿宋_GB2312" w:eastAsia="仿宋_GB2312" w:cs="仿宋_GB2312"/>
                <w:sz w:val="20"/>
                <w:szCs w:val="20"/>
              </w:rPr>
            </w:pPr>
          </w:p>
        </w:tc>
        <w:tc>
          <w:tcPr>
            <w:tcW w:w="784" w:type="dxa"/>
            <w:vAlign w:val="center"/>
          </w:tcPr>
          <w:p w14:paraId="65BF882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7B1C1F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82860C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5C64F6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A8717C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7B02AA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C3B6EB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47CDF4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A041D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0B9BC77">
            <w:pPr>
              <w:spacing w:line="240" w:lineRule="atLeast"/>
              <w:jc w:val="left"/>
              <w:rPr>
                <w:rFonts w:ascii="仿宋_GB2312" w:hAnsi="仿宋_GB2312" w:eastAsia="仿宋_GB2312" w:cs="仿宋_GB2312"/>
                <w:sz w:val="20"/>
                <w:szCs w:val="20"/>
              </w:rPr>
            </w:pPr>
          </w:p>
        </w:tc>
      </w:tr>
      <w:tr w14:paraId="532E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F1DA7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57</w:t>
            </w:r>
          </w:p>
        </w:tc>
        <w:tc>
          <w:tcPr>
            <w:tcW w:w="555" w:type="dxa"/>
            <w:vAlign w:val="center"/>
          </w:tcPr>
          <w:p w14:paraId="504B70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96B9D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2F332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62E111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对超越批准的矿区范围采矿行为的处罚</w:t>
            </w:r>
          </w:p>
        </w:tc>
        <w:tc>
          <w:tcPr>
            <w:tcW w:w="660" w:type="dxa"/>
            <w:vAlign w:val="center"/>
          </w:tcPr>
          <w:p w14:paraId="281D927C">
            <w:pPr>
              <w:snapToGrid w:val="0"/>
              <w:spacing w:line="240" w:lineRule="atLeast"/>
              <w:jc w:val="center"/>
              <w:rPr>
                <w:rFonts w:ascii="仿宋_GB2312" w:hAnsi="仿宋_GB2312" w:eastAsia="仿宋_GB2312" w:cs="仿宋_GB2312"/>
                <w:sz w:val="20"/>
                <w:szCs w:val="20"/>
              </w:rPr>
            </w:pPr>
          </w:p>
        </w:tc>
        <w:tc>
          <w:tcPr>
            <w:tcW w:w="615" w:type="dxa"/>
            <w:vAlign w:val="center"/>
          </w:tcPr>
          <w:p w14:paraId="2D7F84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9B58E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AA7318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条：超越批准的矿区范围采矿的，责令退回本矿区范围内开采、赔偿损失，没收越界开采的矿产品和违法所得，可以并处罚款；拒不退回本矿区范围内开采，造成矿产资源破坏的，吊销采矿许可证，依照刑法第一百五十六条的规定对直接责任人员追究刑事责任。</w:t>
            </w:r>
          </w:p>
          <w:p w14:paraId="4B41782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二）超越批准的矿区范围采矿的，处以违法所得30%以下的罚款；</w:t>
            </w:r>
          </w:p>
          <w:p w14:paraId="1D926A0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矿产资源开采登记管理办法》（1998年国务院令第241号公布，2014年国务院令第653号修订）第十七条：任何单位和个人未领取采矿许可证擅自采矿的，擅自进入国家规划矿区和对国民经济具有重要价值的矿区范围采矿的，擅自开采国家规定实行保护性开采的特定矿种的，超越批准的矿区范围采矿的，由登记管理机关依照有关法律、行政法规的规定予以处罚。</w:t>
            </w:r>
          </w:p>
        </w:tc>
        <w:tc>
          <w:tcPr>
            <w:tcW w:w="3585" w:type="dxa"/>
            <w:vAlign w:val="center"/>
          </w:tcPr>
          <w:p w14:paraId="13FDE0F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30147C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835807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D9A05E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C4A384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627766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76CE8B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82AB6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7FF141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D4208B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3AB61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0605E1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23E67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F3CAB8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C7CC9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CBBC09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C18A4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4E43F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AF4C7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C0D1B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778B6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39AE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D783A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019F3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4C27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04503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3B324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CA2D4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482F8BC">
            <w:pPr>
              <w:snapToGrid w:val="0"/>
              <w:spacing w:line="240" w:lineRule="atLeast"/>
              <w:jc w:val="center"/>
              <w:rPr>
                <w:rFonts w:ascii="仿宋_GB2312" w:hAnsi="仿宋_GB2312" w:eastAsia="仿宋_GB2312" w:cs="仿宋_GB2312"/>
                <w:sz w:val="20"/>
                <w:szCs w:val="20"/>
              </w:rPr>
            </w:pPr>
          </w:p>
        </w:tc>
      </w:tr>
    </w:tbl>
    <w:p w14:paraId="639FFC71"/>
    <w:p w14:paraId="6C9DDFF7"/>
    <w:p w14:paraId="4A8C456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AFA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4DBD6D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4B8086B">
            <w:pPr>
              <w:spacing w:line="240" w:lineRule="atLeast"/>
              <w:rPr>
                <w:rFonts w:asciiTheme="majorEastAsia" w:hAnsiTheme="majorEastAsia" w:eastAsiaTheme="majorEastAsia" w:cstheme="majorEastAsia"/>
                <w:spacing w:val="-20"/>
                <w:sz w:val="20"/>
                <w:szCs w:val="20"/>
              </w:rPr>
            </w:pPr>
          </w:p>
          <w:p w14:paraId="33FCEF4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FA53ED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009256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92C008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A71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30AA5BC">
            <w:pPr>
              <w:spacing w:line="240" w:lineRule="atLeast"/>
              <w:jc w:val="left"/>
              <w:rPr>
                <w:rFonts w:ascii="仿宋_GB2312" w:hAnsi="仿宋_GB2312" w:eastAsia="仿宋_GB2312" w:cs="仿宋_GB2312"/>
                <w:sz w:val="20"/>
                <w:szCs w:val="20"/>
              </w:rPr>
            </w:pPr>
          </w:p>
        </w:tc>
        <w:tc>
          <w:tcPr>
            <w:tcW w:w="555" w:type="dxa"/>
            <w:vMerge w:val="continue"/>
          </w:tcPr>
          <w:p w14:paraId="2CB2148E">
            <w:pPr>
              <w:spacing w:line="240" w:lineRule="atLeast"/>
              <w:jc w:val="left"/>
              <w:rPr>
                <w:rFonts w:ascii="仿宋_GB2312" w:hAnsi="仿宋_GB2312" w:eastAsia="仿宋_GB2312" w:cs="仿宋_GB2312"/>
                <w:sz w:val="20"/>
                <w:szCs w:val="20"/>
              </w:rPr>
            </w:pPr>
          </w:p>
        </w:tc>
        <w:tc>
          <w:tcPr>
            <w:tcW w:w="784" w:type="dxa"/>
            <w:vAlign w:val="center"/>
          </w:tcPr>
          <w:p w14:paraId="2EEE892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8623BD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6E38F8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EB2608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41FCCD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B430ED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911641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6D4149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3E1CA5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E2EA908">
            <w:pPr>
              <w:spacing w:line="240" w:lineRule="atLeast"/>
              <w:jc w:val="left"/>
              <w:rPr>
                <w:rFonts w:ascii="仿宋_GB2312" w:hAnsi="仿宋_GB2312" w:eastAsia="仿宋_GB2312" w:cs="仿宋_GB2312"/>
                <w:sz w:val="20"/>
                <w:szCs w:val="20"/>
              </w:rPr>
            </w:pPr>
          </w:p>
        </w:tc>
      </w:tr>
      <w:tr w14:paraId="2498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60E41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58</w:t>
            </w:r>
          </w:p>
        </w:tc>
        <w:tc>
          <w:tcPr>
            <w:tcW w:w="555" w:type="dxa"/>
            <w:vAlign w:val="center"/>
          </w:tcPr>
          <w:p w14:paraId="52C269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D26FF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41F4F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8A3D8D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对将探矿权、采矿权倒卖牟利行为的处罚</w:t>
            </w:r>
          </w:p>
        </w:tc>
        <w:tc>
          <w:tcPr>
            <w:tcW w:w="660" w:type="dxa"/>
            <w:vAlign w:val="center"/>
          </w:tcPr>
          <w:p w14:paraId="5FC0D432">
            <w:pPr>
              <w:snapToGrid w:val="0"/>
              <w:spacing w:line="240" w:lineRule="atLeast"/>
              <w:jc w:val="center"/>
              <w:rPr>
                <w:rFonts w:ascii="仿宋_GB2312" w:hAnsi="仿宋_GB2312" w:eastAsia="仿宋_GB2312" w:cs="仿宋_GB2312"/>
                <w:sz w:val="20"/>
                <w:szCs w:val="20"/>
              </w:rPr>
            </w:pPr>
          </w:p>
        </w:tc>
        <w:tc>
          <w:tcPr>
            <w:tcW w:w="615" w:type="dxa"/>
            <w:vAlign w:val="center"/>
          </w:tcPr>
          <w:p w14:paraId="1C52E3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2A2B7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A27732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二条：买卖、出租或者以其他形式转让矿产资源的，没收违法所得，处以罚款。违反本法第六条的规定将探矿权、采矿权倒卖牟利的，吊销勘查许可证、采矿许可证，没收违法所得，处以罚款。</w:t>
            </w:r>
          </w:p>
          <w:p w14:paraId="74AD631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5E49B74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w:t>
            </w:r>
          </w:p>
          <w:p w14:paraId="6DDAB5A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（一）未取得采矿许可证擅自采矿的，擅自进入国家规划矿区、对国民经济具有重要价值的矿区和他人矿区范围采矿的，擅自开采国家规定实行保护性开采的特定矿种的，处以违法所得50%以下的罚款；</w:t>
            </w:r>
          </w:p>
          <w:p w14:paraId="3E650C8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（二）超越批准的矿区范围采矿的，处以违法所得30%以下的罚款；</w:t>
            </w:r>
          </w:p>
          <w:p w14:paraId="72F9E7B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（三）买卖、出租或者以其他形式转让矿产资源的，买卖、出租采矿权的，对卖方、出租方、出让方处以违法所得一倍以下的罚款；</w:t>
            </w:r>
          </w:p>
          <w:p w14:paraId="2DD4D413">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（四）非法用采矿权作抵押的，处以5000元以下的罚款；</w:t>
            </w:r>
          </w:p>
          <w:p w14:paraId="30FE5DD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（五）违反规定收购和销售国家规定统一收购的矿产品的，处以违法所得一倍以下的罚款；</w:t>
            </w:r>
          </w:p>
          <w:p w14:paraId="414F10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（六）采取破坏性的开采方法开采矿产资源，造成矿产资源严重破坏的，处以相当于矿产资源损失价值50%以下的罚款。</w:t>
            </w:r>
          </w:p>
        </w:tc>
        <w:tc>
          <w:tcPr>
            <w:tcW w:w="3585" w:type="dxa"/>
            <w:vAlign w:val="center"/>
          </w:tcPr>
          <w:p w14:paraId="6BEC4A3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1D3CC0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925062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3F5F2B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C39244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0FCE4A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AB5CD5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C8BD7F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29C2DE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E14AF0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8BEAB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8594B8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8663F1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FE994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B5E9F0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B66984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7E767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52FFD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3424C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7FA8D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6AD3B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8B0E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F75AD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D5AA4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0334D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0E3B3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14E1A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8F35EA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A0EE317">
            <w:pPr>
              <w:snapToGrid w:val="0"/>
              <w:spacing w:line="240" w:lineRule="atLeast"/>
              <w:jc w:val="center"/>
              <w:rPr>
                <w:rFonts w:ascii="仿宋_GB2312" w:hAnsi="仿宋_GB2312" w:eastAsia="仿宋_GB2312" w:cs="仿宋_GB2312"/>
                <w:sz w:val="20"/>
                <w:szCs w:val="20"/>
              </w:rPr>
            </w:pPr>
          </w:p>
        </w:tc>
      </w:tr>
    </w:tbl>
    <w:p w14:paraId="0353B302"/>
    <w:p w14:paraId="2073E1BC"/>
    <w:p w14:paraId="305B4B5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E62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192E10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F830DEC">
            <w:pPr>
              <w:spacing w:line="240" w:lineRule="atLeast"/>
              <w:rPr>
                <w:rFonts w:asciiTheme="majorEastAsia" w:hAnsiTheme="majorEastAsia" w:eastAsiaTheme="majorEastAsia" w:cstheme="majorEastAsia"/>
                <w:spacing w:val="-20"/>
                <w:sz w:val="20"/>
                <w:szCs w:val="20"/>
              </w:rPr>
            </w:pPr>
          </w:p>
          <w:p w14:paraId="5F1B72D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767F82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C04027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35811F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AA6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576A0D4">
            <w:pPr>
              <w:spacing w:line="240" w:lineRule="atLeast"/>
              <w:jc w:val="left"/>
              <w:rPr>
                <w:rFonts w:ascii="仿宋_GB2312" w:hAnsi="仿宋_GB2312" w:eastAsia="仿宋_GB2312" w:cs="仿宋_GB2312"/>
                <w:sz w:val="20"/>
                <w:szCs w:val="20"/>
              </w:rPr>
            </w:pPr>
          </w:p>
        </w:tc>
        <w:tc>
          <w:tcPr>
            <w:tcW w:w="555" w:type="dxa"/>
            <w:vMerge w:val="continue"/>
          </w:tcPr>
          <w:p w14:paraId="1972AE13">
            <w:pPr>
              <w:spacing w:line="240" w:lineRule="atLeast"/>
              <w:jc w:val="left"/>
              <w:rPr>
                <w:rFonts w:ascii="仿宋_GB2312" w:hAnsi="仿宋_GB2312" w:eastAsia="仿宋_GB2312" w:cs="仿宋_GB2312"/>
                <w:sz w:val="20"/>
                <w:szCs w:val="20"/>
              </w:rPr>
            </w:pPr>
          </w:p>
        </w:tc>
        <w:tc>
          <w:tcPr>
            <w:tcW w:w="784" w:type="dxa"/>
            <w:vAlign w:val="center"/>
          </w:tcPr>
          <w:p w14:paraId="4912E39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80FB95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82BC49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3C83DB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779A17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D3FD3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A24BC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65A172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E43BB3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91FDCA8">
            <w:pPr>
              <w:spacing w:line="240" w:lineRule="atLeast"/>
              <w:jc w:val="left"/>
              <w:rPr>
                <w:rFonts w:ascii="仿宋_GB2312" w:hAnsi="仿宋_GB2312" w:eastAsia="仿宋_GB2312" w:cs="仿宋_GB2312"/>
                <w:sz w:val="20"/>
                <w:szCs w:val="20"/>
              </w:rPr>
            </w:pPr>
          </w:p>
        </w:tc>
      </w:tr>
      <w:tr w14:paraId="2C86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B81B2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59</w:t>
            </w:r>
          </w:p>
        </w:tc>
        <w:tc>
          <w:tcPr>
            <w:tcW w:w="555" w:type="dxa"/>
            <w:vAlign w:val="center"/>
          </w:tcPr>
          <w:p w14:paraId="10A207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E417F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5F713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04B373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对买卖、出租或者以其他形式转让矿产资源行为的处罚</w:t>
            </w:r>
          </w:p>
        </w:tc>
        <w:tc>
          <w:tcPr>
            <w:tcW w:w="660" w:type="dxa"/>
            <w:vAlign w:val="center"/>
          </w:tcPr>
          <w:p w14:paraId="0D420014">
            <w:pPr>
              <w:snapToGrid w:val="0"/>
              <w:spacing w:line="240" w:lineRule="atLeast"/>
              <w:jc w:val="center"/>
              <w:rPr>
                <w:rFonts w:ascii="仿宋_GB2312" w:hAnsi="仿宋_GB2312" w:eastAsia="仿宋_GB2312" w:cs="仿宋_GB2312"/>
                <w:sz w:val="20"/>
                <w:szCs w:val="20"/>
              </w:rPr>
            </w:pPr>
          </w:p>
        </w:tc>
        <w:tc>
          <w:tcPr>
            <w:tcW w:w="615" w:type="dxa"/>
            <w:vAlign w:val="center"/>
          </w:tcPr>
          <w:p w14:paraId="04FDA6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32A8C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1CFDA7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1.【法律】《中华人民共和国矿产资源法》第四十二条：买卖、出租或者以其他形式转让矿产资源的，没收违法所得，处以罚款。</w:t>
            </w:r>
          </w:p>
          <w:p w14:paraId="33B7FD7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1C28DD8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w:t>
            </w:r>
          </w:p>
          <w:p w14:paraId="029D110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（一）未取得采矿许可证擅自采矿的，擅自进入国家规划矿区、对国民经济具有重要价值的矿区和他人矿区范围采矿的，擅自开采国家规定实行保护性开采的特定矿种的，处以违法所得百分之五十以下的罚款；</w:t>
            </w:r>
          </w:p>
          <w:p w14:paraId="1465AA6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（三）买卖、出租或者以其他形式转让矿产资源的，买卖、出租采矿权的，对卖方、出租方、出让方处以违法所得一倍以下的罚款；</w:t>
            </w:r>
          </w:p>
          <w:p w14:paraId="6D3DEFE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矿产资源管理条例》（2000年12月2日广西壮族自治区第九届人民代表大会常务委员会第二十一次会议通过，自2011年1月1日起施行，根据2016年11月30日广西壮族自治区第十二届人民代表大会常务委员会第二十六次会议《关于废止和修改部分地方性法规的决定》修正）第二十条：开采下列矿产资源，由自治区地质矿产主管部门审批登记，颁发采矿许可证：</w:t>
            </w:r>
          </w:p>
          <w:p w14:paraId="45954EA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（一）国务院《矿产资源开采登记管理办法》第三条第一款、第二款规定以外的矿产储量规模中型以上的矿产资源；</w:t>
            </w:r>
          </w:p>
          <w:p w14:paraId="6DA44B2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（二）自治区规划矿区内的矿产资源；</w:t>
            </w:r>
          </w:p>
          <w:p w14:paraId="0B3D9C3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（三）自治区财政出资勘查探明矿产地的矿产资源；</w:t>
            </w:r>
          </w:p>
          <w:p w14:paraId="5875A86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（四）国务院地质矿产主管部门授权省级地质矿产主管部门审批登记的矿产资源；</w:t>
            </w:r>
          </w:p>
          <w:p w14:paraId="19976C5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（五）依法可以边探边采的矿产资源。</w:t>
            </w:r>
          </w:p>
          <w:p w14:paraId="4FE5B49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开采本条第一款规定以外的矿产储量规模为小型的矿产资源，由县级地质矿产主管部门审批登记，颁发采矿许可证。</w:t>
            </w:r>
          </w:p>
          <w:p w14:paraId="2E84876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矿区范围跨县级以上行政区域的，由所涉及行政区域的共同上一级地质矿产主管部门审批登记，颁发采矿许可证。</w:t>
            </w:r>
          </w:p>
          <w:p w14:paraId="0410641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第四十条：买卖、出租或者以其他任何形式转让矿产资源的，由地质矿产主管部门责令停止违法行为，没收违法所得，处以一万元以上十万元以下的罚款。</w:t>
            </w:r>
          </w:p>
        </w:tc>
        <w:tc>
          <w:tcPr>
            <w:tcW w:w="3585" w:type="dxa"/>
            <w:vAlign w:val="center"/>
          </w:tcPr>
          <w:p w14:paraId="4D8786F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D99867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AB3B92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7C7AD08">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3BA6A4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00FAC2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6E26BDE">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DF19CB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D7E4F1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164253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18A1F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00B0AE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7949F9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91C83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8371C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345D87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A52A5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96D39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0D74F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E0FFA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85467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88484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34767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E1FAA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028F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04581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9A0A7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825F21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FCFA7DD">
            <w:pPr>
              <w:snapToGrid w:val="0"/>
              <w:spacing w:line="240" w:lineRule="atLeast"/>
              <w:jc w:val="center"/>
              <w:rPr>
                <w:rFonts w:ascii="仿宋_GB2312" w:hAnsi="仿宋_GB2312" w:eastAsia="仿宋_GB2312" w:cs="仿宋_GB2312"/>
                <w:sz w:val="20"/>
                <w:szCs w:val="20"/>
              </w:rPr>
            </w:pPr>
          </w:p>
        </w:tc>
      </w:tr>
    </w:tbl>
    <w:p w14:paraId="5693925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CC4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140202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A1D5D4B">
            <w:pPr>
              <w:spacing w:line="240" w:lineRule="atLeast"/>
              <w:rPr>
                <w:rFonts w:asciiTheme="majorEastAsia" w:hAnsiTheme="majorEastAsia" w:eastAsiaTheme="majorEastAsia" w:cstheme="majorEastAsia"/>
                <w:spacing w:val="-20"/>
                <w:sz w:val="20"/>
                <w:szCs w:val="20"/>
              </w:rPr>
            </w:pPr>
          </w:p>
          <w:p w14:paraId="0317E18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390C08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E8D07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BCCBB3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BD1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09AB7E6">
            <w:pPr>
              <w:spacing w:line="240" w:lineRule="atLeast"/>
              <w:jc w:val="left"/>
              <w:rPr>
                <w:rFonts w:ascii="仿宋_GB2312" w:hAnsi="仿宋_GB2312" w:eastAsia="仿宋_GB2312" w:cs="仿宋_GB2312"/>
                <w:sz w:val="20"/>
                <w:szCs w:val="20"/>
              </w:rPr>
            </w:pPr>
          </w:p>
        </w:tc>
        <w:tc>
          <w:tcPr>
            <w:tcW w:w="555" w:type="dxa"/>
            <w:vMerge w:val="continue"/>
          </w:tcPr>
          <w:p w14:paraId="2DFC5BC7">
            <w:pPr>
              <w:spacing w:line="240" w:lineRule="atLeast"/>
              <w:jc w:val="left"/>
              <w:rPr>
                <w:rFonts w:ascii="仿宋_GB2312" w:hAnsi="仿宋_GB2312" w:eastAsia="仿宋_GB2312" w:cs="仿宋_GB2312"/>
                <w:sz w:val="20"/>
                <w:szCs w:val="20"/>
              </w:rPr>
            </w:pPr>
          </w:p>
        </w:tc>
        <w:tc>
          <w:tcPr>
            <w:tcW w:w="784" w:type="dxa"/>
            <w:vAlign w:val="center"/>
          </w:tcPr>
          <w:p w14:paraId="0D23254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FF3977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2716CD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67210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AA466D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967EA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FF6865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0C6535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25CD4A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BCB3492">
            <w:pPr>
              <w:spacing w:line="240" w:lineRule="atLeast"/>
              <w:jc w:val="left"/>
              <w:rPr>
                <w:rFonts w:ascii="仿宋_GB2312" w:hAnsi="仿宋_GB2312" w:eastAsia="仿宋_GB2312" w:cs="仿宋_GB2312"/>
                <w:sz w:val="20"/>
                <w:szCs w:val="20"/>
              </w:rPr>
            </w:pPr>
          </w:p>
        </w:tc>
      </w:tr>
      <w:tr w14:paraId="3B3B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BBAEC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60</w:t>
            </w:r>
          </w:p>
        </w:tc>
        <w:tc>
          <w:tcPr>
            <w:tcW w:w="555" w:type="dxa"/>
            <w:vAlign w:val="center"/>
          </w:tcPr>
          <w:p w14:paraId="6D9FB3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A6BB7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83DC9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BEC666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对采取破坏性的开采方法开采矿产资源的处罚</w:t>
            </w:r>
          </w:p>
        </w:tc>
        <w:tc>
          <w:tcPr>
            <w:tcW w:w="660" w:type="dxa"/>
            <w:vAlign w:val="center"/>
          </w:tcPr>
          <w:p w14:paraId="66A0FDC8">
            <w:pPr>
              <w:snapToGrid w:val="0"/>
              <w:spacing w:line="240" w:lineRule="atLeast"/>
              <w:jc w:val="center"/>
              <w:rPr>
                <w:rFonts w:ascii="仿宋_GB2312" w:hAnsi="仿宋_GB2312" w:eastAsia="仿宋_GB2312" w:cs="仿宋_GB2312"/>
                <w:sz w:val="20"/>
                <w:szCs w:val="20"/>
              </w:rPr>
            </w:pPr>
          </w:p>
        </w:tc>
        <w:tc>
          <w:tcPr>
            <w:tcW w:w="615" w:type="dxa"/>
            <w:vAlign w:val="center"/>
          </w:tcPr>
          <w:p w14:paraId="38DA90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222F7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588898E">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1.【法律】《中华人民共和国矿产资源法》第四十四条：违反本法规定，采取破坏性的开采方法开采矿产资源的，处以罚款，可以吊销采矿许可证；造成矿产资源严重破坏的，依照刑法有关规定对直接责任人员追究刑事责任。</w:t>
            </w:r>
          </w:p>
          <w:p w14:paraId="68BC784E">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第四十五条：……第四十四条规定的行政处罚，由省、自治区、直辖市人民政府地质矿产主管部门决定。给予吊销勘查许可证或者采矿许可证处罚的，须由原发证机关决定。</w:t>
            </w:r>
          </w:p>
          <w:p w14:paraId="6D51259D">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2.【行政法规】《中华人民共和国矿产资源法实施细则》（1994年国务院令第152号）第四十二条：依照《矿产资源法》第三十九条、第四十条、第四十二条、第四十三条、第四十四条规定处以罚款的，分别按照下列规定执行：</w:t>
            </w:r>
          </w:p>
          <w:p w14:paraId="4E971F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（六）采取破坏性的开采方法开采矿产资源，造成矿产资源严重破坏的，处以相当于矿产资源损失价值50%以下的罚款。</w:t>
            </w:r>
          </w:p>
        </w:tc>
        <w:tc>
          <w:tcPr>
            <w:tcW w:w="3585" w:type="dxa"/>
            <w:vAlign w:val="center"/>
          </w:tcPr>
          <w:p w14:paraId="49D3C88C">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1.立案阶段责任：接到举报或相关部门转送、巡查发现违法行为，及时予以审查，决定是否立案。下达《责令停止违法行为通知书》。</w:t>
            </w:r>
          </w:p>
          <w:p w14:paraId="21809D93">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1373860">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A6A7809">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1A97BEB">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5.决定阶段责任：制作行政处罚决定书，载明行政处罚告知、当事人陈述申辩或者听证情况等内容。符合刑事案件移送条件的，及时移送。</w:t>
            </w:r>
          </w:p>
          <w:p w14:paraId="5FB891FF">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6.送达阶段责任：行政处罚决定书按法律规定的方式送达当事人。</w:t>
            </w:r>
          </w:p>
          <w:p w14:paraId="03F92222">
            <w:pPr>
              <w:widowControl/>
              <w:adjustRightInd w:val="0"/>
              <w:snapToGrid w:val="0"/>
              <w:spacing w:line="231"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7.执行阶段责任：当事人履行处罚决定的，及时结案；未履行处罚决定，依照生效的行政处罚决定，按程序下达催缴（告）通知书和申请人民法院强制执行。</w:t>
            </w:r>
          </w:p>
          <w:p w14:paraId="303D4FD0">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8.其他法律法规规章文件规定应履行的责任。</w:t>
            </w:r>
          </w:p>
        </w:tc>
        <w:tc>
          <w:tcPr>
            <w:tcW w:w="9515" w:type="dxa"/>
            <w:vAlign w:val="center"/>
          </w:tcPr>
          <w:p w14:paraId="2C5AF9A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5A7DA7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B3015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1A7D35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528A28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54FBE4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B0675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23E709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24AA2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DB7B0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06B29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7009D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630FA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10F5B7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D5069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92367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749BA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8EFC3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940B6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1BB617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5313255">
            <w:pPr>
              <w:snapToGrid w:val="0"/>
              <w:spacing w:line="240" w:lineRule="atLeast"/>
              <w:jc w:val="center"/>
              <w:rPr>
                <w:rFonts w:ascii="仿宋_GB2312" w:hAnsi="仿宋_GB2312" w:eastAsia="仿宋_GB2312" w:cs="仿宋_GB2312"/>
                <w:sz w:val="20"/>
                <w:szCs w:val="20"/>
              </w:rPr>
            </w:pPr>
          </w:p>
        </w:tc>
      </w:tr>
    </w:tbl>
    <w:p w14:paraId="48189600"/>
    <w:p w14:paraId="27B3E6D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F4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815D4C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FACC0C8">
            <w:pPr>
              <w:spacing w:line="240" w:lineRule="atLeast"/>
              <w:rPr>
                <w:rFonts w:asciiTheme="majorEastAsia" w:hAnsiTheme="majorEastAsia" w:eastAsiaTheme="majorEastAsia" w:cstheme="majorEastAsia"/>
                <w:spacing w:val="-20"/>
                <w:sz w:val="20"/>
                <w:szCs w:val="20"/>
              </w:rPr>
            </w:pPr>
          </w:p>
          <w:p w14:paraId="3A916E2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49A90E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CA1B02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740416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E0D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CF08939">
            <w:pPr>
              <w:spacing w:line="240" w:lineRule="atLeast"/>
              <w:jc w:val="left"/>
              <w:rPr>
                <w:rFonts w:ascii="仿宋_GB2312" w:hAnsi="仿宋_GB2312" w:eastAsia="仿宋_GB2312" w:cs="仿宋_GB2312"/>
                <w:sz w:val="20"/>
                <w:szCs w:val="20"/>
              </w:rPr>
            </w:pPr>
          </w:p>
        </w:tc>
        <w:tc>
          <w:tcPr>
            <w:tcW w:w="555" w:type="dxa"/>
            <w:vMerge w:val="continue"/>
          </w:tcPr>
          <w:p w14:paraId="42D10BB0">
            <w:pPr>
              <w:spacing w:line="240" w:lineRule="atLeast"/>
              <w:jc w:val="left"/>
              <w:rPr>
                <w:rFonts w:ascii="仿宋_GB2312" w:hAnsi="仿宋_GB2312" w:eastAsia="仿宋_GB2312" w:cs="仿宋_GB2312"/>
                <w:sz w:val="20"/>
                <w:szCs w:val="20"/>
              </w:rPr>
            </w:pPr>
          </w:p>
        </w:tc>
        <w:tc>
          <w:tcPr>
            <w:tcW w:w="784" w:type="dxa"/>
            <w:vAlign w:val="center"/>
          </w:tcPr>
          <w:p w14:paraId="3148716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6791A7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1AFD70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FB4F05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F45266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C45C95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589F3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E965DD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AF0052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80AB497">
            <w:pPr>
              <w:spacing w:line="240" w:lineRule="atLeast"/>
              <w:jc w:val="left"/>
              <w:rPr>
                <w:rFonts w:ascii="仿宋_GB2312" w:hAnsi="仿宋_GB2312" w:eastAsia="仿宋_GB2312" w:cs="仿宋_GB2312"/>
                <w:sz w:val="20"/>
                <w:szCs w:val="20"/>
              </w:rPr>
            </w:pPr>
          </w:p>
        </w:tc>
      </w:tr>
      <w:tr w14:paraId="2F66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47B94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61</w:t>
            </w:r>
          </w:p>
        </w:tc>
        <w:tc>
          <w:tcPr>
            <w:tcW w:w="555" w:type="dxa"/>
            <w:vAlign w:val="center"/>
          </w:tcPr>
          <w:p w14:paraId="3386BD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D941E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3C9D7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537144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对非法用采矿权作抵押行为的处罚</w:t>
            </w:r>
          </w:p>
        </w:tc>
        <w:tc>
          <w:tcPr>
            <w:tcW w:w="660" w:type="dxa"/>
            <w:vAlign w:val="center"/>
          </w:tcPr>
          <w:p w14:paraId="513E28C7">
            <w:pPr>
              <w:snapToGrid w:val="0"/>
              <w:spacing w:line="240" w:lineRule="atLeast"/>
              <w:jc w:val="center"/>
              <w:rPr>
                <w:rFonts w:ascii="仿宋_GB2312" w:hAnsi="仿宋_GB2312" w:eastAsia="仿宋_GB2312" w:cs="仿宋_GB2312"/>
                <w:sz w:val="20"/>
                <w:szCs w:val="20"/>
              </w:rPr>
            </w:pPr>
          </w:p>
        </w:tc>
        <w:tc>
          <w:tcPr>
            <w:tcW w:w="615" w:type="dxa"/>
            <w:vAlign w:val="center"/>
          </w:tcPr>
          <w:p w14:paraId="5A6C2B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6964A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00DF15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二条：买卖、出租或者以其他形式转让矿产资源的，没收违法所得，处以罚款。违反本法第六条的规定将探矿权、采矿权倒卖牟利的，吊销勘查许可证、采矿许可证，没收违法所得，处以罚款。</w:t>
            </w:r>
          </w:p>
          <w:p w14:paraId="105C91B7">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第四十五条：本法第三十九条、第四十条、第四十二条规定的行政处罚，由县级以上人民政府负责地质矿产管理工作的部门按照国务院地质矿产主管部门规定的权限决定。……</w:t>
            </w:r>
          </w:p>
          <w:p w14:paraId="1B5E6A6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矿产资源法实施细则》（1994年国务院令第152号）第八条：……设区的市人民政府、自治州人民政府和县级人民政府及其负责管理矿产资源的部门，依法对本级人民政府批准开办的国有矿山企业和本行政区域内的集体所有制矿山企业、私营矿山企业、个体采矿者以及在本行政区域内从事勘查施工的单位和个人进行监督管理，依法保护探矿权人、采矿权人的合法权益。</w:t>
            </w:r>
          </w:p>
          <w:p w14:paraId="5C0692C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上级地质矿产主管部门有权对下级地质矿产主管部门违法的或者不适当的矿产资源勘查、开采管理行政行为予以改变或者撤销。</w:t>
            </w:r>
          </w:p>
          <w:p w14:paraId="580EC57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第四十二条：依照《矿产资源法》第三十九条、第四十条、第四十二条、第四十三条、第四十四条规定处以罚款的，分别按照下列规定执行：</w:t>
            </w:r>
          </w:p>
          <w:p w14:paraId="714E30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（四）非法用采矿权作抵押的，处以5000元以下的罚款。</w:t>
            </w:r>
          </w:p>
        </w:tc>
        <w:tc>
          <w:tcPr>
            <w:tcW w:w="3585" w:type="dxa"/>
            <w:vAlign w:val="center"/>
          </w:tcPr>
          <w:p w14:paraId="4FD78F2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4F1FB51">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38C9D6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C36C11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15A147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9DCEF4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33A6264">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EBF60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BA8D28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3D9351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DEE51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D6C25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A6F2E6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D74EA3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AD5755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D177CD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A9F9D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693B3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1EA2D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732D6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FAEA1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0895B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0754D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0F99F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67ADF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AC0DF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6F3EC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468136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A23458C">
            <w:pPr>
              <w:snapToGrid w:val="0"/>
              <w:spacing w:line="240" w:lineRule="atLeast"/>
              <w:jc w:val="center"/>
              <w:rPr>
                <w:rFonts w:ascii="仿宋_GB2312" w:hAnsi="仿宋_GB2312" w:eastAsia="仿宋_GB2312" w:cs="仿宋_GB2312"/>
                <w:sz w:val="20"/>
                <w:szCs w:val="20"/>
              </w:rPr>
            </w:pPr>
          </w:p>
        </w:tc>
      </w:tr>
    </w:tbl>
    <w:p w14:paraId="2C16C9A3"/>
    <w:p w14:paraId="487DEC7C"/>
    <w:p w14:paraId="62C1DC7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19F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EDC4FE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5D5C868">
            <w:pPr>
              <w:spacing w:line="240" w:lineRule="atLeast"/>
              <w:rPr>
                <w:rFonts w:asciiTheme="majorEastAsia" w:hAnsiTheme="majorEastAsia" w:eastAsiaTheme="majorEastAsia" w:cstheme="majorEastAsia"/>
                <w:spacing w:val="-20"/>
                <w:sz w:val="20"/>
                <w:szCs w:val="20"/>
              </w:rPr>
            </w:pPr>
          </w:p>
          <w:p w14:paraId="5C87B6C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7A2FBA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D1E1A2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26F729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7C6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F1905E">
            <w:pPr>
              <w:spacing w:line="240" w:lineRule="atLeast"/>
              <w:jc w:val="left"/>
              <w:rPr>
                <w:rFonts w:ascii="仿宋_GB2312" w:hAnsi="仿宋_GB2312" w:eastAsia="仿宋_GB2312" w:cs="仿宋_GB2312"/>
                <w:sz w:val="20"/>
                <w:szCs w:val="20"/>
              </w:rPr>
            </w:pPr>
          </w:p>
        </w:tc>
        <w:tc>
          <w:tcPr>
            <w:tcW w:w="555" w:type="dxa"/>
            <w:vMerge w:val="continue"/>
          </w:tcPr>
          <w:p w14:paraId="19F349AF">
            <w:pPr>
              <w:spacing w:line="240" w:lineRule="atLeast"/>
              <w:jc w:val="left"/>
              <w:rPr>
                <w:rFonts w:ascii="仿宋_GB2312" w:hAnsi="仿宋_GB2312" w:eastAsia="仿宋_GB2312" w:cs="仿宋_GB2312"/>
                <w:sz w:val="20"/>
                <w:szCs w:val="20"/>
              </w:rPr>
            </w:pPr>
          </w:p>
        </w:tc>
        <w:tc>
          <w:tcPr>
            <w:tcW w:w="784" w:type="dxa"/>
            <w:vAlign w:val="center"/>
          </w:tcPr>
          <w:p w14:paraId="30BBC36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1367CC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919B83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BC3272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D9CA89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CF1D83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239CF4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62D456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968D41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EB52A17">
            <w:pPr>
              <w:spacing w:line="240" w:lineRule="atLeast"/>
              <w:jc w:val="left"/>
              <w:rPr>
                <w:rFonts w:ascii="仿宋_GB2312" w:hAnsi="仿宋_GB2312" w:eastAsia="仿宋_GB2312" w:cs="仿宋_GB2312"/>
                <w:sz w:val="20"/>
                <w:szCs w:val="20"/>
              </w:rPr>
            </w:pPr>
          </w:p>
        </w:tc>
      </w:tr>
      <w:tr w14:paraId="1B9E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65C516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62</w:t>
            </w:r>
          </w:p>
        </w:tc>
        <w:tc>
          <w:tcPr>
            <w:tcW w:w="555" w:type="dxa"/>
            <w:vAlign w:val="center"/>
          </w:tcPr>
          <w:p w14:paraId="3369E3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0EB14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3FE80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741564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对未经批准擅自转让探矿权、采矿权行为的处罚</w:t>
            </w:r>
          </w:p>
        </w:tc>
        <w:tc>
          <w:tcPr>
            <w:tcW w:w="660" w:type="dxa"/>
            <w:vAlign w:val="center"/>
          </w:tcPr>
          <w:p w14:paraId="555A3D31">
            <w:pPr>
              <w:snapToGrid w:val="0"/>
              <w:spacing w:line="240" w:lineRule="atLeast"/>
              <w:jc w:val="center"/>
              <w:rPr>
                <w:rFonts w:ascii="仿宋_GB2312" w:hAnsi="仿宋_GB2312" w:eastAsia="仿宋_GB2312" w:cs="仿宋_GB2312"/>
                <w:sz w:val="20"/>
                <w:szCs w:val="20"/>
              </w:rPr>
            </w:pPr>
          </w:p>
        </w:tc>
        <w:tc>
          <w:tcPr>
            <w:tcW w:w="615" w:type="dxa"/>
            <w:vAlign w:val="center"/>
          </w:tcPr>
          <w:p w14:paraId="486BE1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77F03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205391B">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探矿权采矿权转让管理办法》（1998年国务院令第242号公布，2014年国务院令第653号修订）第十四条：未经审批管理机关批准，擅自转让探矿权、采矿权的，由登记管理机关责令改正，没收违法所得，处10万元以下的罚款；情节严重的，由原发证机关吊销勘查许可证、采矿许可证。</w:t>
            </w:r>
          </w:p>
          <w:p w14:paraId="0C22D900">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第四条：国务院地质矿产主管部门和省、自治区、直辖市人民政府地质矿产主管部门是探矿权、采矿权转让的审批管理机关。</w:t>
            </w:r>
          </w:p>
          <w:p w14:paraId="5FAA0155">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国务院地质矿产主管部门负责由其审批发证的探矿权、采矿权转让的审批。</w:t>
            </w:r>
          </w:p>
          <w:p w14:paraId="2B1EE116">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省、自治区、直辖市人民政府地质矿产主管部门负责本条第二款规定以外的探矿权、采矿权转让的审批。</w:t>
            </w:r>
          </w:p>
          <w:p w14:paraId="323252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2.【规范性文件】《国务院关于第六批取消和调整行政审批项目的决定》（国发〔2012〕52号）附件2　国务院决定调整的行政审批项目目录（143项）（一）下放管理层级的行政审批项目（117项）第13项将“市县级人民政府地质矿产主管部门审批的采矿权的转让审批”由“省级人民政府地质矿产主管部门”下放“设区的市级、县级人民政府地质矿产主管部门”。</w:t>
            </w:r>
          </w:p>
        </w:tc>
        <w:tc>
          <w:tcPr>
            <w:tcW w:w="3585" w:type="dxa"/>
            <w:vAlign w:val="center"/>
          </w:tcPr>
          <w:p w14:paraId="19FE8A3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335023F">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CCFB96C">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27B2399">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FE41C32">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387DE9A">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9190EAD">
            <w:pPr>
              <w:widowControl/>
              <w:adjustRightInd w:val="0"/>
              <w:snapToGrid w:val="0"/>
              <w:spacing w:line="231"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90F004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91BF27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88BDF0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0EF2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A1447D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44740A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3AC7B9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9B64A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95A891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956AB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E2E48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0FD28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988F3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E765E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31330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2CB5B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487C6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AAE1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AA76E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F3532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5AA04D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81AD5DC">
            <w:pPr>
              <w:snapToGrid w:val="0"/>
              <w:spacing w:line="240" w:lineRule="atLeast"/>
              <w:jc w:val="center"/>
              <w:rPr>
                <w:rFonts w:ascii="仿宋_GB2312" w:hAnsi="仿宋_GB2312" w:eastAsia="仿宋_GB2312" w:cs="仿宋_GB2312"/>
                <w:sz w:val="20"/>
                <w:szCs w:val="20"/>
              </w:rPr>
            </w:pPr>
          </w:p>
        </w:tc>
      </w:tr>
    </w:tbl>
    <w:p w14:paraId="4C389838"/>
    <w:p w14:paraId="5C1145F4"/>
    <w:p w14:paraId="4FD0BC4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3F8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9EC141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2630C92">
            <w:pPr>
              <w:spacing w:line="240" w:lineRule="atLeast"/>
              <w:rPr>
                <w:rFonts w:asciiTheme="majorEastAsia" w:hAnsiTheme="majorEastAsia" w:eastAsiaTheme="majorEastAsia" w:cstheme="majorEastAsia"/>
                <w:spacing w:val="-20"/>
                <w:sz w:val="20"/>
                <w:szCs w:val="20"/>
              </w:rPr>
            </w:pPr>
          </w:p>
          <w:p w14:paraId="54349B2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669086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A10EF7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60B8CD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0D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F239264">
            <w:pPr>
              <w:spacing w:line="240" w:lineRule="atLeast"/>
              <w:jc w:val="left"/>
              <w:rPr>
                <w:rFonts w:ascii="仿宋_GB2312" w:hAnsi="仿宋_GB2312" w:eastAsia="仿宋_GB2312" w:cs="仿宋_GB2312"/>
                <w:sz w:val="20"/>
                <w:szCs w:val="20"/>
              </w:rPr>
            </w:pPr>
          </w:p>
        </w:tc>
        <w:tc>
          <w:tcPr>
            <w:tcW w:w="555" w:type="dxa"/>
            <w:vMerge w:val="continue"/>
          </w:tcPr>
          <w:p w14:paraId="34246A05">
            <w:pPr>
              <w:spacing w:line="240" w:lineRule="atLeast"/>
              <w:jc w:val="left"/>
              <w:rPr>
                <w:rFonts w:ascii="仿宋_GB2312" w:hAnsi="仿宋_GB2312" w:eastAsia="仿宋_GB2312" w:cs="仿宋_GB2312"/>
                <w:sz w:val="20"/>
                <w:szCs w:val="20"/>
              </w:rPr>
            </w:pPr>
          </w:p>
        </w:tc>
        <w:tc>
          <w:tcPr>
            <w:tcW w:w="784" w:type="dxa"/>
            <w:vAlign w:val="center"/>
          </w:tcPr>
          <w:p w14:paraId="481DC26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70739B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3028E7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E53B7E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9064E6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55D8C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90E7F2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FCCF67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2BDC11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39E5C22">
            <w:pPr>
              <w:spacing w:line="240" w:lineRule="atLeast"/>
              <w:jc w:val="left"/>
              <w:rPr>
                <w:rFonts w:ascii="仿宋_GB2312" w:hAnsi="仿宋_GB2312" w:eastAsia="仿宋_GB2312" w:cs="仿宋_GB2312"/>
                <w:sz w:val="20"/>
                <w:szCs w:val="20"/>
              </w:rPr>
            </w:pPr>
          </w:p>
        </w:tc>
      </w:tr>
      <w:tr w14:paraId="5788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731D6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63</w:t>
            </w:r>
          </w:p>
        </w:tc>
        <w:tc>
          <w:tcPr>
            <w:tcW w:w="555" w:type="dxa"/>
            <w:vAlign w:val="center"/>
          </w:tcPr>
          <w:p w14:paraId="351014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37520C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5BC9D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646AEE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对未取得勘查许可证擅自进行勘查工作的，超越批准的勘查区块范围进行勘查工作行为的处罚</w:t>
            </w:r>
          </w:p>
        </w:tc>
        <w:tc>
          <w:tcPr>
            <w:tcW w:w="660" w:type="dxa"/>
            <w:vAlign w:val="center"/>
          </w:tcPr>
          <w:p w14:paraId="61AC0673">
            <w:pPr>
              <w:snapToGrid w:val="0"/>
              <w:spacing w:line="240" w:lineRule="atLeast"/>
              <w:jc w:val="center"/>
              <w:rPr>
                <w:rFonts w:ascii="仿宋_GB2312" w:hAnsi="仿宋_GB2312" w:eastAsia="仿宋_GB2312" w:cs="仿宋_GB2312"/>
                <w:sz w:val="20"/>
                <w:szCs w:val="20"/>
              </w:rPr>
            </w:pPr>
          </w:p>
        </w:tc>
        <w:tc>
          <w:tcPr>
            <w:tcW w:w="615" w:type="dxa"/>
            <w:vAlign w:val="center"/>
          </w:tcPr>
          <w:p w14:paraId="1083E5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77DB6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0FCB23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六条：违反本办法规定，未取得勘查许可证擅自进行勘查工作的，超越批准的勘查区块范围进行勘查工作的，由县级以上人民政府负责地质矿产管理工作的部门按照国务院地质矿产主管部门规定的权限，责令停止违法行为，予以警告，可以并处10万元以下的罚款。</w:t>
            </w:r>
          </w:p>
        </w:tc>
        <w:tc>
          <w:tcPr>
            <w:tcW w:w="3585" w:type="dxa"/>
            <w:vAlign w:val="center"/>
          </w:tcPr>
          <w:p w14:paraId="79A1D9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9A2CE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8CF79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9E547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66291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55D23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197C2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693BD9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586F85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B8F156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B6725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68D49C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FE19EE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C9713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5224D9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837B55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374F5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27B4F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A33A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C95A3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DB6BF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DC07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58BB0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72DC7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4E4F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4514E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16464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883031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BB6C13A">
            <w:pPr>
              <w:snapToGrid w:val="0"/>
              <w:spacing w:line="240" w:lineRule="atLeast"/>
              <w:jc w:val="center"/>
              <w:rPr>
                <w:rFonts w:ascii="仿宋_GB2312" w:hAnsi="仿宋_GB2312" w:eastAsia="仿宋_GB2312" w:cs="仿宋_GB2312"/>
                <w:sz w:val="20"/>
                <w:szCs w:val="20"/>
              </w:rPr>
            </w:pPr>
          </w:p>
        </w:tc>
      </w:tr>
    </w:tbl>
    <w:p w14:paraId="57BEEC74"/>
    <w:p w14:paraId="5B8CDE0E"/>
    <w:p w14:paraId="19F8237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B14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A4FE49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55D6E32">
            <w:pPr>
              <w:spacing w:line="240" w:lineRule="atLeast"/>
              <w:rPr>
                <w:rFonts w:asciiTheme="majorEastAsia" w:hAnsiTheme="majorEastAsia" w:eastAsiaTheme="majorEastAsia" w:cstheme="majorEastAsia"/>
                <w:spacing w:val="-20"/>
                <w:sz w:val="20"/>
                <w:szCs w:val="20"/>
              </w:rPr>
            </w:pPr>
          </w:p>
          <w:p w14:paraId="52470F9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A37504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91B6F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6EF87D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AE9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824CCC7">
            <w:pPr>
              <w:spacing w:line="240" w:lineRule="atLeast"/>
              <w:jc w:val="left"/>
              <w:rPr>
                <w:rFonts w:ascii="仿宋_GB2312" w:hAnsi="仿宋_GB2312" w:eastAsia="仿宋_GB2312" w:cs="仿宋_GB2312"/>
                <w:sz w:val="20"/>
                <w:szCs w:val="20"/>
              </w:rPr>
            </w:pPr>
          </w:p>
        </w:tc>
        <w:tc>
          <w:tcPr>
            <w:tcW w:w="555" w:type="dxa"/>
            <w:vMerge w:val="continue"/>
          </w:tcPr>
          <w:p w14:paraId="61C2575F">
            <w:pPr>
              <w:spacing w:line="240" w:lineRule="atLeast"/>
              <w:jc w:val="left"/>
              <w:rPr>
                <w:rFonts w:ascii="仿宋_GB2312" w:hAnsi="仿宋_GB2312" w:eastAsia="仿宋_GB2312" w:cs="仿宋_GB2312"/>
                <w:sz w:val="20"/>
                <w:szCs w:val="20"/>
              </w:rPr>
            </w:pPr>
          </w:p>
        </w:tc>
        <w:tc>
          <w:tcPr>
            <w:tcW w:w="784" w:type="dxa"/>
            <w:vAlign w:val="center"/>
          </w:tcPr>
          <w:p w14:paraId="7EA55E5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BA1A3D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A548CE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7718B4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D425E1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604106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DE808B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5A2549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06ECD7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76986F6">
            <w:pPr>
              <w:spacing w:line="240" w:lineRule="atLeast"/>
              <w:jc w:val="left"/>
              <w:rPr>
                <w:rFonts w:ascii="仿宋_GB2312" w:hAnsi="仿宋_GB2312" w:eastAsia="仿宋_GB2312" w:cs="仿宋_GB2312"/>
                <w:sz w:val="20"/>
                <w:szCs w:val="20"/>
              </w:rPr>
            </w:pPr>
          </w:p>
        </w:tc>
      </w:tr>
      <w:tr w14:paraId="2D5B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4FF63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64</w:t>
            </w:r>
          </w:p>
        </w:tc>
        <w:tc>
          <w:tcPr>
            <w:tcW w:w="555" w:type="dxa"/>
            <w:vAlign w:val="center"/>
          </w:tcPr>
          <w:p w14:paraId="1C8DD7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3F2C2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40F4B2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2ACEE1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对未经批准擅自进行滚动勘探开发、边探边采或者试采行为的处罚</w:t>
            </w:r>
          </w:p>
        </w:tc>
        <w:tc>
          <w:tcPr>
            <w:tcW w:w="660" w:type="dxa"/>
            <w:vAlign w:val="center"/>
          </w:tcPr>
          <w:p w14:paraId="0FD95491">
            <w:pPr>
              <w:snapToGrid w:val="0"/>
              <w:spacing w:line="240" w:lineRule="atLeast"/>
              <w:jc w:val="center"/>
              <w:rPr>
                <w:rFonts w:ascii="仿宋_GB2312" w:hAnsi="仿宋_GB2312" w:eastAsia="仿宋_GB2312" w:cs="仿宋_GB2312"/>
                <w:sz w:val="20"/>
                <w:szCs w:val="20"/>
              </w:rPr>
            </w:pPr>
          </w:p>
        </w:tc>
        <w:tc>
          <w:tcPr>
            <w:tcW w:w="615" w:type="dxa"/>
            <w:vAlign w:val="center"/>
          </w:tcPr>
          <w:p w14:paraId="49CD40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B714F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7F57B9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七条：违反本办法规定，未经批准，擅自进行滚动勘探开发、边探边采或者试采的，由县级以上人民政府负责地质矿产管理工作的部门按照国务院地质矿产主管部门规定的权限，责令停止违法行为，予以警告，没收违法所得，可以并处10万元以下的罚款。</w:t>
            </w:r>
          </w:p>
        </w:tc>
        <w:tc>
          <w:tcPr>
            <w:tcW w:w="3585" w:type="dxa"/>
            <w:vAlign w:val="center"/>
          </w:tcPr>
          <w:p w14:paraId="1A7C1C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A3958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972C0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E9F1FA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9A85A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34E27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3C25DE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2E29C5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4EF869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F8212F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ECF66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CA2A85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88DB9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4AA18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293187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B2ACDB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3CD54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401F2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DA823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B8C61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D1207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D2B5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B0127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28714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D4D1B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30E17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75A9C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089F34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9F99D21">
            <w:pPr>
              <w:snapToGrid w:val="0"/>
              <w:spacing w:line="240" w:lineRule="atLeast"/>
              <w:jc w:val="center"/>
              <w:rPr>
                <w:rFonts w:ascii="仿宋_GB2312" w:hAnsi="仿宋_GB2312" w:eastAsia="仿宋_GB2312" w:cs="仿宋_GB2312"/>
                <w:sz w:val="20"/>
                <w:szCs w:val="20"/>
              </w:rPr>
            </w:pPr>
          </w:p>
        </w:tc>
      </w:tr>
    </w:tbl>
    <w:p w14:paraId="247F2DC6"/>
    <w:p w14:paraId="6346DA85"/>
    <w:p w14:paraId="7CCC12E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167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E8FDC4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7AA3DA5">
            <w:pPr>
              <w:spacing w:line="240" w:lineRule="atLeast"/>
              <w:rPr>
                <w:rFonts w:asciiTheme="majorEastAsia" w:hAnsiTheme="majorEastAsia" w:eastAsiaTheme="majorEastAsia" w:cstheme="majorEastAsia"/>
                <w:spacing w:val="-20"/>
                <w:sz w:val="20"/>
                <w:szCs w:val="20"/>
              </w:rPr>
            </w:pPr>
          </w:p>
          <w:p w14:paraId="77EE14A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B6A623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A94F1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95B3B9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F4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77BEC5D">
            <w:pPr>
              <w:spacing w:line="240" w:lineRule="atLeast"/>
              <w:jc w:val="left"/>
              <w:rPr>
                <w:rFonts w:ascii="仿宋_GB2312" w:hAnsi="仿宋_GB2312" w:eastAsia="仿宋_GB2312" w:cs="仿宋_GB2312"/>
                <w:sz w:val="20"/>
                <w:szCs w:val="20"/>
              </w:rPr>
            </w:pPr>
          </w:p>
        </w:tc>
        <w:tc>
          <w:tcPr>
            <w:tcW w:w="555" w:type="dxa"/>
            <w:vMerge w:val="continue"/>
          </w:tcPr>
          <w:p w14:paraId="3798C7A1">
            <w:pPr>
              <w:spacing w:line="240" w:lineRule="atLeast"/>
              <w:jc w:val="left"/>
              <w:rPr>
                <w:rFonts w:ascii="仿宋_GB2312" w:hAnsi="仿宋_GB2312" w:eastAsia="仿宋_GB2312" w:cs="仿宋_GB2312"/>
                <w:sz w:val="20"/>
                <w:szCs w:val="20"/>
              </w:rPr>
            </w:pPr>
          </w:p>
        </w:tc>
        <w:tc>
          <w:tcPr>
            <w:tcW w:w="784" w:type="dxa"/>
            <w:vAlign w:val="center"/>
          </w:tcPr>
          <w:p w14:paraId="704EBAF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3ABA6D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9E6503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ACFA93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97319A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A645C1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1EF403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37DB92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2A7FFB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97096AB">
            <w:pPr>
              <w:spacing w:line="240" w:lineRule="atLeast"/>
              <w:jc w:val="left"/>
              <w:rPr>
                <w:rFonts w:ascii="仿宋_GB2312" w:hAnsi="仿宋_GB2312" w:eastAsia="仿宋_GB2312" w:cs="仿宋_GB2312"/>
                <w:sz w:val="20"/>
                <w:szCs w:val="20"/>
              </w:rPr>
            </w:pPr>
          </w:p>
        </w:tc>
      </w:tr>
      <w:tr w14:paraId="25FB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47A58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65</w:t>
            </w:r>
          </w:p>
        </w:tc>
        <w:tc>
          <w:tcPr>
            <w:tcW w:w="555" w:type="dxa"/>
            <w:vAlign w:val="center"/>
          </w:tcPr>
          <w:p w14:paraId="13C905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1A0FE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29CDE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5D8840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对擅自印制或者伪造、冒用勘查许可证行为的处罚</w:t>
            </w:r>
          </w:p>
        </w:tc>
        <w:tc>
          <w:tcPr>
            <w:tcW w:w="660" w:type="dxa"/>
            <w:vAlign w:val="center"/>
          </w:tcPr>
          <w:p w14:paraId="1F73D8A5">
            <w:pPr>
              <w:snapToGrid w:val="0"/>
              <w:spacing w:line="240" w:lineRule="atLeast"/>
              <w:jc w:val="center"/>
              <w:rPr>
                <w:rFonts w:ascii="仿宋_GB2312" w:hAnsi="仿宋_GB2312" w:eastAsia="仿宋_GB2312" w:cs="仿宋_GB2312"/>
                <w:sz w:val="20"/>
                <w:szCs w:val="20"/>
              </w:rPr>
            </w:pPr>
          </w:p>
        </w:tc>
        <w:tc>
          <w:tcPr>
            <w:tcW w:w="615" w:type="dxa"/>
            <w:vAlign w:val="center"/>
          </w:tcPr>
          <w:p w14:paraId="36E55DE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9623C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B2FA5FB">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【行政法规】《矿产资源勘查区块登记管理办法》（</w:t>
            </w:r>
            <w:r>
              <w:rPr>
                <w:rFonts w:hint="eastAsia" w:eastAsia="仿宋_GB2312"/>
                <w:snapToGrid w:val="0"/>
                <w:color w:val="000000"/>
                <w:sz w:val="20"/>
                <w:szCs w:val="20"/>
              </w:rPr>
              <w:t>1998</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240</w:t>
            </w:r>
            <w:r>
              <w:rPr>
                <w:rFonts w:hint="eastAsia" w:eastAsia="仿宋_GB2312" w:cs="宋体"/>
                <w:snapToGrid w:val="0"/>
                <w:color w:val="000000"/>
                <w:sz w:val="20"/>
                <w:szCs w:val="20"/>
              </w:rPr>
              <w:t>号公布，</w:t>
            </w:r>
            <w:r>
              <w:rPr>
                <w:rFonts w:hint="eastAsia" w:eastAsia="仿宋_GB2312"/>
                <w:snapToGrid w:val="0"/>
                <w:color w:val="000000"/>
                <w:sz w:val="20"/>
                <w:szCs w:val="20"/>
              </w:rPr>
              <w:t>2014</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653</w:t>
            </w:r>
            <w:r>
              <w:rPr>
                <w:rFonts w:hint="eastAsia" w:eastAsia="仿宋_GB2312" w:cs="宋体"/>
                <w:snapToGrid w:val="0"/>
                <w:color w:val="000000"/>
                <w:sz w:val="20"/>
                <w:szCs w:val="20"/>
              </w:rPr>
              <w:t>号修订）第二十八条：违反本办法规定，擅自印制或者伪造、冒用勘查许可证的，由县级以上人民政府负责地质矿产管理工作的部门按照国务院地质矿产主管部门规定的权限，没收违法所得，可以并处</w:t>
            </w:r>
            <w:r>
              <w:rPr>
                <w:rFonts w:hint="eastAsia" w:eastAsia="仿宋_GB2312"/>
                <w:snapToGrid w:val="0"/>
                <w:color w:val="000000"/>
                <w:sz w:val="20"/>
                <w:szCs w:val="20"/>
              </w:rPr>
              <w:t>10</w:t>
            </w:r>
            <w:r>
              <w:rPr>
                <w:rFonts w:hint="eastAsia" w:eastAsia="仿宋_GB2312" w:cs="宋体"/>
                <w:snapToGrid w:val="0"/>
                <w:color w:val="000000"/>
                <w:sz w:val="20"/>
                <w:szCs w:val="20"/>
              </w:rPr>
              <w:t>万元以下的罚款；构成犯罪的，依法追究刑事责任。</w:t>
            </w:r>
          </w:p>
        </w:tc>
        <w:tc>
          <w:tcPr>
            <w:tcW w:w="3585" w:type="dxa"/>
            <w:vAlign w:val="center"/>
          </w:tcPr>
          <w:p w14:paraId="073548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3229B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ABECB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5AE2D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06912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98BA3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C7709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57B1F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F62956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A7DF1A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434B1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3D5EF2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A902E7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AA318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01E6B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23491B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BCF95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B4E11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06385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FF459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AE869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2B700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F51AC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9D861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52287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109A1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BFBB0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62310F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7014D39">
            <w:pPr>
              <w:snapToGrid w:val="0"/>
              <w:spacing w:line="240" w:lineRule="atLeast"/>
              <w:jc w:val="center"/>
              <w:rPr>
                <w:rFonts w:ascii="仿宋_GB2312" w:hAnsi="仿宋_GB2312" w:eastAsia="仿宋_GB2312" w:cs="仿宋_GB2312"/>
                <w:sz w:val="20"/>
                <w:szCs w:val="20"/>
              </w:rPr>
            </w:pPr>
          </w:p>
        </w:tc>
      </w:tr>
    </w:tbl>
    <w:p w14:paraId="084A1B65"/>
    <w:p w14:paraId="535E6E90"/>
    <w:p w14:paraId="3646ECC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624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64E85A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3004EBB">
            <w:pPr>
              <w:spacing w:line="240" w:lineRule="atLeast"/>
              <w:rPr>
                <w:rFonts w:asciiTheme="majorEastAsia" w:hAnsiTheme="majorEastAsia" w:eastAsiaTheme="majorEastAsia" w:cstheme="majorEastAsia"/>
                <w:spacing w:val="-20"/>
                <w:sz w:val="20"/>
                <w:szCs w:val="20"/>
              </w:rPr>
            </w:pPr>
          </w:p>
          <w:p w14:paraId="75DD742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59E991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601C9D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D36165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7D7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10441D9">
            <w:pPr>
              <w:spacing w:line="240" w:lineRule="atLeast"/>
              <w:jc w:val="left"/>
              <w:rPr>
                <w:rFonts w:ascii="仿宋_GB2312" w:hAnsi="仿宋_GB2312" w:eastAsia="仿宋_GB2312" w:cs="仿宋_GB2312"/>
                <w:sz w:val="20"/>
                <w:szCs w:val="20"/>
              </w:rPr>
            </w:pPr>
          </w:p>
        </w:tc>
        <w:tc>
          <w:tcPr>
            <w:tcW w:w="555" w:type="dxa"/>
            <w:vMerge w:val="continue"/>
          </w:tcPr>
          <w:p w14:paraId="42F8A572">
            <w:pPr>
              <w:spacing w:line="240" w:lineRule="atLeast"/>
              <w:jc w:val="left"/>
              <w:rPr>
                <w:rFonts w:ascii="仿宋_GB2312" w:hAnsi="仿宋_GB2312" w:eastAsia="仿宋_GB2312" w:cs="仿宋_GB2312"/>
                <w:sz w:val="20"/>
                <w:szCs w:val="20"/>
              </w:rPr>
            </w:pPr>
          </w:p>
        </w:tc>
        <w:tc>
          <w:tcPr>
            <w:tcW w:w="784" w:type="dxa"/>
            <w:vAlign w:val="center"/>
          </w:tcPr>
          <w:p w14:paraId="290D22F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7E491E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F13409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E6C902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4FC81E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B3664D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8E286F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D62A3E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F7811E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D72A9C0">
            <w:pPr>
              <w:spacing w:line="240" w:lineRule="atLeast"/>
              <w:jc w:val="left"/>
              <w:rPr>
                <w:rFonts w:ascii="仿宋_GB2312" w:hAnsi="仿宋_GB2312" w:eastAsia="仿宋_GB2312" w:cs="仿宋_GB2312"/>
                <w:sz w:val="20"/>
                <w:szCs w:val="20"/>
              </w:rPr>
            </w:pPr>
          </w:p>
        </w:tc>
      </w:tr>
      <w:tr w14:paraId="1AAD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437BE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66</w:t>
            </w:r>
          </w:p>
        </w:tc>
        <w:tc>
          <w:tcPr>
            <w:tcW w:w="555" w:type="dxa"/>
            <w:vAlign w:val="center"/>
          </w:tcPr>
          <w:p w14:paraId="7541DB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5DF59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E71D0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3E34B1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对不按照《矿产资源勘查区块登记管理办法》的规定备案、报告有关情况、拒绝接受监督检查或者弄虚作假行为的处罚</w:t>
            </w:r>
          </w:p>
        </w:tc>
        <w:tc>
          <w:tcPr>
            <w:tcW w:w="660" w:type="dxa"/>
            <w:vAlign w:val="center"/>
          </w:tcPr>
          <w:p w14:paraId="5BDAAB8F">
            <w:pPr>
              <w:snapToGrid w:val="0"/>
              <w:spacing w:line="240" w:lineRule="atLeast"/>
              <w:jc w:val="center"/>
              <w:rPr>
                <w:rFonts w:ascii="仿宋_GB2312" w:hAnsi="仿宋_GB2312" w:eastAsia="仿宋_GB2312" w:cs="仿宋_GB2312"/>
                <w:sz w:val="20"/>
                <w:szCs w:val="20"/>
              </w:rPr>
            </w:pPr>
          </w:p>
        </w:tc>
        <w:tc>
          <w:tcPr>
            <w:tcW w:w="615" w:type="dxa"/>
            <w:vAlign w:val="center"/>
          </w:tcPr>
          <w:p w14:paraId="6A90C5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EEC09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B9093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65C22C1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（一）不按照本办法的规定备案、报告有关情况、拒绝接受监督检查或者弄虚作假的。</w:t>
            </w:r>
          </w:p>
        </w:tc>
        <w:tc>
          <w:tcPr>
            <w:tcW w:w="3585" w:type="dxa"/>
            <w:vAlign w:val="center"/>
          </w:tcPr>
          <w:p w14:paraId="3891FA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0300ED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CA9F46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771EC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57F6F5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45F271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8C12A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E4AF3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6414C80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C09056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91911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861C0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492DB1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EFC8DA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80CDE9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33D102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20ED6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A1780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EFF38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B1788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79184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7E449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13A5B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608B2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12BEB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44322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F98BF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09E0B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D48CF41">
            <w:pPr>
              <w:snapToGrid w:val="0"/>
              <w:spacing w:line="240" w:lineRule="atLeast"/>
              <w:jc w:val="center"/>
              <w:rPr>
                <w:rFonts w:ascii="仿宋_GB2312" w:hAnsi="仿宋_GB2312" w:eastAsia="仿宋_GB2312" w:cs="仿宋_GB2312"/>
                <w:sz w:val="20"/>
                <w:szCs w:val="20"/>
              </w:rPr>
            </w:pPr>
          </w:p>
        </w:tc>
      </w:tr>
    </w:tbl>
    <w:p w14:paraId="7F61ABA6"/>
    <w:p w14:paraId="41230236"/>
    <w:p w14:paraId="5A0768A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5A2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3C4082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D46FFFE">
            <w:pPr>
              <w:spacing w:line="240" w:lineRule="atLeast"/>
              <w:rPr>
                <w:rFonts w:asciiTheme="majorEastAsia" w:hAnsiTheme="majorEastAsia" w:eastAsiaTheme="majorEastAsia" w:cstheme="majorEastAsia"/>
                <w:spacing w:val="-20"/>
                <w:sz w:val="20"/>
                <w:szCs w:val="20"/>
              </w:rPr>
            </w:pPr>
          </w:p>
          <w:p w14:paraId="51627E0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A82780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1620F3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317812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6F4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6F10D9E">
            <w:pPr>
              <w:spacing w:line="240" w:lineRule="atLeast"/>
              <w:jc w:val="left"/>
              <w:rPr>
                <w:rFonts w:ascii="仿宋_GB2312" w:hAnsi="仿宋_GB2312" w:eastAsia="仿宋_GB2312" w:cs="仿宋_GB2312"/>
                <w:sz w:val="20"/>
                <w:szCs w:val="20"/>
              </w:rPr>
            </w:pPr>
          </w:p>
        </w:tc>
        <w:tc>
          <w:tcPr>
            <w:tcW w:w="555" w:type="dxa"/>
            <w:vMerge w:val="continue"/>
          </w:tcPr>
          <w:p w14:paraId="1AA3ED45">
            <w:pPr>
              <w:spacing w:line="240" w:lineRule="atLeast"/>
              <w:jc w:val="left"/>
              <w:rPr>
                <w:rFonts w:ascii="仿宋_GB2312" w:hAnsi="仿宋_GB2312" w:eastAsia="仿宋_GB2312" w:cs="仿宋_GB2312"/>
                <w:sz w:val="20"/>
                <w:szCs w:val="20"/>
              </w:rPr>
            </w:pPr>
          </w:p>
        </w:tc>
        <w:tc>
          <w:tcPr>
            <w:tcW w:w="784" w:type="dxa"/>
            <w:vAlign w:val="center"/>
          </w:tcPr>
          <w:p w14:paraId="3E8199D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013F6A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355871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D8729E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D5DA5B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1F0A4A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133630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05939B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6F3420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D5EE49F">
            <w:pPr>
              <w:spacing w:line="240" w:lineRule="atLeast"/>
              <w:jc w:val="left"/>
              <w:rPr>
                <w:rFonts w:ascii="仿宋_GB2312" w:hAnsi="仿宋_GB2312" w:eastAsia="仿宋_GB2312" w:cs="仿宋_GB2312"/>
                <w:sz w:val="20"/>
                <w:szCs w:val="20"/>
              </w:rPr>
            </w:pPr>
          </w:p>
        </w:tc>
      </w:tr>
      <w:tr w14:paraId="66AE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7AC04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67</w:t>
            </w:r>
          </w:p>
        </w:tc>
        <w:tc>
          <w:tcPr>
            <w:tcW w:w="555" w:type="dxa"/>
            <w:vAlign w:val="center"/>
          </w:tcPr>
          <w:p w14:paraId="535AE7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4458F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2D4E4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C1E12A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对未完成最低勘查投入行为的处罚</w:t>
            </w:r>
          </w:p>
        </w:tc>
        <w:tc>
          <w:tcPr>
            <w:tcW w:w="660" w:type="dxa"/>
            <w:vAlign w:val="center"/>
          </w:tcPr>
          <w:p w14:paraId="10DBD294">
            <w:pPr>
              <w:snapToGrid w:val="0"/>
              <w:spacing w:line="240" w:lineRule="atLeast"/>
              <w:jc w:val="center"/>
              <w:rPr>
                <w:rFonts w:ascii="仿宋_GB2312" w:hAnsi="仿宋_GB2312" w:eastAsia="仿宋_GB2312" w:cs="仿宋_GB2312"/>
                <w:sz w:val="20"/>
                <w:szCs w:val="20"/>
              </w:rPr>
            </w:pPr>
          </w:p>
        </w:tc>
        <w:tc>
          <w:tcPr>
            <w:tcW w:w="615" w:type="dxa"/>
            <w:vAlign w:val="center"/>
          </w:tcPr>
          <w:p w14:paraId="5DE0B1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9C45C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69BB1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0CACCEB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（二）未完成最低勘查投入的。</w:t>
            </w:r>
          </w:p>
        </w:tc>
        <w:tc>
          <w:tcPr>
            <w:tcW w:w="3585" w:type="dxa"/>
            <w:vAlign w:val="center"/>
          </w:tcPr>
          <w:p w14:paraId="2D99A1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132F9E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BD49C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0C5C3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AE280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521F5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6CF96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1057D5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155DC2C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055326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BE5BF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A214A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3DBCF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C6AA8B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31A420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ACF5E2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187C4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7A0CA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A2228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417B8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007E8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157B0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864D5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EE01D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1980D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11DF5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A09B9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59C6F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47392AC">
            <w:pPr>
              <w:snapToGrid w:val="0"/>
              <w:spacing w:line="240" w:lineRule="atLeast"/>
              <w:jc w:val="center"/>
              <w:rPr>
                <w:rFonts w:ascii="仿宋_GB2312" w:hAnsi="仿宋_GB2312" w:eastAsia="仿宋_GB2312" w:cs="仿宋_GB2312"/>
                <w:sz w:val="20"/>
                <w:szCs w:val="20"/>
              </w:rPr>
            </w:pPr>
          </w:p>
        </w:tc>
      </w:tr>
    </w:tbl>
    <w:p w14:paraId="706EF405"/>
    <w:p w14:paraId="58FF4684"/>
    <w:p w14:paraId="37123B0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892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9D45F1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72BF6AB">
            <w:pPr>
              <w:spacing w:line="240" w:lineRule="atLeast"/>
              <w:rPr>
                <w:rFonts w:asciiTheme="majorEastAsia" w:hAnsiTheme="majorEastAsia" w:eastAsiaTheme="majorEastAsia" w:cstheme="majorEastAsia"/>
                <w:spacing w:val="-20"/>
                <w:sz w:val="20"/>
                <w:szCs w:val="20"/>
              </w:rPr>
            </w:pPr>
          </w:p>
          <w:p w14:paraId="10D1450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6CE27A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9FB2AA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5934EA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5DE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3DF244A">
            <w:pPr>
              <w:spacing w:line="240" w:lineRule="atLeast"/>
              <w:jc w:val="left"/>
              <w:rPr>
                <w:rFonts w:ascii="仿宋_GB2312" w:hAnsi="仿宋_GB2312" w:eastAsia="仿宋_GB2312" w:cs="仿宋_GB2312"/>
                <w:sz w:val="20"/>
                <w:szCs w:val="20"/>
              </w:rPr>
            </w:pPr>
          </w:p>
        </w:tc>
        <w:tc>
          <w:tcPr>
            <w:tcW w:w="555" w:type="dxa"/>
            <w:vMerge w:val="continue"/>
          </w:tcPr>
          <w:p w14:paraId="5E8D3775">
            <w:pPr>
              <w:spacing w:line="240" w:lineRule="atLeast"/>
              <w:jc w:val="left"/>
              <w:rPr>
                <w:rFonts w:ascii="仿宋_GB2312" w:hAnsi="仿宋_GB2312" w:eastAsia="仿宋_GB2312" w:cs="仿宋_GB2312"/>
                <w:sz w:val="20"/>
                <w:szCs w:val="20"/>
              </w:rPr>
            </w:pPr>
          </w:p>
        </w:tc>
        <w:tc>
          <w:tcPr>
            <w:tcW w:w="784" w:type="dxa"/>
            <w:vAlign w:val="center"/>
          </w:tcPr>
          <w:p w14:paraId="7530D83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3B039F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E0C345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C1926D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FBA95E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21421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1FD82C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87B459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F372C5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F244BA5">
            <w:pPr>
              <w:spacing w:line="240" w:lineRule="atLeast"/>
              <w:jc w:val="left"/>
              <w:rPr>
                <w:rFonts w:ascii="仿宋_GB2312" w:hAnsi="仿宋_GB2312" w:eastAsia="仿宋_GB2312" w:cs="仿宋_GB2312"/>
                <w:sz w:val="20"/>
                <w:szCs w:val="20"/>
              </w:rPr>
            </w:pPr>
          </w:p>
        </w:tc>
      </w:tr>
      <w:tr w14:paraId="2DF5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8484C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68</w:t>
            </w:r>
          </w:p>
        </w:tc>
        <w:tc>
          <w:tcPr>
            <w:tcW w:w="555" w:type="dxa"/>
            <w:vAlign w:val="center"/>
          </w:tcPr>
          <w:p w14:paraId="068BA8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C7D39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74D89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95B8AB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对已经领取勘查许可证的勘查项目，满</w:t>
            </w:r>
            <w:r>
              <w:rPr>
                <w:rFonts w:hint="eastAsia" w:eastAsia="仿宋_GB2312"/>
                <w:snapToGrid w:val="0"/>
                <w:color w:val="000000"/>
                <w:sz w:val="20"/>
                <w:szCs w:val="20"/>
              </w:rPr>
              <w:t>6</w:t>
            </w:r>
            <w:r>
              <w:rPr>
                <w:rFonts w:hint="eastAsia" w:eastAsia="仿宋_GB2312" w:cs="宋体"/>
                <w:snapToGrid w:val="0"/>
                <w:color w:val="000000"/>
                <w:sz w:val="20"/>
                <w:szCs w:val="20"/>
              </w:rPr>
              <w:t>个月未开始施工，或者施工后无故停止勘查工作满</w:t>
            </w:r>
            <w:r>
              <w:rPr>
                <w:rFonts w:hint="eastAsia" w:eastAsia="仿宋_GB2312"/>
                <w:snapToGrid w:val="0"/>
                <w:color w:val="000000"/>
                <w:sz w:val="20"/>
                <w:szCs w:val="20"/>
              </w:rPr>
              <w:t>6</w:t>
            </w:r>
            <w:r>
              <w:rPr>
                <w:rFonts w:hint="eastAsia" w:eastAsia="仿宋_GB2312" w:cs="宋体"/>
                <w:snapToGrid w:val="0"/>
                <w:color w:val="000000"/>
                <w:sz w:val="20"/>
                <w:szCs w:val="20"/>
              </w:rPr>
              <w:t>个月行为的处罚</w:t>
            </w:r>
          </w:p>
        </w:tc>
        <w:tc>
          <w:tcPr>
            <w:tcW w:w="660" w:type="dxa"/>
            <w:vAlign w:val="center"/>
          </w:tcPr>
          <w:p w14:paraId="18E20613">
            <w:pPr>
              <w:snapToGrid w:val="0"/>
              <w:spacing w:line="240" w:lineRule="atLeast"/>
              <w:jc w:val="center"/>
              <w:rPr>
                <w:rFonts w:ascii="仿宋_GB2312" w:hAnsi="仿宋_GB2312" w:eastAsia="仿宋_GB2312" w:cs="仿宋_GB2312"/>
                <w:sz w:val="20"/>
                <w:szCs w:val="20"/>
              </w:rPr>
            </w:pPr>
          </w:p>
        </w:tc>
        <w:tc>
          <w:tcPr>
            <w:tcW w:w="615" w:type="dxa"/>
            <w:vAlign w:val="center"/>
          </w:tcPr>
          <w:p w14:paraId="338890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E8790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8AE3C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勘查区块登记管理办法》（1998年国务院令第240号公布，2014年国务院令第653号修订）第二十九条：违反本办法规定，有下列行为之一的，由县级以上人民政府负责地质矿产管理工作的部门按照国务院地质矿产主管部门规定的权限，责令限期改正；逾期不改正的，处5万元以下的罚款；情节严重的，原发证机关可以吊销勘查许可证：</w:t>
            </w:r>
          </w:p>
          <w:p w14:paraId="2F9D9CC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（三）已经领取勘查许可证的勘查项目，满6个月未开始施工，或者施工后无故停止勘查工作满6个月的。</w:t>
            </w:r>
          </w:p>
        </w:tc>
        <w:tc>
          <w:tcPr>
            <w:tcW w:w="3585" w:type="dxa"/>
            <w:vAlign w:val="center"/>
          </w:tcPr>
          <w:p w14:paraId="548F6E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39815F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2DB7E9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3A0C1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94D37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FD47A1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8522B6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54ACD4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57A0C18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8088B2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3EA9B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988169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56620F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0278A0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EA15AB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BA5FBE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5D292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4D6E3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FAEDB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5AE10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ECD59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1A11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E0328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E6C2C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49F0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8FEC9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77E52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8F7E47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9449985">
            <w:pPr>
              <w:snapToGrid w:val="0"/>
              <w:spacing w:line="240" w:lineRule="atLeast"/>
              <w:jc w:val="center"/>
              <w:rPr>
                <w:rFonts w:ascii="仿宋_GB2312" w:hAnsi="仿宋_GB2312" w:eastAsia="仿宋_GB2312" w:cs="仿宋_GB2312"/>
                <w:sz w:val="20"/>
                <w:szCs w:val="20"/>
              </w:rPr>
            </w:pPr>
          </w:p>
        </w:tc>
      </w:tr>
    </w:tbl>
    <w:p w14:paraId="26E6EC65"/>
    <w:p w14:paraId="17B67F74"/>
    <w:p w14:paraId="0887E19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2BD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3FE9BB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EEF19CF">
            <w:pPr>
              <w:spacing w:line="240" w:lineRule="atLeast"/>
              <w:rPr>
                <w:rFonts w:asciiTheme="majorEastAsia" w:hAnsiTheme="majorEastAsia" w:eastAsiaTheme="majorEastAsia" w:cstheme="majorEastAsia"/>
                <w:spacing w:val="-20"/>
                <w:sz w:val="20"/>
                <w:szCs w:val="20"/>
              </w:rPr>
            </w:pPr>
          </w:p>
          <w:p w14:paraId="52F7E43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0E862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C411EB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334252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840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F1AC92F">
            <w:pPr>
              <w:spacing w:line="240" w:lineRule="atLeast"/>
              <w:jc w:val="left"/>
              <w:rPr>
                <w:rFonts w:ascii="仿宋_GB2312" w:hAnsi="仿宋_GB2312" w:eastAsia="仿宋_GB2312" w:cs="仿宋_GB2312"/>
                <w:sz w:val="20"/>
                <w:szCs w:val="20"/>
              </w:rPr>
            </w:pPr>
          </w:p>
        </w:tc>
        <w:tc>
          <w:tcPr>
            <w:tcW w:w="555" w:type="dxa"/>
            <w:vMerge w:val="continue"/>
          </w:tcPr>
          <w:p w14:paraId="07F30F40">
            <w:pPr>
              <w:spacing w:line="240" w:lineRule="atLeast"/>
              <w:jc w:val="left"/>
              <w:rPr>
                <w:rFonts w:ascii="仿宋_GB2312" w:hAnsi="仿宋_GB2312" w:eastAsia="仿宋_GB2312" w:cs="仿宋_GB2312"/>
                <w:sz w:val="20"/>
                <w:szCs w:val="20"/>
              </w:rPr>
            </w:pPr>
          </w:p>
        </w:tc>
        <w:tc>
          <w:tcPr>
            <w:tcW w:w="784" w:type="dxa"/>
            <w:vAlign w:val="center"/>
          </w:tcPr>
          <w:p w14:paraId="003645C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07FB72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90205E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1A2265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6E328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45BE05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4DF76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E9C1A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A515A5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EB0A73E">
            <w:pPr>
              <w:spacing w:line="240" w:lineRule="atLeast"/>
              <w:jc w:val="left"/>
              <w:rPr>
                <w:rFonts w:ascii="仿宋_GB2312" w:hAnsi="仿宋_GB2312" w:eastAsia="仿宋_GB2312" w:cs="仿宋_GB2312"/>
                <w:sz w:val="20"/>
                <w:szCs w:val="20"/>
              </w:rPr>
            </w:pPr>
          </w:p>
        </w:tc>
      </w:tr>
      <w:tr w14:paraId="786C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3E957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69</w:t>
            </w:r>
          </w:p>
        </w:tc>
        <w:tc>
          <w:tcPr>
            <w:tcW w:w="555" w:type="dxa"/>
            <w:vAlign w:val="center"/>
          </w:tcPr>
          <w:p w14:paraId="161949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260935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C15BA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A285DF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对不办理采矿许可证变更登记或者注销登记手续行为的处罚</w:t>
            </w:r>
          </w:p>
        </w:tc>
        <w:tc>
          <w:tcPr>
            <w:tcW w:w="660" w:type="dxa"/>
            <w:vAlign w:val="center"/>
          </w:tcPr>
          <w:p w14:paraId="7DDAD659">
            <w:pPr>
              <w:snapToGrid w:val="0"/>
              <w:spacing w:line="240" w:lineRule="atLeast"/>
              <w:jc w:val="center"/>
              <w:rPr>
                <w:rFonts w:ascii="仿宋_GB2312" w:hAnsi="仿宋_GB2312" w:eastAsia="仿宋_GB2312" w:cs="仿宋_GB2312"/>
                <w:sz w:val="20"/>
                <w:szCs w:val="20"/>
              </w:rPr>
            </w:pPr>
          </w:p>
        </w:tc>
        <w:tc>
          <w:tcPr>
            <w:tcW w:w="615" w:type="dxa"/>
            <w:vAlign w:val="center"/>
          </w:tcPr>
          <w:p w14:paraId="2EA75A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F12B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D5CE1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【行政法规】《矿产资源开采登记管理办法》（1998年国务院令第241号公布，2014年国务院令第653号修订）第三条第四款 ：开采本条第一款、第二款、第三款规定以外的矿产资源，由县级以上地方人民政府负责地质矿产管理工作的部门，按照省、自治区、直辖市人民代表大会常务委员会制定的管理办法审批登记，颁发采矿许可证。</w:t>
            </w:r>
          </w:p>
          <w:p w14:paraId="6A4518F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第二十二条：违反本办法规定，不办理采矿许可证变更登记或者注销登记手续的，由登记管理机关责令限期改正；逾期不改正的，由原发证机关吊销采矿许可证。</w:t>
            </w:r>
          </w:p>
        </w:tc>
        <w:tc>
          <w:tcPr>
            <w:tcW w:w="3585" w:type="dxa"/>
            <w:vAlign w:val="center"/>
          </w:tcPr>
          <w:p w14:paraId="148EE27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1F9CBD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DB059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7CA3D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FC190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05AB2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B198F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732CDB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5658079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099A33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D2F9B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31C15D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D20E7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985F8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0D1133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45AFBE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B9B95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83B7E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1D423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6C513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CC65A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5964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F1D3F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094DC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29279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3DF23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EAEEB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D7D7AF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1590A66">
            <w:pPr>
              <w:snapToGrid w:val="0"/>
              <w:spacing w:line="240" w:lineRule="atLeast"/>
              <w:jc w:val="center"/>
              <w:rPr>
                <w:rFonts w:ascii="仿宋_GB2312" w:hAnsi="仿宋_GB2312" w:eastAsia="仿宋_GB2312" w:cs="仿宋_GB2312"/>
                <w:sz w:val="20"/>
                <w:szCs w:val="20"/>
              </w:rPr>
            </w:pPr>
          </w:p>
        </w:tc>
      </w:tr>
    </w:tbl>
    <w:p w14:paraId="7D89568B"/>
    <w:p w14:paraId="31114A87"/>
    <w:p w14:paraId="2CD5BE2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EA8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8F0543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D39A4E1">
            <w:pPr>
              <w:spacing w:line="240" w:lineRule="atLeast"/>
              <w:rPr>
                <w:rFonts w:asciiTheme="majorEastAsia" w:hAnsiTheme="majorEastAsia" w:eastAsiaTheme="majorEastAsia" w:cstheme="majorEastAsia"/>
                <w:spacing w:val="-20"/>
                <w:sz w:val="20"/>
                <w:szCs w:val="20"/>
              </w:rPr>
            </w:pPr>
          </w:p>
          <w:p w14:paraId="33D99B9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3DF520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DC5AD9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B39A98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0BF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4BD025B">
            <w:pPr>
              <w:spacing w:line="240" w:lineRule="atLeast"/>
              <w:jc w:val="left"/>
              <w:rPr>
                <w:rFonts w:ascii="仿宋_GB2312" w:hAnsi="仿宋_GB2312" w:eastAsia="仿宋_GB2312" w:cs="仿宋_GB2312"/>
                <w:sz w:val="20"/>
                <w:szCs w:val="20"/>
              </w:rPr>
            </w:pPr>
          </w:p>
        </w:tc>
        <w:tc>
          <w:tcPr>
            <w:tcW w:w="555" w:type="dxa"/>
            <w:vMerge w:val="continue"/>
          </w:tcPr>
          <w:p w14:paraId="3C7944BD">
            <w:pPr>
              <w:spacing w:line="240" w:lineRule="atLeast"/>
              <w:jc w:val="left"/>
              <w:rPr>
                <w:rFonts w:ascii="仿宋_GB2312" w:hAnsi="仿宋_GB2312" w:eastAsia="仿宋_GB2312" w:cs="仿宋_GB2312"/>
                <w:sz w:val="20"/>
                <w:szCs w:val="20"/>
              </w:rPr>
            </w:pPr>
          </w:p>
        </w:tc>
        <w:tc>
          <w:tcPr>
            <w:tcW w:w="784" w:type="dxa"/>
            <w:vAlign w:val="center"/>
          </w:tcPr>
          <w:p w14:paraId="7329755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27ACEC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FCE438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913C63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1A8C28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84767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433425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6A5050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6E80CE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95FB24A">
            <w:pPr>
              <w:spacing w:line="240" w:lineRule="atLeast"/>
              <w:jc w:val="left"/>
              <w:rPr>
                <w:rFonts w:ascii="仿宋_GB2312" w:hAnsi="仿宋_GB2312" w:eastAsia="仿宋_GB2312" w:cs="仿宋_GB2312"/>
                <w:sz w:val="20"/>
                <w:szCs w:val="20"/>
              </w:rPr>
            </w:pPr>
          </w:p>
        </w:tc>
      </w:tr>
      <w:tr w14:paraId="153F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30860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70</w:t>
            </w:r>
          </w:p>
        </w:tc>
        <w:tc>
          <w:tcPr>
            <w:tcW w:w="555" w:type="dxa"/>
            <w:vAlign w:val="center"/>
          </w:tcPr>
          <w:p w14:paraId="42A291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DD60B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2495C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64E7D1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对采矿权人不依照规定提交年度报告，填报矿产资源统计基础表，虚报、瞒报、拒报、迟报矿产资源统计资料，拒绝接受检查、现场抽查或者弄虚作假行为的处罚</w:t>
            </w:r>
          </w:p>
        </w:tc>
        <w:tc>
          <w:tcPr>
            <w:tcW w:w="660" w:type="dxa"/>
            <w:vAlign w:val="center"/>
          </w:tcPr>
          <w:p w14:paraId="18D0B15A">
            <w:pPr>
              <w:snapToGrid w:val="0"/>
              <w:spacing w:line="240" w:lineRule="atLeast"/>
              <w:jc w:val="center"/>
              <w:rPr>
                <w:rFonts w:ascii="仿宋_GB2312" w:hAnsi="仿宋_GB2312" w:eastAsia="仿宋_GB2312" w:cs="仿宋_GB2312"/>
                <w:sz w:val="20"/>
                <w:szCs w:val="20"/>
              </w:rPr>
            </w:pPr>
          </w:p>
        </w:tc>
        <w:tc>
          <w:tcPr>
            <w:tcW w:w="615" w:type="dxa"/>
            <w:vAlign w:val="center"/>
          </w:tcPr>
          <w:p w14:paraId="07E74C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C5D23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89EC0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1.【行政法规】《矿产资源开采登记管理办法》（1998年国务院令第241号公布，2014年国务院令第653号修订）第十八条： 不依照本办法规定提交年度报告、拒绝接受监督检查或者弄虚作假的，由县级以上人民政府负责地质矿产管理工作的部门按照国务院地质矿产主管部门规定的权限，责令停止违法行为，予以警告，可以并处5万元以下的罚款；情节严重的，由原发证机关吊销采矿许可证。</w:t>
            </w:r>
          </w:p>
          <w:p w14:paraId="27D9AFB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2.【部门规章】《矿产资源统计管理办法》（ 2004年国土资源部令23号公布施行，2020年自然资源部令第7号修正）第十六条： 采矿权人不依照本办法规定填报矿产资源统计基础表，虚报、瞒报、拒报、迟报矿产资源统计资料，拒绝接受检查、现场抽查或者弄虚作假的，依照《矿产资源开采登记管理办法》第十八条、《中华人民共和国统计法》及其实施细则的有关规定进行处罚。</w:t>
            </w:r>
          </w:p>
        </w:tc>
        <w:tc>
          <w:tcPr>
            <w:tcW w:w="3585" w:type="dxa"/>
            <w:vAlign w:val="center"/>
          </w:tcPr>
          <w:p w14:paraId="74175D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1F088D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36AE12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AFEBE4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45B63E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5CC4AA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1E7117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54DFEB6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B8C524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A5C346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EFE9B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4E2D3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C9F734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B7982C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BF96D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152524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52AA5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871C9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D98CF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EEE90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E657F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27E1A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2ED7C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4BC48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CFEB8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8EDF6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DD11C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0AD8B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BBDB168">
            <w:pPr>
              <w:snapToGrid w:val="0"/>
              <w:spacing w:line="240" w:lineRule="atLeast"/>
              <w:jc w:val="center"/>
              <w:rPr>
                <w:rFonts w:ascii="仿宋_GB2312" w:hAnsi="仿宋_GB2312" w:eastAsia="仿宋_GB2312" w:cs="仿宋_GB2312"/>
                <w:sz w:val="20"/>
                <w:szCs w:val="20"/>
              </w:rPr>
            </w:pPr>
          </w:p>
        </w:tc>
      </w:tr>
    </w:tbl>
    <w:p w14:paraId="7B9CCFE2"/>
    <w:p w14:paraId="030F5283"/>
    <w:p w14:paraId="5C32827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9B8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3D9606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B7BEEB1">
            <w:pPr>
              <w:spacing w:line="240" w:lineRule="atLeast"/>
              <w:rPr>
                <w:rFonts w:asciiTheme="majorEastAsia" w:hAnsiTheme="majorEastAsia" w:eastAsiaTheme="majorEastAsia" w:cstheme="majorEastAsia"/>
                <w:spacing w:val="-20"/>
                <w:sz w:val="20"/>
                <w:szCs w:val="20"/>
              </w:rPr>
            </w:pPr>
          </w:p>
          <w:p w14:paraId="20529F6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C086C0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512936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FBB56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311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6EFDA6B">
            <w:pPr>
              <w:spacing w:line="240" w:lineRule="atLeast"/>
              <w:jc w:val="left"/>
              <w:rPr>
                <w:rFonts w:ascii="仿宋_GB2312" w:hAnsi="仿宋_GB2312" w:eastAsia="仿宋_GB2312" w:cs="仿宋_GB2312"/>
                <w:sz w:val="20"/>
                <w:szCs w:val="20"/>
              </w:rPr>
            </w:pPr>
          </w:p>
        </w:tc>
        <w:tc>
          <w:tcPr>
            <w:tcW w:w="555" w:type="dxa"/>
            <w:vMerge w:val="continue"/>
          </w:tcPr>
          <w:p w14:paraId="71115AD6">
            <w:pPr>
              <w:spacing w:line="240" w:lineRule="atLeast"/>
              <w:jc w:val="left"/>
              <w:rPr>
                <w:rFonts w:ascii="仿宋_GB2312" w:hAnsi="仿宋_GB2312" w:eastAsia="仿宋_GB2312" w:cs="仿宋_GB2312"/>
                <w:sz w:val="20"/>
                <w:szCs w:val="20"/>
              </w:rPr>
            </w:pPr>
          </w:p>
        </w:tc>
        <w:tc>
          <w:tcPr>
            <w:tcW w:w="784" w:type="dxa"/>
            <w:vAlign w:val="center"/>
          </w:tcPr>
          <w:p w14:paraId="595E04F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436B68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2BF3FA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2D79EF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EDCFBF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7911E3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36125C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F8E74A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39F4AD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B3844EE">
            <w:pPr>
              <w:spacing w:line="240" w:lineRule="atLeast"/>
              <w:jc w:val="left"/>
              <w:rPr>
                <w:rFonts w:ascii="仿宋_GB2312" w:hAnsi="仿宋_GB2312" w:eastAsia="仿宋_GB2312" w:cs="仿宋_GB2312"/>
                <w:sz w:val="20"/>
                <w:szCs w:val="20"/>
              </w:rPr>
            </w:pPr>
          </w:p>
        </w:tc>
      </w:tr>
      <w:tr w14:paraId="7803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B814D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71</w:t>
            </w:r>
          </w:p>
        </w:tc>
        <w:tc>
          <w:tcPr>
            <w:tcW w:w="555" w:type="dxa"/>
            <w:vAlign w:val="center"/>
          </w:tcPr>
          <w:p w14:paraId="6C0476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0DFBA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C686BF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892006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对破坏或者擅自移动矿区范围界桩或者地面标志行为的处罚</w:t>
            </w:r>
          </w:p>
        </w:tc>
        <w:tc>
          <w:tcPr>
            <w:tcW w:w="660" w:type="dxa"/>
            <w:vAlign w:val="center"/>
          </w:tcPr>
          <w:p w14:paraId="253CF664">
            <w:pPr>
              <w:snapToGrid w:val="0"/>
              <w:spacing w:line="240" w:lineRule="atLeast"/>
              <w:jc w:val="center"/>
              <w:rPr>
                <w:rFonts w:ascii="仿宋_GB2312" w:hAnsi="仿宋_GB2312" w:eastAsia="仿宋_GB2312" w:cs="仿宋_GB2312"/>
                <w:sz w:val="20"/>
                <w:szCs w:val="20"/>
              </w:rPr>
            </w:pPr>
          </w:p>
        </w:tc>
        <w:tc>
          <w:tcPr>
            <w:tcW w:w="615" w:type="dxa"/>
            <w:vAlign w:val="center"/>
          </w:tcPr>
          <w:p w14:paraId="24259B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6B8B6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046AB2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开采登记管理办法》（1998年国务院令第241号公布，2014年国务院令第653号修订）第十九条：破坏或者擅自移动矿区范围界桩或者地面标志的，由县级以上人民政府负责地质矿产管理工作的部门按照国务院地质矿产主管部门规定的权限，责令限期恢复；情节严重的，处3万元以下的罚款。</w:t>
            </w:r>
          </w:p>
        </w:tc>
        <w:tc>
          <w:tcPr>
            <w:tcW w:w="3585" w:type="dxa"/>
            <w:vAlign w:val="center"/>
          </w:tcPr>
          <w:p w14:paraId="14A9C6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DE8C8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9D57A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35008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154F2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02726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90039A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277CB1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A27FDD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54DD06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67DF3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20A218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65A46C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F6BB34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E7F206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2EB51E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ECB56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8F75F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41003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71A1B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40610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EC37B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25BE3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4639B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68D33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30C79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06ACA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654D69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7A68569">
            <w:pPr>
              <w:snapToGrid w:val="0"/>
              <w:spacing w:line="240" w:lineRule="atLeast"/>
              <w:jc w:val="center"/>
              <w:rPr>
                <w:rFonts w:ascii="仿宋_GB2312" w:hAnsi="仿宋_GB2312" w:eastAsia="仿宋_GB2312" w:cs="仿宋_GB2312"/>
                <w:sz w:val="20"/>
                <w:szCs w:val="20"/>
              </w:rPr>
            </w:pPr>
          </w:p>
        </w:tc>
      </w:tr>
    </w:tbl>
    <w:p w14:paraId="06D7C73A"/>
    <w:p w14:paraId="101DDC1B"/>
    <w:p w14:paraId="1A8FF5D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85D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063596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948DD31">
            <w:pPr>
              <w:spacing w:line="240" w:lineRule="atLeast"/>
              <w:rPr>
                <w:rFonts w:asciiTheme="majorEastAsia" w:hAnsiTheme="majorEastAsia" w:eastAsiaTheme="majorEastAsia" w:cstheme="majorEastAsia"/>
                <w:spacing w:val="-20"/>
                <w:sz w:val="20"/>
                <w:szCs w:val="20"/>
              </w:rPr>
            </w:pPr>
          </w:p>
          <w:p w14:paraId="0DCA4B7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DA5F2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D98789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AFFDB7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C06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24E9B05">
            <w:pPr>
              <w:spacing w:line="240" w:lineRule="atLeast"/>
              <w:jc w:val="left"/>
              <w:rPr>
                <w:rFonts w:ascii="仿宋_GB2312" w:hAnsi="仿宋_GB2312" w:eastAsia="仿宋_GB2312" w:cs="仿宋_GB2312"/>
                <w:sz w:val="20"/>
                <w:szCs w:val="20"/>
              </w:rPr>
            </w:pPr>
          </w:p>
        </w:tc>
        <w:tc>
          <w:tcPr>
            <w:tcW w:w="555" w:type="dxa"/>
            <w:vMerge w:val="continue"/>
          </w:tcPr>
          <w:p w14:paraId="238BE743">
            <w:pPr>
              <w:spacing w:line="240" w:lineRule="atLeast"/>
              <w:jc w:val="left"/>
              <w:rPr>
                <w:rFonts w:ascii="仿宋_GB2312" w:hAnsi="仿宋_GB2312" w:eastAsia="仿宋_GB2312" w:cs="仿宋_GB2312"/>
                <w:sz w:val="20"/>
                <w:szCs w:val="20"/>
              </w:rPr>
            </w:pPr>
          </w:p>
        </w:tc>
        <w:tc>
          <w:tcPr>
            <w:tcW w:w="784" w:type="dxa"/>
            <w:vAlign w:val="center"/>
          </w:tcPr>
          <w:p w14:paraId="752EF2C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0ACF1F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EF2F4F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E3BE42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14800B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3B8877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81BF46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9894AB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9D501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37E7F1B">
            <w:pPr>
              <w:spacing w:line="240" w:lineRule="atLeast"/>
              <w:jc w:val="left"/>
              <w:rPr>
                <w:rFonts w:ascii="仿宋_GB2312" w:hAnsi="仿宋_GB2312" w:eastAsia="仿宋_GB2312" w:cs="仿宋_GB2312"/>
                <w:sz w:val="20"/>
                <w:szCs w:val="20"/>
              </w:rPr>
            </w:pPr>
          </w:p>
        </w:tc>
      </w:tr>
      <w:tr w14:paraId="31AE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9A3E8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72</w:t>
            </w:r>
          </w:p>
        </w:tc>
        <w:tc>
          <w:tcPr>
            <w:tcW w:w="555" w:type="dxa"/>
            <w:vAlign w:val="center"/>
          </w:tcPr>
          <w:p w14:paraId="4CC377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4B8EB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22726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68AFA9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对擅自印制或者伪造、冒用采矿许可证行为的处罚</w:t>
            </w:r>
          </w:p>
        </w:tc>
        <w:tc>
          <w:tcPr>
            <w:tcW w:w="660" w:type="dxa"/>
            <w:vAlign w:val="center"/>
          </w:tcPr>
          <w:p w14:paraId="66A09D70">
            <w:pPr>
              <w:snapToGrid w:val="0"/>
              <w:spacing w:line="240" w:lineRule="atLeast"/>
              <w:jc w:val="center"/>
              <w:rPr>
                <w:rFonts w:ascii="仿宋_GB2312" w:hAnsi="仿宋_GB2312" w:eastAsia="仿宋_GB2312" w:cs="仿宋_GB2312"/>
                <w:sz w:val="20"/>
                <w:szCs w:val="20"/>
              </w:rPr>
            </w:pPr>
          </w:p>
        </w:tc>
        <w:tc>
          <w:tcPr>
            <w:tcW w:w="615" w:type="dxa"/>
            <w:vAlign w:val="center"/>
          </w:tcPr>
          <w:p w14:paraId="558EDB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7421F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2F9AF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开采登记管理办法》（1998年国务院令第241号公布，2014年国务院令第653号修订）第二十条：擅自印制或者伪造、冒用采矿许可证的，由县级以上人民政府负责地质矿产管理工作的部门按照国务院地质矿产主管部门规定的权限，没收违法所得，可以并处10万元以下的罚款；构成犯罪的，依法追究刑事责任。</w:t>
            </w:r>
          </w:p>
        </w:tc>
        <w:tc>
          <w:tcPr>
            <w:tcW w:w="3585" w:type="dxa"/>
            <w:vAlign w:val="center"/>
          </w:tcPr>
          <w:p w14:paraId="20D0AD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05121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05D312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C4E7A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475E6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50DE0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0CF7E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8C9248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D571DD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682FC3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AF235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B46E3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6DFCB1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797127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57B9C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C6FF1C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A8955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8BCAB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0E4FB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CD26F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8B45E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104E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6F0A4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2AC4F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4703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8DDC8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E3CA3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3D4373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A171FBE">
            <w:pPr>
              <w:snapToGrid w:val="0"/>
              <w:spacing w:line="240" w:lineRule="atLeast"/>
              <w:jc w:val="center"/>
              <w:rPr>
                <w:rFonts w:ascii="仿宋_GB2312" w:hAnsi="仿宋_GB2312" w:eastAsia="仿宋_GB2312" w:cs="仿宋_GB2312"/>
                <w:sz w:val="20"/>
                <w:szCs w:val="20"/>
              </w:rPr>
            </w:pPr>
          </w:p>
        </w:tc>
      </w:tr>
    </w:tbl>
    <w:p w14:paraId="0DFC985F"/>
    <w:p w14:paraId="61C584AA"/>
    <w:p w14:paraId="30AAB96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2D1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992D03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7EC248C">
            <w:pPr>
              <w:spacing w:line="240" w:lineRule="atLeast"/>
              <w:rPr>
                <w:rFonts w:asciiTheme="majorEastAsia" w:hAnsiTheme="majorEastAsia" w:eastAsiaTheme="majorEastAsia" w:cstheme="majorEastAsia"/>
                <w:spacing w:val="-20"/>
                <w:sz w:val="20"/>
                <w:szCs w:val="20"/>
              </w:rPr>
            </w:pPr>
          </w:p>
          <w:p w14:paraId="735D3C1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3E4137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A1997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EE4505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91C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DB87413">
            <w:pPr>
              <w:spacing w:line="240" w:lineRule="atLeast"/>
              <w:jc w:val="left"/>
              <w:rPr>
                <w:rFonts w:ascii="仿宋_GB2312" w:hAnsi="仿宋_GB2312" w:eastAsia="仿宋_GB2312" w:cs="仿宋_GB2312"/>
                <w:sz w:val="20"/>
                <w:szCs w:val="20"/>
              </w:rPr>
            </w:pPr>
          </w:p>
        </w:tc>
        <w:tc>
          <w:tcPr>
            <w:tcW w:w="555" w:type="dxa"/>
            <w:vMerge w:val="continue"/>
          </w:tcPr>
          <w:p w14:paraId="7DDB533A">
            <w:pPr>
              <w:spacing w:line="240" w:lineRule="atLeast"/>
              <w:jc w:val="left"/>
              <w:rPr>
                <w:rFonts w:ascii="仿宋_GB2312" w:hAnsi="仿宋_GB2312" w:eastAsia="仿宋_GB2312" w:cs="仿宋_GB2312"/>
                <w:sz w:val="20"/>
                <w:szCs w:val="20"/>
              </w:rPr>
            </w:pPr>
          </w:p>
        </w:tc>
        <w:tc>
          <w:tcPr>
            <w:tcW w:w="784" w:type="dxa"/>
            <w:vAlign w:val="center"/>
          </w:tcPr>
          <w:p w14:paraId="6319A91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87324D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9A9678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A015B5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D05A07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296F2F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A22C53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40EC6B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A1972E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4585047">
            <w:pPr>
              <w:spacing w:line="240" w:lineRule="atLeast"/>
              <w:jc w:val="left"/>
              <w:rPr>
                <w:rFonts w:ascii="仿宋_GB2312" w:hAnsi="仿宋_GB2312" w:eastAsia="仿宋_GB2312" w:cs="仿宋_GB2312"/>
                <w:sz w:val="20"/>
                <w:szCs w:val="20"/>
              </w:rPr>
            </w:pPr>
          </w:p>
        </w:tc>
      </w:tr>
      <w:tr w14:paraId="37E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CD2BE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73</w:t>
            </w:r>
          </w:p>
        </w:tc>
        <w:tc>
          <w:tcPr>
            <w:tcW w:w="555" w:type="dxa"/>
            <w:vAlign w:val="center"/>
          </w:tcPr>
          <w:p w14:paraId="4CD17A0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3C0DB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893DA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A59419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对不按照矿产资源开采登记管理办法的规定，不按期缴纳应当缴纳费用行为的处罚</w:t>
            </w:r>
          </w:p>
        </w:tc>
        <w:tc>
          <w:tcPr>
            <w:tcW w:w="660" w:type="dxa"/>
            <w:vAlign w:val="center"/>
          </w:tcPr>
          <w:p w14:paraId="41F7FD6C">
            <w:pPr>
              <w:snapToGrid w:val="0"/>
              <w:spacing w:line="240" w:lineRule="atLeast"/>
              <w:jc w:val="center"/>
              <w:rPr>
                <w:rFonts w:ascii="仿宋_GB2312" w:hAnsi="仿宋_GB2312" w:eastAsia="仿宋_GB2312" w:cs="仿宋_GB2312"/>
                <w:sz w:val="20"/>
                <w:szCs w:val="20"/>
              </w:rPr>
            </w:pPr>
          </w:p>
        </w:tc>
        <w:tc>
          <w:tcPr>
            <w:tcW w:w="615" w:type="dxa"/>
            <w:vAlign w:val="center"/>
          </w:tcPr>
          <w:p w14:paraId="6F7A09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895C6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4608C4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开采登记管理办法》（1998年国务院令第241号公布，2014年国务院令第653号修订）第二十一条：违反本办法规定，不按期缴纳本办法规定应当缴纳的费用的，由登记管理机关责令限期缴纳，并从滞纳之日起每日加收千分之二的滞纳金；逾期仍不缴纳的，由原发证机关吊销采矿许可证。</w:t>
            </w:r>
          </w:p>
          <w:p w14:paraId="08F6736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2.【部门规章】财政部、国土资源部《关于印发</w:t>
            </w:r>
            <w:r>
              <w:rPr>
                <w:rFonts w:hint="eastAsia" w:ascii="仿宋_GB2312" w:hAnsi="仿宋_GB2312" w:eastAsia="仿宋_GB2312" w:cs="仿宋_GB2312"/>
                <w:snapToGrid w:val="0"/>
                <w:color w:val="000000"/>
                <w:sz w:val="20"/>
                <w:szCs w:val="20"/>
              </w:rPr>
              <w:t>〈</w:t>
            </w:r>
            <w:r>
              <w:rPr>
                <w:rFonts w:hint="eastAsia" w:eastAsia="仿宋_GB2312"/>
                <w:snapToGrid w:val="0"/>
                <w:color w:val="000000"/>
                <w:sz w:val="20"/>
                <w:szCs w:val="20"/>
              </w:rPr>
              <w:t>探矿权采矿权使用费和价款管理办法</w:t>
            </w:r>
            <w:r>
              <w:rPr>
                <w:rFonts w:hint="eastAsia" w:ascii="仿宋_GB2312" w:hAnsi="仿宋_GB2312" w:eastAsia="仿宋_GB2312" w:cs="仿宋_GB2312"/>
                <w:snapToGrid w:val="0"/>
                <w:color w:val="000000"/>
                <w:sz w:val="20"/>
                <w:szCs w:val="20"/>
              </w:rPr>
              <w:t>〉</w:t>
            </w:r>
            <w:r>
              <w:rPr>
                <w:rFonts w:hint="eastAsia" w:eastAsia="仿宋_GB2312"/>
                <w:snapToGrid w:val="0"/>
                <w:color w:val="000000"/>
                <w:sz w:val="20"/>
                <w:szCs w:val="20"/>
              </w:rPr>
              <w:t>的通知》（财综字〔1999〕74号）第十二条：未按规定及时缴纳探矿权采矿权使用费和价款的，由探矿权采矿权登记管理机关责令其在30日内缴纳，并从滞纳之日起，每日加收2‰滞纳金；逾期仍不缴纳的，由探矿权、采矿权登记管理机关吊销其勘查许可证或采矿许可证。</w:t>
            </w:r>
          </w:p>
        </w:tc>
        <w:tc>
          <w:tcPr>
            <w:tcW w:w="3585" w:type="dxa"/>
            <w:vAlign w:val="center"/>
          </w:tcPr>
          <w:p w14:paraId="3BE91B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1.立案阶段责任：接到举报或相关部门转送、巡查发现该违法行为，及时予以审查，决定是否立案。下达《责令停止违法行为通知书》。</w:t>
            </w:r>
          </w:p>
          <w:p w14:paraId="7D46FC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CBBA4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EB7AD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5E691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2C525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C5E4F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2A03B6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3831452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C424E7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70B47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520E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4E50A9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916DDF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0058F4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1606D1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896DB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5C446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4E075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6CBB0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D7D93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6E0F8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5E273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5FC23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39EEB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BBD89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EC7FB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4F20E1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A78EA3D">
            <w:pPr>
              <w:snapToGrid w:val="0"/>
              <w:spacing w:line="240" w:lineRule="atLeast"/>
              <w:jc w:val="center"/>
              <w:rPr>
                <w:rFonts w:ascii="仿宋_GB2312" w:hAnsi="仿宋_GB2312" w:eastAsia="仿宋_GB2312" w:cs="仿宋_GB2312"/>
                <w:sz w:val="20"/>
                <w:szCs w:val="20"/>
              </w:rPr>
            </w:pPr>
          </w:p>
        </w:tc>
      </w:tr>
    </w:tbl>
    <w:p w14:paraId="15FFCD77"/>
    <w:p w14:paraId="440D19E1"/>
    <w:p w14:paraId="7478E4F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659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7A6158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FDCF134">
            <w:pPr>
              <w:spacing w:line="240" w:lineRule="atLeast"/>
              <w:rPr>
                <w:rFonts w:asciiTheme="majorEastAsia" w:hAnsiTheme="majorEastAsia" w:eastAsiaTheme="majorEastAsia" w:cstheme="majorEastAsia"/>
                <w:spacing w:val="-20"/>
                <w:sz w:val="20"/>
                <w:szCs w:val="20"/>
              </w:rPr>
            </w:pPr>
          </w:p>
          <w:p w14:paraId="582DFFE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B667A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6E2B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370156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EC3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4E83B5C">
            <w:pPr>
              <w:spacing w:line="240" w:lineRule="atLeast"/>
              <w:jc w:val="left"/>
              <w:rPr>
                <w:rFonts w:ascii="仿宋_GB2312" w:hAnsi="仿宋_GB2312" w:eastAsia="仿宋_GB2312" w:cs="仿宋_GB2312"/>
                <w:sz w:val="20"/>
                <w:szCs w:val="20"/>
              </w:rPr>
            </w:pPr>
          </w:p>
        </w:tc>
        <w:tc>
          <w:tcPr>
            <w:tcW w:w="555" w:type="dxa"/>
            <w:vMerge w:val="continue"/>
          </w:tcPr>
          <w:p w14:paraId="692679E9">
            <w:pPr>
              <w:spacing w:line="240" w:lineRule="atLeast"/>
              <w:jc w:val="left"/>
              <w:rPr>
                <w:rFonts w:ascii="仿宋_GB2312" w:hAnsi="仿宋_GB2312" w:eastAsia="仿宋_GB2312" w:cs="仿宋_GB2312"/>
                <w:sz w:val="20"/>
                <w:szCs w:val="20"/>
              </w:rPr>
            </w:pPr>
          </w:p>
        </w:tc>
        <w:tc>
          <w:tcPr>
            <w:tcW w:w="784" w:type="dxa"/>
            <w:vAlign w:val="center"/>
          </w:tcPr>
          <w:p w14:paraId="3950DB0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10CEA1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A1FB3D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4684B8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BB6FE9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1F11E5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67F4E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24152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7ED5A0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5A06392">
            <w:pPr>
              <w:spacing w:line="240" w:lineRule="atLeast"/>
              <w:jc w:val="left"/>
              <w:rPr>
                <w:rFonts w:ascii="仿宋_GB2312" w:hAnsi="仿宋_GB2312" w:eastAsia="仿宋_GB2312" w:cs="仿宋_GB2312"/>
                <w:sz w:val="20"/>
                <w:szCs w:val="20"/>
              </w:rPr>
            </w:pPr>
          </w:p>
        </w:tc>
      </w:tr>
      <w:tr w14:paraId="7236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86875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74</w:t>
            </w:r>
          </w:p>
        </w:tc>
        <w:tc>
          <w:tcPr>
            <w:tcW w:w="555" w:type="dxa"/>
            <w:vAlign w:val="center"/>
          </w:tcPr>
          <w:p w14:paraId="18E8C9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4FBB9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64FB9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0E5EDD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对采矿权人未按规定缴纳矿产资源补偿费和滞纳金行为的处罚</w:t>
            </w:r>
          </w:p>
        </w:tc>
        <w:tc>
          <w:tcPr>
            <w:tcW w:w="660" w:type="dxa"/>
            <w:vAlign w:val="center"/>
          </w:tcPr>
          <w:p w14:paraId="21AACD2C">
            <w:pPr>
              <w:snapToGrid w:val="0"/>
              <w:spacing w:line="240" w:lineRule="atLeast"/>
              <w:jc w:val="center"/>
              <w:rPr>
                <w:rFonts w:ascii="仿宋_GB2312" w:hAnsi="仿宋_GB2312" w:eastAsia="仿宋_GB2312" w:cs="仿宋_GB2312"/>
                <w:sz w:val="20"/>
                <w:szCs w:val="20"/>
              </w:rPr>
            </w:pPr>
          </w:p>
        </w:tc>
        <w:tc>
          <w:tcPr>
            <w:tcW w:w="615" w:type="dxa"/>
            <w:vAlign w:val="center"/>
          </w:tcPr>
          <w:p w14:paraId="14A8FF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3A98A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CBF770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【行政法规】《矿产资源补偿费征收管理规定》（1994年国务院令第150号发布，1997年国务院令第222号修订）第七条：矿产资源补偿费由地质矿产主管部门会同财政部门征收。</w:t>
            </w:r>
          </w:p>
          <w:p w14:paraId="7DAC5E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矿区在县级行政区域内的，矿产资源补偿费由矿区所在地的县级人民政府负责地质矿产管理工作的部门负责征收。</w:t>
            </w:r>
          </w:p>
          <w:p w14:paraId="2BB8B2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矿区范围跨县级以上行政区域的，矿产资源补偿费由所涉及行政区域的共同上一级人民政府负责地质矿产管理工作的部门负责征收。</w:t>
            </w:r>
          </w:p>
          <w:p w14:paraId="7529D4C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矿区范围跨省级行政区域和在中华人民共和国领海与其他管辖海域的，矿产资源补偿费由国务院地质矿产主管部门授权的省级人民政府地质矿产主管部门负责征收。</w:t>
            </w:r>
          </w:p>
          <w:p w14:paraId="4E5B2D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第十四条： 采矿权人在规定期限内未足额缴纳矿产资源补偿费的，由征收机关责令限期缴纳，并从滞纳之日起按日加收滞纳补偿费2‰的滞纳金。</w:t>
            </w:r>
          </w:p>
          <w:p w14:paraId="2CD4CF4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采矿权人未按照前款规定缴纳矿产资源补偿费和滞纳金的，由征收机关处以应当缴纳的矿产资源补偿费3倍以下的罚款；情节严重的，由采矿许可证颁发机关吊销其采矿许可证。</w:t>
            </w:r>
          </w:p>
        </w:tc>
        <w:tc>
          <w:tcPr>
            <w:tcW w:w="3585" w:type="dxa"/>
            <w:vAlign w:val="center"/>
          </w:tcPr>
          <w:p w14:paraId="6D4D0C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1.立案阶段责任：对符合受理条件的案件应当及时受理并做好记录；对符合立案条件的案件应当在十个工作日内立案。</w:t>
            </w:r>
          </w:p>
          <w:p w14:paraId="6AA3A9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2.调查阶段责任：对于立案的案件，指定专人负责调查，与当事人有直接利害关系的应当回避。调查时应出示执法证件，执法人员不得少于二人，执法人员应保守案件秘密。</w:t>
            </w:r>
          </w:p>
          <w:p w14:paraId="53E91B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3.案件复核审查阶段责任：应当对案件违法事实、证据、调查取证程序、法律适用、处罚种类和幅度等内容进行审查，提出处理意见。主要证据不足的，及时调查补充。</w:t>
            </w:r>
          </w:p>
          <w:p w14:paraId="04DD16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4．告知阶段责任：在做出行政处罚前，应当告知当事人违法事实以及依法享有的陈述、申辩和要求听证的权利。</w:t>
            </w:r>
          </w:p>
          <w:p w14:paraId="1611DA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5．决定阶段责任：根据案件情况决定是否予以行政处罚。依法给予行政处罚的，应当制作行政处罚决定书，载明违法事实和依据、处罚依据和内容、申请行政复议或提起行政诉讼的途径和期限等内容。</w:t>
            </w:r>
          </w:p>
          <w:p w14:paraId="05FF884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6．送达阶段：行政处罚决定书应依法按时送达当事人。</w:t>
            </w:r>
          </w:p>
          <w:p w14:paraId="2DAFEC2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监督当事人在决定书的期限内，履行生效的行政处罚决定。当事人在法定期限内不申请行政复议或提起行政诉讼，又不履行的，受案部门可依法采取加处罚款或向人民法院申请强制执行等措施。</w:t>
            </w:r>
          </w:p>
          <w:p w14:paraId="35114F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318D97A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C41E3C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D3EA5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C31F3B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A93A9C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C8A977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B558E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785EEB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2CC1F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7665C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7F03D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0AD89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DA0E5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7AAF8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FC31F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71768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EA194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46FC3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5CAFE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0F56BB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B927A59">
            <w:pPr>
              <w:snapToGrid w:val="0"/>
              <w:spacing w:line="240" w:lineRule="atLeast"/>
              <w:jc w:val="center"/>
              <w:rPr>
                <w:rFonts w:ascii="仿宋_GB2312" w:hAnsi="仿宋_GB2312" w:eastAsia="仿宋_GB2312" w:cs="仿宋_GB2312"/>
                <w:sz w:val="20"/>
                <w:szCs w:val="20"/>
              </w:rPr>
            </w:pPr>
          </w:p>
        </w:tc>
      </w:tr>
    </w:tbl>
    <w:p w14:paraId="35F8B153"/>
    <w:p w14:paraId="3A24C89B"/>
    <w:p w14:paraId="7E9C933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0D7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ACDCD9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CF4B303">
            <w:pPr>
              <w:spacing w:line="240" w:lineRule="atLeast"/>
              <w:rPr>
                <w:rFonts w:asciiTheme="majorEastAsia" w:hAnsiTheme="majorEastAsia" w:eastAsiaTheme="majorEastAsia" w:cstheme="majorEastAsia"/>
                <w:spacing w:val="-20"/>
                <w:sz w:val="20"/>
                <w:szCs w:val="20"/>
              </w:rPr>
            </w:pPr>
          </w:p>
          <w:p w14:paraId="3493DE4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2A8D7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F07B1A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574D9D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D84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4A87850">
            <w:pPr>
              <w:spacing w:line="240" w:lineRule="atLeast"/>
              <w:jc w:val="left"/>
              <w:rPr>
                <w:rFonts w:ascii="仿宋_GB2312" w:hAnsi="仿宋_GB2312" w:eastAsia="仿宋_GB2312" w:cs="仿宋_GB2312"/>
                <w:sz w:val="20"/>
                <w:szCs w:val="20"/>
              </w:rPr>
            </w:pPr>
          </w:p>
        </w:tc>
        <w:tc>
          <w:tcPr>
            <w:tcW w:w="555" w:type="dxa"/>
            <w:vMerge w:val="continue"/>
          </w:tcPr>
          <w:p w14:paraId="1B2002F4">
            <w:pPr>
              <w:spacing w:line="240" w:lineRule="atLeast"/>
              <w:jc w:val="left"/>
              <w:rPr>
                <w:rFonts w:ascii="仿宋_GB2312" w:hAnsi="仿宋_GB2312" w:eastAsia="仿宋_GB2312" w:cs="仿宋_GB2312"/>
                <w:sz w:val="20"/>
                <w:szCs w:val="20"/>
              </w:rPr>
            </w:pPr>
          </w:p>
        </w:tc>
        <w:tc>
          <w:tcPr>
            <w:tcW w:w="784" w:type="dxa"/>
            <w:vAlign w:val="center"/>
          </w:tcPr>
          <w:p w14:paraId="0E6B909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5E35E7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A3FBA0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2AC37C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95D62F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DE5EC5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6E27BD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79F4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405BA8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3F8EF21">
            <w:pPr>
              <w:spacing w:line="240" w:lineRule="atLeast"/>
              <w:jc w:val="left"/>
              <w:rPr>
                <w:rFonts w:ascii="仿宋_GB2312" w:hAnsi="仿宋_GB2312" w:eastAsia="仿宋_GB2312" w:cs="仿宋_GB2312"/>
                <w:sz w:val="20"/>
                <w:szCs w:val="20"/>
              </w:rPr>
            </w:pPr>
          </w:p>
        </w:tc>
      </w:tr>
      <w:tr w14:paraId="0FEA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7DA41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75</w:t>
            </w:r>
          </w:p>
        </w:tc>
        <w:tc>
          <w:tcPr>
            <w:tcW w:w="555" w:type="dxa"/>
            <w:vAlign w:val="center"/>
          </w:tcPr>
          <w:p w14:paraId="17621E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58F07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6DE20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8B4CDB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对采矿权人采取伪报矿种，隐匿产量、销售数量，或者伪报销售价格、实际开采回采率等手段，不缴或者少缴矿产资源补偿费行为的处罚</w:t>
            </w:r>
          </w:p>
        </w:tc>
        <w:tc>
          <w:tcPr>
            <w:tcW w:w="660" w:type="dxa"/>
            <w:vAlign w:val="center"/>
          </w:tcPr>
          <w:p w14:paraId="3F833965">
            <w:pPr>
              <w:snapToGrid w:val="0"/>
              <w:spacing w:line="240" w:lineRule="atLeast"/>
              <w:jc w:val="center"/>
              <w:rPr>
                <w:rFonts w:ascii="仿宋_GB2312" w:hAnsi="仿宋_GB2312" w:eastAsia="仿宋_GB2312" w:cs="仿宋_GB2312"/>
                <w:sz w:val="20"/>
                <w:szCs w:val="20"/>
              </w:rPr>
            </w:pPr>
          </w:p>
        </w:tc>
        <w:tc>
          <w:tcPr>
            <w:tcW w:w="615" w:type="dxa"/>
            <w:vAlign w:val="center"/>
          </w:tcPr>
          <w:p w14:paraId="2C3FA6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51A3D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30FBF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【行政法规】《矿产资源补偿费征收管理规定》（</w:t>
            </w:r>
            <w:r>
              <w:rPr>
                <w:rFonts w:hint="eastAsia" w:eastAsia="仿宋_GB2312"/>
                <w:snapToGrid w:val="0"/>
                <w:color w:val="000000"/>
                <w:sz w:val="20"/>
                <w:szCs w:val="20"/>
              </w:rPr>
              <w:t>1994</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150</w:t>
            </w:r>
            <w:r>
              <w:rPr>
                <w:rFonts w:hint="eastAsia" w:eastAsia="仿宋_GB2312" w:cs="宋体"/>
                <w:snapToGrid w:val="0"/>
                <w:color w:val="000000"/>
                <w:sz w:val="20"/>
                <w:szCs w:val="20"/>
              </w:rPr>
              <w:t>号发布，</w:t>
            </w:r>
            <w:r>
              <w:rPr>
                <w:rFonts w:hint="eastAsia" w:eastAsia="仿宋_GB2312"/>
                <w:snapToGrid w:val="0"/>
                <w:color w:val="000000"/>
                <w:sz w:val="20"/>
                <w:szCs w:val="20"/>
              </w:rPr>
              <w:t>1997</w:t>
            </w:r>
            <w:r>
              <w:rPr>
                <w:rFonts w:hint="eastAsia" w:eastAsia="仿宋_GB2312" w:cs="宋体"/>
                <w:snapToGrid w:val="0"/>
                <w:color w:val="000000"/>
                <w:sz w:val="20"/>
                <w:szCs w:val="20"/>
              </w:rPr>
              <w:t>年国务院令第</w:t>
            </w:r>
            <w:r>
              <w:rPr>
                <w:rFonts w:hint="eastAsia" w:eastAsia="仿宋_GB2312"/>
                <w:snapToGrid w:val="0"/>
                <w:color w:val="000000"/>
                <w:sz w:val="20"/>
                <w:szCs w:val="20"/>
              </w:rPr>
              <w:t>222</w:t>
            </w:r>
            <w:r>
              <w:rPr>
                <w:rFonts w:hint="eastAsia" w:eastAsia="仿宋_GB2312" w:cs="宋体"/>
                <w:snapToGrid w:val="0"/>
                <w:color w:val="000000"/>
                <w:sz w:val="20"/>
                <w:szCs w:val="20"/>
              </w:rPr>
              <w:t>号修订）第七条：矿产资源补偿费由地质矿产主管部门会同财政部门征收。</w:t>
            </w:r>
          </w:p>
          <w:p w14:paraId="18896E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矿区在县级行政区域内的，矿产资源补偿费由矿区所在地的县级人民政府负责地质矿产管理工作的部门负责征收。</w:t>
            </w:r>
          </w:p>
          <w:p w14:paraId="417BC2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矿区范围跨县级以上行政区域的，矿产资源补偿费由所涉及行政区域的共同上一级人民政府负责地质矿产管理工作的部门负责征收。</w:t>
            </w:r>
          </w:p>
          <w:p w14:paraId="0B1A5E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cs="宋体"/>
                <w:snapToGrid w:val="0"/>
                <w:color w:val="000000"/>
                <w:sz w:val="20"/>
                <w:szCs w:val="20"/>
              </w:rPr>
              <w:t>矿区范围跨省级行政区域和在中华人民共和国领海与其他管辖海域的，矿产资源补偿费由国务院地质矿产主管部门授权的省级人民政府地质矿产主管部门负责征收。</w:t>
            </w:r>
          </w:p>
          <w:p w14:paraId="354AF5DA">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第十五条：采矿权人采取伪报矿种，隐匿产量、销售数量，或者伪报销售价格、实际开采回采率等手段，不缴或者少缴矿产资源补偿费的，由征收机关追缴应当缴纳的矿产资源补偿费，并处以应当缴纳的矿产资源补偿费</w:t>
            </w:r>
            <w:r>
              <w:rPr>
                <w:rFonts w:hint="eastAsia" w:eastAsia="仿宋_GB2312"/>
                <w:snapToGrid w:val="0"/>
                <w:color w:val="000000"/>
                <w:sz w:val="20"/>
                <w:szCs w:val="20"/>
              </w:rPr>
              <w:t>5</w:t>
            </w:r>
            <w:r>
              <w:rPr>
                <w:rFonts w:hint="eastAsia" w:eastAsia="仿宋_GB2312" w:cs="宋体"/>
                <w:snapToGrid w:val="0"/>
                <w:color w:val="000000"/>
                <w:sz w:val="20"/>
                <w:szCs w:val="20"/>
              </w:rPr>
              <w:t>倍以下的罚款；情节严重的，由采矿许可证颁发机关吊销其采矿许可证。</w:t>
            </w:r>
          </w:p>
        </w:tc>
        <w:tc>
          <w:tcPr>
            <w:tcW w:w="3585" w:type="dxa"/>
            <w:vAlign w:val="center"/>
          </w:tcPr>
          <w:p w14:paraId="68589CB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1.立案阶段责任：对符合受理条件的案件应当及时受理并做好记录；对符合立案条件的案件应当在十个工作日内立案。</w:t>
            </w:r>
          </w:p>
          <w:p w14:paraId="46B613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2.调查阶段责任：对于立案的案件，指定专人负责调查，与当事人有直接利害关系的应当回避。调查时应出示执法证件，执法人员不得少于二人，执法人员应保守案件秘密。</w:t>
            </w:r>
          </w:p>
          <w:p w14:paraId="07F14C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3.案件复核审查阶段责任：应当对案件违法事实、证据、调查取证程序、法律适用、处罚种类和幅度等内容进行审查，提出处理意见。主要证据不足的，及时调查补充。</w:t>
            </w:r>
          </w:p>
          <w:p w14:paraId="4063AF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4.告知阶段责任：在做出行政处罚前，应当告知当事人违法事实以及依法享有的陈述、申辩和要求听证的权利。</w:t>
            </w:r>
          </w:p>
          <w:p w14:paraId="64A6D2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5.决定阶段责任：根据案件情况决定是否予以行政处罚。依法给予行政处罚的，应当制作行政处罚决定书，载明违法事实和依据、处罚依据和内容、申请行政复议或提起行政诉讼的途径和期限等内容。</w:t>
            </w:r>
          </w:p>
          <w:p w14:paraId="594F5D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6.送达阶段：行政处罚决定书应依法按时送达当事人。</w:t>
            </w:r>
          </w:p>
          <w:p w14:paraId="7B8E81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7.执行阶段责任：监督当事人在决定书的期限内，履行生效的行政处罚决定。当事人在法定期限内不申请行政复议或提起行政诉讼，又不履行的，受案部门可依法采取加处罚款或向人民法院申请强制执行等措施。</w:t>
            </w:r>
          </w:p>
          <w:p w14:paraId="1E957E7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5F351BC6">
            <w:pPr>
              <w:widowControl/>
              <w:adjustRightInd w:val="0"/>
              <w:snapToGrid w:val="0"/>
              <w:spacing w:line="240"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44EC3A6">
            <w:pPr>
              <w:widowControl/>
              <w:adjustRightInd w:val="0"/>
              <w:snapToGrid w:val="0"/>
              <w:spacing w:line="240"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3A017C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15A7D81">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AC21C9F">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523B1FC">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EEB0709">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BCC2592">
            <w:pPr>
              <w:widowControl/>
              <w:adjustRightInd w:val="0"/>
              <w:snapToGrid w:val="0"/>
              <w:spacing w:line="240"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538903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ADC736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190AEE7">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4CF84A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5FB03B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431522">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2ADC723">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723AAB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F75F35C">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EF49E90">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6EB50EB">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3782C7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8E506A3">
            <w:pPr>
              <w:snapToGrid w:val="0"/>
              <w:spacing w:line="240" w:lineRule="atLeast"/>
              <w:jc w:val="center"/>
              <w:rPr>
                <w:rFonts w:ascii="仿宋_GB2312" w:hAnsi="仿宋_GB2312" w:eastAsia="仿宋_GB2312" w:cs="仿宋_GB2312"/>
                <w:sz w:val="20"/>
                <w:szCs w:val="20"/>
              </w:rPr>
            </w:pPr>
          </w:p>
        </w:tc>
      </w:tr>
    </w:tbl>
    <w:p w14:paraId="3EC319B3"/>
    <w:p w14:paraId="20A1900B"/>
    <w:p w14:paraId="6CA4D13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B3B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03279C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86D6D0A">
            <w:pPr>
              <w:spacing w:line="240" w:lineRule="atLeast"/>
              <w:rPr>
                <w:rFonts w:asciiTheme="majorEastAsia" w:hAnsiTheme="majorEastAsia" w:eastAsiaTheme="majorEastAsia" w:cstheme="majorEastAsia"/>
                <w:spacing w:val="-20"/>
                <w:sz w:val="20"/>
                <w:szCs w:val="20"/>
              </w:rPr>
            </w:pPr>
          </w:p>
          <w:p w14:paraId="334FE5C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2CE3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DF7E3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CE1252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E75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2B08B8B">
            <w:pPr>
              <w:spacing w:line="240" w:lineRule="atLeast"/>
              <w:jc w:val="left"/>
              <w:rPr>
                <w:rFonts w:ascii="仿宋_GB2312" w:hAnsi="仿宋_GB2312" w:eastAsia="仿宋_GB2312" w:cs="仿宋_GB2312"/>
                <w:sz w:val="20"/>
                <w:szCs w:val="20"/>
              </w:rPr>
            </w:pPr>
          </w:p>
        </w:tc>
        <w:tc>
          <w:tcPr>
            <w:tcW w:w="555" w:type="dxa"/>
            <w:vMerge w:val="continue"/>
          </w:tcPr>
          <w:p w14:paraId="1B1EBA04">
            <w:pPr>
              <w:spacing w:line="240" w:lineRule="atLeast"/>
              <w:jc w:val="left"/>
              <w:rPr>
                <w:rFonts w:ascii="仿宋_GB2312" w:hAnsi="仿宋_GB2312" w:eastAsia="仿宋_GB2312" w:cs="仿宋_GB2312"/>
                <w:sz w:val="20"/>
                <w:szCs w:val="20"/>
              </w:rPr>
            </w:pPr>
          </w:p>
        </w:tc>
        <w:tc>
          <w:tcPr>
            <w:tcW w:w="784" w:type="dxa"/>
            <w:vAlign w:val="center"/>
          </w:tcPr>
          <w:p w14:paraId="017F196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7740C3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338A6D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A5A304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2D0C7E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B24A64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1F799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BC4C7A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1179A7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BC0DA74">
            <w:pPr>
              <w:spacing w:line="240" w:lineRule="atLeast"/>
              <w:jc w:val="left"/>
              <w:rPr>
                <w:rFonts w:ascii="仿宋_GB2312" w:hAnsi="仿宋_GB2312" w:eastAsia="仿宋_GB2312" w:cs="仿宋_GB2312"/>
                <w:sz w:val="20"/>
                <w:szCs w:val="20"/>
              </w:rPr>
            </w:pPr>
          </w:p>
        </w:tc>
      </w:tr>
      <w:tr w14:paraId="1273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B469D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76</w:t>
            </w:r>
          </w:p>
        </w:tc>
        <w:tc>
          <w:tcPr>
            <w:tcW w:w="555" w:type="dxa"/>
            <w:vAlign w:val="center"/>
          </w:tcPr>
          <w:p w14:paraId="573603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8D4A5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20848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C8BC84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对未按规定报送征收矿产资源补偿费有关资料行为的处罚</w:t>
            </w:r>
          </w:p>
        </w:tc>
        <w:tc>
          <w:tcPr>
            <w:tcW w:w="660" w:type="dxa"/>
            <w:vAlign w:val="center"/>
          </w:tcPr>
          <w:p w14:paraId="6535DEC4">
            <w:pPr>
              <w:snapToGrid w:val="0"/>
              <w:spacing w:line="240" w:lineRule="atLeast"/>
              <w:jc w:val="center"/>
              <w:rPr>
                <w:rFonts w:ascii="仿宋_GB2312" w:hAnsi="仿宋_GB2312" w:eastAsia="仿宋_GB2312" w:cs="仿宋_GB2312"/>
                <w:sz w:val="20"/>
                <w:szCs w:val="20"/>
              </w:rPr>
            </w:pPr>
          </w:p>
        </w:tc>
        <w:tc>
          <w:tcPr>
            <w:tcW w:w="615" w:type="dxa"/>
            <w:vAlign w:val="center"/>
          </w:tcPr>
          <w:p w14:paraId="7B749B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EF170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AE837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【行政法规】《矿产资源补偿费征收管理规定》（1994年国务院令第150号发布，1997年国务院令第222号修订）第七条：矿产资源补偿费由地质矿产主管部门会同财政部门征收。</w:t>
            </w:r>
          </w:p>
          <w:p w14:paraId="60C241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矿区在县级行政区域内的，矿产资源补偿费由矿区所在地的县级人民政府负责地质矿产管理工作的部门负责征收。</w:t>
            </w:r>
          </w:p>
          <w:p w14:paraId="0153B9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矿区范围跨县级以上行政区域的，矿产资源补偿费由所涉及行政区域的共同上一级人民政府负责地质矿产管理工作的部门负责征收。</w:t>
            </w:r>
          </w:p>
          <w:p w14:paraId="7A0F9C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矿区范围跨省级行政区域和在中华人民共和国领海与其他管辖海域的，矿产资源补偿费由国务院地质矿产主管部门授权的省级人民政府地质矿产主管部门负责征收。</w:t>
            </w:r>
          </w:p>
          <w:p w14:paraId="7EB3439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第十六条：采矿权人未按照本规定第九条的规定报送有关资料的，由征收机关责令限期报送；逾期不报送的，处以5000元以下罚款；仍不报送的，采矿许可证颁发机关可以吊销其采矿许可证。</w:t>
            </w:r>
          </w:p>
        </w:tc>
        <w:tc>
          <w:tcPr>
            <w:tcW w:w="3585" w:type="dxa"/>
            <w:vAlign w:val="center"/>
          </w:tcPr>
          <w:p w14:paraId="34DA36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1.立案阶段责任：对符合受理条件的案件应当及时受理并做好记录；对符合立案条件的案件应当在十个工作日内立案。</w:t>
            </w:r>
          </w:p>
          <w:p w14:paraId="67EC258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2.调查阶段责任：对于立案的案件，指定专人负责调查，与当事人有直接利害关系的应当回避。调查时应出示执法证件，执法人员不得少于二人，执法人员应保守案件秘密。</w:t>
            </w:r>
          </w:p>
          <w:p w14:paraId="6B5C2ED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3.案件复核审查阶段责任：应当对案件违法事实、证据、调查取证程序、法律适用、处罚种类和幅度等内容进行审查，提出处理意见。主要证据不足的，及时调查补充。</w:t>
            </w:r>
          </w:p>
          <w:p w14:paraId="49168E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4.告知阶段责任：在做出行政处罚前，应当告知当事人违法事实以及依法享有的陈述、申辩和要求听证的权利。</w:t>
            </w:r>
          </w:p>
          <w:p w14:paraId="3C2B85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5.决定阶段责任：根据案件情况决定是否予以行政处罚。依法给予行政处罚的，应当制作行政处罚决定书，载明违法事实和依据、处罚依据和内容、申请行政复议或提起行政诉讼的途径和期限等内容。</w:t>
            </w:r>
          </w:p>
          <w:p w14:paraId="46C68D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6.送达阶段：行政处罚决定书应依法按时送达当事人。</w:t>
            </w:r>
          </w:p>
          <w:p w14:paraId="2BDB07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7.执行阶段责任：监督当事人在决定书的期限内，履行生效的行政处罚决定。当事人在法定期限内不申请行政复议或提起行政诉讼，又不履行的，受案部门可依法采取加处罚款或向人民法院申请强制执行等措施。</w:t>
            </w:r>
          </w:p>
          <w:p w14:paraId="341F188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8.其他法律法规规章文件应履行的责任。</w:t>
            </w:r>
          </w:p>
        </w:tc>
        <w:tc>
          <w:tcPr>
            <w:tcW w:w="9515" w:type="dxa"/>
            <w:vAlign w:val="center"/>
          </w:tcPr>
          <w:p w14:paraId="1CB1D09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D8520A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04936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266DFB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A2B8D6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8642DF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4969D1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6B61EC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62B2F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3073B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7618D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DD580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A39C5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BCDF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192D2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AECE9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11B26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3DBC0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4CC1C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E6E5FF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D968F2C">
            <w:pPr>
              <w:snapToGrid w:val="0"/>
              <w:spacing w:line="240" w:lineRule="atLeast"/>
              <w:jc w:val="center"/>
              <w:rPr>
                <w:rFonts w:ascii="仿宋_GB2312" w:hAnsi="仿宋_GB2312" w:eastAsia="仿宋_GB2312" w:cs="仿宋_GB2312"/>
                <w:sz w:val="20"/>
                <w:szCs w:val="20"/>
              </w:rPr>
            </w:pPr>
          </w:p>
        </w:tc>
      </w:tr>
    </w:tbl>
    <w:p w14:paraId="6DD2FB14"/>
    <w:p w14:paraId="11CD1150"/>
    <w:p w14:paraId="15FEC50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D14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473610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EFCAD1B">
            <w:pPr>
              <w:spacing w:line="240" w:lineRule="atLeast"/>
              <w:rPr>
                <w:rFonts w:asciiTheme="majorEastAsia" w:hAnsiTheme="majorEastAsia" w:eastAsiaTheme="majorEastAsia" w:cstheme="majorEastAsia"/>
                <w:spacing w:val="-20"/>
                <w:sz w:val="20"/>
                <w:szCs w:val="20"/>
              </w:rPr>
            </w:pPr>
          </w:p>
          <w:p w14:paraId="6E9A198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A0898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8182DE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65C32E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556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955CADD">
            <w:pPr>
              <w:spacing w:line="240" w:lineRule="atLeast"/>
              <w:jc w:val="left"/>
              <w:rPr>
                <w:rFonts w:ascii="仿宋_GB2312" w:hAnsi="仿宋_GB2312" w:eastAsia="仿宋_GB2312" w:cs="仿宋_GB2312"/>
                <w:sz w:val="20"/>
                <w:szCs w:val="20"/>
              </w:rPr>
            </w:pPr>
          </w:p>
        </w:tc>
        <w:tc>
          <w:tcPr>
            <w:tcW w:w="555" w:type="dxa"/>
            <w:vMerge w:val="continue"/>
          </w:tcPr>
          <w:p w14:paraId="1B28F5F9">
            <w:pPr>
              <w:spacing w:line="240" w:lineRule="atLeast"/>
              <w:jc w:val="left"/>
              <w:rPr>
                <w:rFonts w:ascii="仿宋_GB2312" w:hAnsi="仿宋_GB2312" w:eastAsia="仿宋_GB2312" w:cs="仿宋_GB2312"/>
                <w:sz w:val="20"/>
                <w:szCs w:val="20"/>
              </w:rPr>
            </w:pPr>
          </w:p>
        </w:tc>
        <w:tc>
          <w:tcPr>
            <w:tcW w:w="784" w:type="dxa"/>
            <w:vAlign w:val="center"/>
          </w:tcPr>
          <w:p w14:paraId="140F49C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625B78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2F5A3E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8F5362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D08EB9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5014D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436787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DD658D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7B19CF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71D60C6">
            <w:pPr>
              <w:spacing w:line="240" w:lineRule="atLeast"/>
              <w:jc w:val="left"/>
              <w:rPr>
                <w:rFonts w:ascii="仿宋_GB2312" w:hAnsi="仿宋_GB2312" w:eastAsia="仿宋_GB2312" w:cs="仿宋_GB2312"/>
                <w:sz w:val="20"/>
                <w:szCs w:val="20"/>
              </w:rPr>
            </w:pPr>
          </w:p>
        </w:tc>
      </w:tr>
      <w:tr w14:paraId="4603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DA42A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77</w:t>
            </w:r>
          </w:p>
        </w:tc>
        <w:tc>
          <w:tcPr>
            <w:tcW w:w="555" w:type="dxa"/>
            <w:vAlign w:val="center"/>
          </w:tcPr>
          <w:p w14:paraId="1D5593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00C74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DC672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91CB4F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对以承包等方式擅自转让采矿权行为的处罚</w:t>
            </w:r>
          </w:p>
        </w:tc>
        <w:tc>
          <w:tcPr>
            <w:tcW w:w="660" w:type="dxa"/>
            <w:vAlign w:val="center"/>
          </w:tcPr>
          <w:p w14:paraId="3BC64712">
            <w:pPr>
              <w:snapToGrid w:val="0"/>
              <w:spacing w:line="240" w:lineRule="atLeast"/>
              <w:jc w:val="center"/>
              <w:rPr>
                <w:rFonts w:ascii="仿宋_GB2312" w:hAnsi="仿宋_GB2312" w:eastAsia="仿宋_GB2312" w:cs="仿宋_GB2312"/>
                <w:sz w:val="20"/>
                <w:szCs w:val="20"/>
              </w:rPr>
            </w:pPr>
          </w:p>
        </w:tc>
        <w:tc>
          <w:tcPr>
            <w:tcW w:w="615" w:type="dxa"/>
            <w:vAlign w:val="center"/>
          </w:tcPr>
          <w:p w14:paraId="40BD37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8A06C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470BB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【行政法规】《探矿权采矿权转让管理办法》（1998年国务院令第242号公布，2014年国务院令第653号修订）第三条：除按照下列规定可以转让外，探矿权、采矿权不得转让：</w:t>
            </w:r>
          </w:p>
          <w:p w14:paraId="7E9686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（二）已经取得采矿权的矿山企业，因企业合并、分立，与他人合资、合作经营，或者因企业资产出售以及有其他变更企业资产产权的情形，需要变更采矿权主体的，经依法批准，可以将采矿权转让他人采矿。</w:t>
            </w:r>
          </w:p>
          <w:p w14:paraId="4F16CB3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第十五条： 违反本办法第三条第（二）项的规定，以承包等方式擅自将采矿权转给他人进行采矿的，由县级以上人民政府负责地质矿产管理工作的部门按照国务院地质矿产主管部门规定的权限，责令改正，没收违法所得，处10万元以下的罚款；情节严重的，由原发证机关吊销采矿许可证。</w:t>
            </w:r>
          </w:p>
        </w:tc>
        <w:tc>
          <w:tcPr>
            <w:tcW w:w="3585" w:type="dxa"/>
            <w:vAlign w:val="center"/>
          </w:tcPr>
          <w:p w14:paraId="1C926A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5562C2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71259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1284FA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596F5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78982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E1E31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98984C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FDB8FE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9C2237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D9B68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5A3037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C8E1B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5727CA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E1CC4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4AD96A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0C8A2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99A1C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67B38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8769B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40C16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FDD32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93F5B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FC894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AFC07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E2892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5F995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4C552E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A85D8F6">
            <w:pPr>
              <w:snapToGrid w:val="0"/>
              <w:spacing w:line="240" w:lineRule="atLeast"/>
              <w:jc w:val="center"/>
              <w:rPr>
                <w:rFonts w:ascii="仿宋_GB2312" w:hAnsi="仿宋_GB2312" w:eastAsia="仿宋_GB2312" w:cs="仿宋_GB2312"/>
                <w:sz w:val="20"/>
                <w:szCs w:val="20"/>
              </w:rPr>
            </w:pPr>
          </w:p>
        </w:tc>
      </w:tr>
    </w:tbl>
    <w:p w14:paraId="24819F8A"/>
    <w:p w14:paraId="6BDE83CA"/>
    <w:p w14:paraId="3F9717A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63D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66FEB0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E6EF150">
            <w:pPr>
              <w:spacing w:line="240" w:lineRule="atLeast"/>
              <w:rPr>
                <w:rFonts w:asciiTheme="majorEastAsia" w:hAnsiTheme="majorEastAsia" w:eastAsiaTheme="majorEastAsia" w:cstheme="majorEastAsia"/>
                <w:spacing w:val="-20"/>
                <w:sz w:val="20"/>
                <w:szCs w:val="20"/>
              </w:rPr>
            </w:pPr>
          </w:p>
          <w:p w14:paraId="0CC0FD7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3AE433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786148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F36349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9C8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A5E6845">
            <w:pPr>
              <w:spacing w:line="240" w:lineRule="atLeast"/>
              <w:jc w:val="left"/>
              <w:rPr>
                <w:rFonts w:ascii="仿宋_GB2312" w:hAnsi="仿宋_GB2312" w:eastAsia="仿宋_GB2312" w:cs="仿宋_GB2312"/>
                <w:sz w:val="20"/>
                <w:szCs w:val="20"/>
              </w:rPr>
            </w:pPr>
          </w:p>
        </w:tc>
        <w:tc>
          <w:tcPr>
            <w:tcW w:w="555" w:type="dxa"/>
            <w:vMerge w:val="continue"/>
          </w:tcPr>
          <w:p w14:paraId="06C32412">
            <w:pPr>
              <w:spacing w:line="240" w:lineRule="atLeast"/>
              <w:jc w:val="left"/>
              <w:rPr>
                <w:rFonts w:ascii="仿宋_GB2312" w:hAnsi="仿宋_GB2312" w:eastAsia="仿宋_GB2312" w:cs="仿宋_GB2312"/>
                <w:sz w:val="20"/>
                <w:szCs w:val="20"/>
              </w:rPr>
            </w:pPr>
          </w:p>
        </w:tc>
        <w:tc>
          <w:tcPr>
            <w:tcW w:w="784" w:type="dxa"/>
            <w:vAlign w:val="center"/>
          </w:tcPr>
          <w:p w14:paraId="36C7EA6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60D24B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7D5FCE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8A16A5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B54E57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AA3808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46185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5E682F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A55858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5B4692B">
            <w:pPr>
              <w:spacing w:line="240" w:lineRule="atLeast"/>
              <w:jc w:val="left"/>
              <w:rPr>
                <w:rFonts w:ascii="仿宋_GB2312" w:hAnsi="仿宋_GB2312" w:eastAsia="仿宋_GB2312" w:cs="仿宋_GB2312"/>
                <w:sz w:val="20"/>
                <w:szCs w:val="20"/>
              </w:rPr>
            </w:pPr>
          </w:p>
        </w:tc>
      </w:tr>
      <w:tr w14:paraId="3115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D4DD0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78</w:t>
            </w:r>
          </w:p>
        </w:tc>
        <w:tc>
          <w:tcPr>
            <w:tcW w:w="555" w:type="dxa"/>
            <w:vAlign w:val="center"/>
          </w:tcPr>
          <w:p w14:paraId="12DC1E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5CB46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03A6C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5F1B5D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对探矿权人未采取治理恢复措施行为的处罚</w:t>
            </w:r>
          </w:p>
        </w:tc>
        <w:tc>
          <w:tcPr>
            <w:tcW w:w="660" w:type="dxa"/>
            <w:vAlign w:val="center"/>
          </w:tcPr>
          <w:p w14:paraId="1D830066">
            <w:pPr>
              <w:snapToGrid w:val="0"/>
              <w:spacing w:line="240" w:lineRule="atLeast"/>
              <w:jc w:val="center"/>
              <w:rPr>
                <w:rFonts w:ascii="仿宋_GB2312" w:hAnsi="仿宋_GB2312" w:eastAsia="仿宋_GB2312" w:cs="仿宋_GB2312"/>
                <w:sz w:val="20"/>
                <w:szCs w:val="20"/>
              </w:rPr>
            </w:pPr>
          </w:p>
        </w:tc>
        <w:tc>
          <w:tcPr>
            <w:tcW w:w="615" w:type="dxa"/>
            <w:vAlign w:val="center"/>
          </w:tcPr>
          <w:p w14:paraId="77BDC7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EC082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860EF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【部门规章】《矿山地质环境保护规定》（2009年国土资源部令第44号发布，2019年自然资源部令第5号修正）第四条：自然资源部负责全国矿山地质环境的保护工作。</w:t>
            </w:r>
          </w:p>
          <w:p w14:paraId="0125EB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县级以上地方自然资源主管部门负责本行政区的矿山地质环境保护工作。</w:t>
            </w:r>
          </w:p>
          <w:p w14:paraId="437BBF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十一条：以槽探、坑探方式勘查矿产资源，探矿权人在矿产资源勘查活动结束后未申请采矿权的，应当采取相应的治理恢复措施，对其勘查矿产资源遗留的钻孔、探井、探槽、巷道进行回填、封闭，对形成的危岩、危坡等进行治理恢复，消除安全隐患。</w:t>
            </w:r>
          </w:p>
          <w:p w14:paraId="55C4966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第二十九条：违反本规定第二十一条规定，探矿权人未采取治理恢复措施的，由县级以上自然资源主管部门责令限期改正；逾期拒不改正的，处3万元以下的罚款，5年内不受理其新的探矿权、采矿权申请。</w:t>
            </w:r>
          </w:p>
        </w:tc>
        <w:tc>
          <w:tcPr>
            <w:tcW w:w="3585" w:type="dxa"/>
            <w:vAlign w:val="center"/>
          </w:tcPr>
          <w:p w14:paraId="4BFA63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F498C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7BF7BA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DA1B0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CAAAF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DAC44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87C8C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591E9B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49B60C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27F538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97AFF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3FF1AB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1EFF83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F81A6E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A16164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90F8C3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532F7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1ABA2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3921A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D7650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2CECB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20EEA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A1F48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7175C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EC14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2910B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12D61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545112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F45D8DB">
            <w:pPr>
              <w:snapToGrid w:val="0"/>
              <w:spacing w:line="240" w:lineRule="atLeast"/>
              <w:jc w:val="center"/>
              <w:rPr>
                <w:rFonts w:ascii="仿宋_GB2312" w:hAnsi="仿宋_GB2312" w:eastAsia="仿宋_GB2312" w:cs="仿宋_GB2312"/>
                <w:sz w:val="20"/>
                <w:szCs w:val="20"/>
              </w:rPr>
            </w:pPr>
          </w:p>
        </w:tc>
      </w:tr>
    </w:tbl>
    <w:p w14:paraId="4E5752B2"/>
    <w:p w14:paraId="09E26882"/>
    <w:p w14:paraId="6E7C9E7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94"/>
        <w:gridCol w:w="615"/>
        <w:gridCol w:w="600"/>
        <w:gridCol w:w="1140"/>
        <w:gridCol w:w="4425"/>
        <w:gridCol w:w="3585"/>
        <w:gridCol w:w="9515"/>
        <w:gridCol w:w="330"/>
      </w:tblGrid>
      <w:tr w14:paraId="06D7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5B239D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83BCAA4">
            <w:pPr>
              <w:spacing w:line="240" w:lineRule="atLeast"/>
              <w:rPr>
                <w:rFonts w:asciiTheme="majorEastAsia" w:hAnsiTheme="majorEastAsia" w:eastAsiaTheme="majorEastAsia" w:cstheme="majorEastAsia"/>
                <w:spacing w:val="-20"/>
                <w:sz w:val="20"/>
                <w:szCs w:val="20"/>
              </w:rPr>
            </w:pPr>
          </w:p>
          <w:p w14:paraId="594AD7B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1DA28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A506E6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62D680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6FC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09EBA0A">
            <w:pPr>
              <w:spacing w:line="240" w:lineRule="atLeast"/>
              <w:jc w:val="left"/>
              <w:rPr>
                <w:rFonts w:ascii="仿宋_GB2312" w:hAnsi="仿宋_GB2312" w:eastAsia="仿宋_GB2312" w:cs="仿宋_GB2312"/>
                <w:sz w:val="20"/>
                <w:szCs w:val="20"/>
              </w:rPr>
            </w:pPr>
          </w:p>
        </w:tc>
        <w:tc>
          <w:tcPr>
            <w:tcW w:w="555" w:type="dxa"/>
            <w:vMerge w:val="continue"/>
          </w:tcPr>
          <w:p w14:paraId="72AF367B">
            <w:pPr>
              <w:spacing w:line="240" w:lineRule="atLeast"/>
              <w:jc w:val="left"/>
              <w:rPr>
                <w:rFonts w:ascii="仿宋_GB2312" w:hAnsi="仿宋_GB2312" w:eastAsia="仿宋_GB2312" w:cs="仿宋_GB2312"/>
                <w:sz w:val="20"/>
                <w:szCs w:val="20"/>
              </w:rPr>
            </w:pPr>
          </w:p>
        </w:tc>
        <w:tc>
          <w:tcPr>
            <w:tcW w:w="994" w:type="dxa"/>
            <w:vAlign w:val="center"/>
          </w:tcPr>
          <w:p w14:paraId="60EB3B2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62B720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687E12F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237BBD2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40" w:type="dxa"/>
            <w:vAlign w:val="center"/>
          </w:tcPr>
          <w:p w14:paraId="43F1813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25" w:type="dxa"/>
            <w:vAlign w:val="center"/>
          </w:tcPr>
          <w:p w14:paraId="54D665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74590A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72F57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261D1F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5EDE2E2">
            <w:pPr>
              <w:spacing w:line="240" w:lineRule="atLeast"/>
              <w:jc w:val="left"/>
              <w:rPr>
                <w:rFonts w:ascii="仿宋_GB2312" w:hAnsi="仿宋_GB2312" w:eastAsia="仿宋_GB2312" w:cs="仿宋_GB2312"/>
                <w:sz w:val="20"/>
                <w:szCs w:val="20"/>
              </w:rPr>
            </w:pPr>
          </w:p>
        </w:tc>
      </w:tr>
      <w:tr w14:paraId="52DF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714B0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79</w:t>
            </w:r>
          </w:p>
        </w:tc>
        <w:tc>
          <w:tcPr>
            <w:tcW w:w="555" w:type="dxa"/>
            <w:vAlign w:val="center"/>
          </w:tcPr>
          <w:p w14:paraId="3B245C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FEDFE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E75493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94" w:type="dxa"/>
            <w:vAlign w:val="center"/>
          </w:tcPr>
          <w:p w14:paraId="3C39D23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擅自移动和破坏碑石、界标，进行采石、取土、开矿、放牧、砍伐以及采集标本化石，对地质遗迹造成污染和破坏，不服从保护区管理机构管理以及从事科研活动未向管理单位提交研究成果副本行为的处罚</w:t>
            </w:r>
          </w:p>
        </w:tc>
        <w:tc>
          <w:tcPr>
            <w:tcW w:w="615" w:type="dxa"/>
            <w:vAlign w:val="center"/>
          </w:tcPr>
          <w:p w14:paraId="529262DC">
            <w:pPr>
              <w:snapToGrid w:val="0"/>
              <w:spacing w:line="240" w:lineRule="atLeast"/>
              <w:jc w:val="center"/>
              <w:rPr>
                <w:rFonts w:ascii="仿宋_GB2312" w:hAnsi="仿宋_GB2312" w:eastAsia="仿宋_GB2312" w:cs="仿宋_GB2312"/>
                <w:sz w:val="20"/>
                <w:szCs w:val="20"/>
              </w:rPr>
            </w:pPr>
          </w:p>
        </w:tc>
        <w:tc>
          <w:tcPr>
            <w:tcW w:w="600" w:type="dxa"/>
            <w:vAlign w:val="center"/>
          </w:tcPr>
          <w:p w14:paraId="58D16E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40" w:type="dxa"/>
            <w:vAlign w:val="center"/>
          </w:tcPr>
          <w:p w14:paraId="3BC2DB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25" w:type="dxa"/>
            <w:vAlign w:val="center"/>
          </w:tcPr>
          <w:p w14:paraId="337D9C7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1.【行政法规】《中华人民共和国自然保护区条例 》（1994年国务院令167号公布，2017年国务院令第687号修订）第三十四条：违反本条例规定，有下列行为之一的单位和个人，由自然保护区管理机构责令其改正，并可以根据不同情节处以100元以上5000元以下的罚款：</w:t>
            </w:r>
          </w:p>
          <w:p w14:paraId="56B9F5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（一）擅自移动或者破坏自然保护区界标的；</w:t>
            </w:r>
          </w:p>
          <w:p w14:paraId="42B1D6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（二）未经批准进入自然保护区或者在自然保护区内不服从管理机构管理的；</w:t>
            </w:r>
          </w:p>
          <w:p w14:paraId="0196EB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（三）经批准在自然保护区的缓冲区内从事科学研究、教学实习和标本采集的单位和个人，不向自然保护区管理机构提交活动成果副本的。</w:t>
            </w:r>
          </w:p>
          <w:p w14:paraId="704A21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五条：违反本条例规定，在自然保护区进行砍伐、放牧、狩猎、捕捞、采药、开垦、烧荒、开矿、采石、挖沙等活动的单位和个人，除可以依照有关法律、行政法规规定给予处罚的以外，由县级以上人民政府有关自然保护区行政主管部门或者其授权的自然保护区管理机构没收违法所得，责令停止违法行为，限期恢复原状或者采取其他补救措施；对自然保护区造成破坏的，可以处以300元以上10000元以下的罚款。</w:t>
            </w:r>
          </w:p>
          <w:p w14:paraId="24066F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第四十条：违反本条例规定，造成自然保护区重大污染或者破坏事故，导致公私财产重大损失或者人身伤亡的严重后果，构成犯罪的，对直接负责的主管人员和其他直接责任人员依法追究刑事责任。</w:t>
            </w:r>
          </w:p>
          <w:p w14:paraId="65B381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地质遗迹保护管理规定》（1995年地质矿产部令第21号）第二十条：有下列行为之一者，地质遗迹保护区管理机构可根据《中华人民共和国自然保护区条例》的有关规定，视不同情节，分别给予警告、罚款、没收非法所得，并责令赔偿损失。</w:t>
            </w:r>
          </w:p>
          <w:p w14:paraId="2B4EE6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一、违反本规定第十四条，擅自移动和破坏碑石、界标的；</w:t>
            </w:r>
          </w:p>
          <w:p w14:paraId="325942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二、违反本规定第十七条，进行采石、取土、开矿、放牧、砍伐以及采集标本化石的；</w:t>
            </w:r>
          </w:p>
          <w:p w14:paraId="4C233E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三、违反本规定第十八条，对地质遗迹造成污染和破坏的；</w:t>
            </w:r>
          </w:p>
          <w:p w14:paraId="4133B0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四、违反本规定第十九条，不服从保护区管理机构管理以及从事科研活动未向管理单位提交研究成果副本的。</w:t>
            </w:r>
          </w:p>
          <w:p w14:paraId="701201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tc>
        <w:tc>
          <w:tcPr>
            <w:tcW w:w="3585" w:type="dxa"/>
            <w:vAlign w:val="center"/>
          </w:tcPr>
          <w:p w14:paraId="5D11BD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79B8C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F7506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E44D6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973F0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983F2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1BFD5C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C965E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13726E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24982D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9A146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5491E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579719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2E96C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FD6DA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A39433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F3296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EF8A0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5246E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B3B11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2EC91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B6043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6DEBA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D15D5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9A8A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C77BA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C34F6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A3783F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A18FE21">
            <w:pPr>
              <w:snapToGrid w:val="0"/>
              <w:spacing w:line="240" w:lineRule="atLeast"/>
              <w:jc w:val="center"/>
              <w:rPr>
                <w:rFonts w:ascii="仿宋_GB2312" w:hAnsi="仿宋_GB2312" w:eastAsia="仿宋_GB2312" w:cs="仿宋_GB2312"/>
                <w:sz w:val="20"/>
                <w:szCs w:val="20"/>
              </w:rPr>
            </w:pPr>
          </w:p>
        </w:tc>
      </w:tr>
    </w:tbl>
    <w:p w14:paraId="6CAD94E6"/>
    <w:p w14:paraId="7B4CB47D"/>
    <w:p w14:paraId="346FB7C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EDB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7B9A25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D847068">
            <w:pPr>
              <w:spacing w:line="240" w:lineRule="atLeast"/>
              <w:rPr>
                <w:rFonts w:asciiTheme="majorEastAsia" w:hAnsiTheme="majorEastAsia" w:eastAsiaTheme="majorEastAsia" w:cstheme="majorEastAsia"/>
                <w:spacing w:val="-20"/>
                <w:sz w:val="20"/>
                <w:szCs w:val="20"/>
              </w:rPr>
            </w:pPr>
          </w:p>
          <w:p w14:paraId="07541F7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5A79DE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FD9CDC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7E775F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C95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13C57B5">
            <w:pPr>
              <w:spacing w:line="240" w:lineRule="atLeast"/>
              <w:jc w:val="left"/>
              <w:rPr>
                <w:rFonts w:ascii="仿宋_GB2312" w:hAnsi="仿宋_GB2312" w:eastAsia="仿宋_GB2312" w:cs="仿宋_GB2312"/>
                <w:sz w:val="20"/>
                <w:szCs w:val="20"/>
              </w:rPr>
            </w:pPr>
          </w:p>
        </w:tc>
        <w:tc>
          <w:tcPr>
            <w:tcW w:w="555" w:type="dxa"/>
            <w:vMerge w:val="continue"/>
          </w:tcPr>
          <w:p w14:paraId="78905BC9">
            <w:pPr>
              <w:spacing w:line="240" w:lineRule="atLeast"/>
              <w:jc w:val="left"/>
              <w:rPr>
                <w:rFonts w:ascii="仿宋_GB2312" w:hAnsi="仿宋_GB2312" w:eastAsia="仿宋_GB2312" w:cs="仿宋_GB2312"/>
                <w:sz w:val="20"/>
                <w:szCs w:val="20"/>
              </w:rPr>
            </w:pPr>
          </w:p>
        </w:tc>
        <w:tc>
          <w:tcPr>
            <w:tcW w:w="784" w:type="dxa"/>
            <w:vAlign w:val="center"/>
          </w:tcPr>
          <w:p w14:paraId="1E0EB08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2CC065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25F583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AAE14D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9EA0DC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36E1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E3BDA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31E55C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DAF491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3F4126C">
            <w:pPr>
              <w:spacing w:line="240" w:lineRule="atLeast"/>
              <w:jc w:val="left"/>
              <w:rPr>
                <w:rFonts w:ascii="仿宋_GB2312" w:hAnsi="仿宋_GB2312" w:eastAsia="仿宋_GB2312" w:cs="仿宋_GB2312"/>
                <w:sz w:val="20"/>
                <w:szCs w:val="20"/>
              </w:rPr>
            </w:pPr>
          </w:p>
        </w:tc>
      </w:tr>
      <w:tr w14:paraId="1289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BAAD1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80</w:t>
            </w:r>
          </w:p>
        </w:tc>
        <w:tc>
          <w:tcPr>
            <w:tcW w:w="555" w:type="dxa"/>
            <w:vAlign w:val="center"/>
          </w:tcPr>
          <w:p w14:paraId="490042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E2B94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D0E3C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53CBCE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对矿业权人不按照批准的勘查设计或者矿产资源开发利用方案施工行为的处罚</w:t>
            </w:r>
          </w:p>
        </w:tc>
        <w:tc>
          <w:tcPr>
            <w:tcW w:w="660" w:type="dxa"/>
            <w:vAlign w:val="center"/>
          </w:tcPr>
          <w:p w14:paraId="3DC85CC9">
            <w:pPr>
              <w:snapToGrid w:val="0"/>
              <w:spacing w:line="240" w:lineRule="atLeast"/>
              <w:jc w:val="center"/>
              <w:rPr>
                <w:rFonts w:ascii="仿宋_GB2312" w:hAnsi="仿宋_GB2312" w:eastAsia="仿宋_GB2312" w:cs="仿宋_GB2312"/>
                <w:sz w:val="20"/>
                <w:szCs w:val="20"/>
              </w:rPr>
            </w:pPr>
          </w:p>
        </w:tc>
        <w:tc>
          <w:tcPr>
            <w:tcW w:w="615" w:type="dxa"/>
            <w:vAlign w:val="center"/>
          </w:tcPr>
          <w:p w14:paraId="65A224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B96C6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AF8AE2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地方性法规】《广西壮族自治区矿产资源管理条例》（2000年12月2日广西壮族自治区第九届人民代表大会常务委员会第二十一次会议通过，自2011年1月1日起施行，根据2016年11月30日广西壮族自治区第十二届人民代表大会常务委员会第二十六次会议《关于废止和修改部分地方性法规的决定》修正）第四十一条：不按照批准的勘查设计或者矿产资源开发利用方案施工的，由地质矿产主管部门责令限期改正；逾期不改正的，处一千元以上五万元以下的罚款；情节严重的，原发证机关可以吊销勘查许可证或者采矿许可证。</w:t>
            </w:r>
          </w:p>
        </w:tc>
        <w:tc>
          <w:tcPr>
            <w:tcW w:w="3585" w:type="dxa"/>
            <w:vAlign w:val="center"/>
          </w:tcPr>
          <w:p w14:paraId="03DED6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50886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3AF248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AF5AA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F77BA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B3DC5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02C29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00186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C99064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733B4C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8354B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78BBEC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CB7477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36D99F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EF61D7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07417C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67F01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D3FC5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78AD0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05FAD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3FC86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F02EC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A740A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65ECC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E5A0D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078A8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17E73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2136F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F0FADFC">
            <w:pPr>
              <w:snapToGrid w:val="0"/>
              <w:spacing w:line="240" w:lineRule="atLeast"/>
              <w:jc w:val="center"/>
              <w:rPr>
                <w:rFonts w:ascii="仿宋_GB2312" w:hAnsi="仿宋_GB2312" w:eastAsia="仿宋_GB2312" w:cs="仿宋_GB2312"/>
                <w:sz w:val="20"/>
                <w:szCs w:val="20"/>
              </w:rPr>
            </w:pPr>
          </w:p>
        </w:tc>
      </w:tr>
    </w:tbl>
    <w:p w14:paraId="3D4694F2"/>
    <w:p w14:paraId="6064701E"/>
    <w:p w14:paraId="2E379FC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0B7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1CE3C4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136E6AD">
            <w:pPr>
              <w:spacing w:line="240" w:lineRule="atLeast"/>
              <w:rPr>
                <w:rFonts w:asciiTheme="majorEastAsia" w:hAnsiTheme="majorEastAsia" w:eastAsiaTheme="majorEastAsia" w:cstheme="majorEastAsia"/>
                <w:spacing w:val="-20"/>
                <w:sz w:val="20"/>
                <w:szCs w:val="20"/>
              </w:rPr>
            </w:pPr>
          </w:p>
          <w:p w14:paraId="16B5E65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36F561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977E29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174633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DFE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2F80027">
            <w:pPr>
              <w:spacing w:line="240" w:lineRule="atLeast"/>
              <w:jc w:val="left"/>
              <w:rPr>
                <w:rFonts w:ascii="仿宋_GB2312" w:hAnsi="仿宋_GB2312" w:eastAsia="仿宋_GB2312" w:cs="仿宋_GB2312"/>
                <w:sz w:val="20"/>
                <w:szCs w:val="20"/>
              </w:rPr>
            </w:pPr>
          </w:p>
        </w:tc>
        <w:tc>
          <w:tcPr>
            <w:tcW w:w="555" w:type="dxa"/>
            <w:vMerge w:val="continue"/>
          </w:tcPr>
          <w:p w14:paraId="0C86FEF7">
            <w:pPr>
              <w:spacing w:line="240" w:lineRule="atLeast"/>
              <w:jc w:val="left"/>
              <w:rPr>
                <w:rFonts w:ascii="仿宋_GB2312" w:hAnsi="仿宋_GB2312" w:eastAsia="仿宋_GB2312" w:cs="仿宋_GB2312"/>
                <w:sz w:val="20"/>
                <w:szCs w:val="20"/>
              </w:rPr>
            </w:pPr>
          </w:p>
        </w:tc>
        <w:tc>
          <w:tcPr>
            <w:tcW w:w="784" w:type="dxa"/>
            <w:vAlign w:val="center"/>
          </w:tcPr>
          <w:p w14:paraId="0087ACD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31BB7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069BD4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CB0669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57F28B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A944C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1464F8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CFED34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10754F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547573F">
            <w:pPr>
              <w:spacing w:line="240" w:lineRule="atLeast"/>
              <w:jc w:val="left"/>
              <w:rPr>
                <w:rFonts w:ascii="仿宋_GB2312" w:hAnsi="仿宋_GB2312" w:eastAsia="仿宋_GB2312" w:cs="仿宋_GB2312"/>
                <w:sz w:val="20"/>
                <w:szCs w:val="20"/>
              </w:rPr>
            </w:pPr>
          </w:p>
        </w:tc>
      </w:tr>
      <w:tr w14:paraId="390C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CADAD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81</w:t>
            </w:r>
          </w:p>
        </w:tc>
        <w:tc>
          <w:tcPr>
            <w:tcW w:w="555" w:type="dxa"/>
            <w:vAlign w:val="center"/>
          </w:tcPr>
          <w:p w14:paraId="1714DA5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9344F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4FCD7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936D2E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对探矿权人不及时对遗留的钻孔、探井、巷道和形成的危岩、危坡采取回填、封闭或者其他消除地质灾害隐患措施行为的处罚</w:t>
            </w:r>
          </w:p>
        </w:tc>
        <w:tc>
          <w:tcPr>
            <w:tcW w:w="660" w:type="dxa"/>
            <w:vAlign w:val="center"/>
          </w:tcPr>
          <w:p w14:paraId="68B42B5D">
            <w:pPr>
              <w:snapToGrid w:val="0"/>
              <w:spacing w:line="240" w:lineRule="atLeast"/>
              <w:jc w:val="center"/>
              <w:rPr>
                <w:rFonts w:ascii="仿宋_GB2312" w:hAnsi="仿宋_GB2312" w:eastAsia="仿宋_GB2312" w:cs="仿宋_GB2312"/>
                <w:sz w:val="20"/>
                <w:szCs w:val="20"/>
              </w:rPr>
            </w:pPr>
          </w:p>
        </w:tc>
        <w:tc>
          <w:tcPr>
            <w:tcW w:w="615" w:type="dxa"/>
            <w:vAlign w:val="center"/>
          </w:tcPr>
          <w:p w14:paraId="005034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64B9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BC8F3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【地方性法规】《广西壮族自治区地质环境保护条例》（2006年3月30日广西壮族自治区第十届人民代表大会常务委员会第十九次会议通过　根据2019年7月25日广西壮族自治区第十三届人民代表大会常务委员会第十次会议《关于修改〈广西壮族自治区环境保护条例〉等二十一件地方性法规的决定》修正） 第十一条：探矿权人应当及时对勘查作业完毕后遗留的钻孔、探井、巷道和形成的危岩、危坡采取回填、封闭或者其他消除地质灾害隐患的措施。</w:t>
            </w:r>
          </w:p>
          <w:p w14:paraId="66AFF55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第二十一条： 违反本条例第十一条规定，探矿权人不及时对遗留的钻孔、探井、巷道和形成的危岩、危坡采取回填、封闭或者其他消除地质灾害隐患措施的，由县级以上人民政府国土资源行政主管部门责令限期治理；逾期不治理的，可以处1万元以上10万元以下的罚款。</w:t>
            </w:r>
          </w:p>
        </w:tc>
        <w:tc>
          <w:tcPr>
            <w:tcW w:w="3585" w:type="dxa"/>
            <w:vAlign w:val="center"/>
          </w:tcPr>
          <w:p w14:paraId="08DD24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E4D90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65CBA1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F165A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D1AAB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26ED4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79F12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CB61F3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1F6F37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F91635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5C8EF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3C8E5E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172C21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C369A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EC1F54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8C3F6F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8F8CA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D0012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D345F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D9A9C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37169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94F7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01161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20115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617DF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75789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7F122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23391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BE0F9DE">
            <w:pPr>
              <w:snapToGrid w:val="0"/>
              <w:spacing w:line="240" w:lineRule="atLeast"/>
              <w:jc w:val="center"/>
              <w:rPr>
                <w:rFonts w:ascii="仿宋_GB2312" w:hAnsi="仿宋_GB2312" w:eastAsia="仿宋_GB2312" w:cs="仿宋_GB2312"/>
                <w:sz w:val="20"/>
                <w:szCs w:val="20"/>
              </w:rPr>
            </w:pPr>
          </w:p>
        </w:tc>
      </w:tr>
    </w:tbl>
    <w:p w14:paraId="2B27756E"/>
    <w:p w14:paraId="5BF10BB8"/>
    <w:p w14:paraId="3471503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5B2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628200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543626B">
            <w:pPr>
              <w:spacing w:line="240" w:lineRule="atLeast"/>
              <w:rPr>
                <w:rFonts w:asciiTheme="majorEastAsia" w:hAnsiTheme="majorEastAsia" w:eastAsiaTheme="majorEastAsia" w:cstheme="majorEastAsia"/>
                <w:spacing w:val="-20"/>
                <w:sz w:val="20"/>
                <w:szCs w:val="20"/>
              </w:rPr>
            </w:pPr>
          </w:p>
          <w:p w14:paraId="4D1EAD8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811A05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158B4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D4D54C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515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888AAE8">
            <w:pPr>
              <w:spacing w:line="240" w:lineRule="atLeast"/>
              <w:jc w:val="left"/>
              <w:rPr>
                <w:rFonts w:ascii="仿宋_GB2312" w:hAnsi="仿宋_GB2312" w:eastAsia="仿宋_GB2312" w:cs="仿宋_GB2312"/>
                <w:sz w:val="20"/>
                <w:szCs w:val="20"/>
              </w:rPr>
            </w:pPr>
          </w:p>
        </w:tc>
        <w:tc>
          <w:tcPr>
            <w:tcW w:w="555" w:type="dxa"/>
            <w:vMerge w:val="continue"/>
          </w:tcPr>
          <w:p w14:paraId="498E73CA">
            <w:pPr>
              <w:spacing w:line="240" w:lineRule="atLeast"/>
              <w:jc w:val="left"/>
              <w:rPr>
                <w:rFonts w:ascii="仿宋_GB2312" w:hAnsi="仿宋_GB2312" w:eastAsia="仿宋_GB2312" w:cs="仿宋_GB2312"/>
                <w:sz w:val="20"/>
                <w:szCs w:val="20"/>
              </w:rPr>
            </w:pPr>
          </w:p>
        </w:tc>
        <w:tc>
          <w:tcPr>
            <w:tcW w:w="784" w:type="dxa"/>
            <w:vAlign w:val="center"/>
          </w:tcPr>
          <w:p w14:paraId="01F072D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158BD9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A641C4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8B3E9A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39081B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1C5B9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0DCE37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68448D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8047C5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8774B4B">
            <w:pPr>
              <w:spacing w:line="240" w:lineRule="atLeast"/>
              <w:jc w:val="left"/>
              <w:rPr>
                <w:rFonts w:ascii="仿宋_GB2312" w:hAnsi="仿宋_GB2312" w:eastAsia="仿宋_GB2312" w:cs="仿宋_GB2312"/>
                <w:sz w:val="20"/>
                <w:szCs w:val="20"/>
              </w:rPr>
            </w:pPr>
          </w:p>
        </w:tc>
      </w:tr>
      <w:tr w14:paraId="471A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C954A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82</w:t>
            </w:r>
          </w:p>
        </w:tc>
        <w:tc>
          <w:tcPr>
            <w:tcW w:w="555" w:type="dxa"/>
            <w:vAlign w:val="center"/>
          </w:tcPr>
          <w:p w14:paraId="3B7F9A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0BF9F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B2B655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F9653B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对采矿权人逾期履行地质环境治理责任行为的处罚</w:t>
            </w:r>
          </w:p>
        </w:tc>
        <w:tc>
          <w:tcPr>
            <w:tcW w:w="660" w:type="dxa"/>
            <w:vAlign w:val="center"/>
          </w:tcPr>
          <w:p w14:paraId="6C95D853">
            <w:pPr>
              <w:snapToGrid w:val="0"/>
              <w:spacing w:line="240" w:lineRule="atLeast"/>
              <w:jc w:val="center"/>
              <w:rPr>
                <w:rFonts w:ascii="仿宋_GB2312" w:hAnsi="仿宋_GB2312" w:eastAsia="仿宋_GB2312" w:cs="仿宋_GB2312"/>
                <w:sz w:val="20"/>
                <w:szCs w:val="20"/>
              </w:rPr>
            </w:pPr>
          </w:p>
        </w:tc>
        <w:tc>
          <w:tcPr>
            <w:tcW w:w="615" w:type="dxa"/>
            <w:vAlign w:val="center"/>
          </w:tcPr>
          <w:p w14:paraId="35D5E2D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D21F9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AAB9C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地质环境保护条例》（2006年3月30日广西壮族自治区第十届人民代表大会常务委员会第十九次会议通过，2019年7月25日广西壮族自治区第十三届人民代表大会常务委员会第十次会议修正）第十二条：采矿权人在采矿过程中，应当履行下列地质环境治理责任：</w:t>
            </w:r>
          </w:p>
          <w:p w14:paraId="3C7E326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（一）整治被破坏的土地、河道、航道，使之能够种植、养殖、行洪、通航或者可供其他利用；</w:t>
            </w:r>
          </w:p>
          <w:p w14:paraId="362C19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（二）整修露天采矿的边坡、断面并种草植树，使之与周围环境相协调；</w:t>
            </w:r>
          </w:p>
          <w:p w14:paraId="7A756B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（三）消除崩塌、滑坡、泥石流、地面塌陷等地质灾害隐患；</w:t>
            </w:r>
          </w:p>
          <w:p w14:paraId="6AE629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（四）采取封闭、充填或者人工放顶等措施，使地下井巷采空区及其地面安全稳定；</w:t>
            </w:r>
          </w:p>
          <w:p w14:paraId="7CD4DE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（五）法律、法规规定的其他地质环境治理责任。</w:t>
            </w:r>
          </w:p>
          <w:p w14:paraId="27B7B27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第二十二条： 违反本条例第十二条规定，采矿权人未依法履行地质环境治理责任的，由县级以上人民政府国土资源行政主管部门责令限期治理；逾期不治理的，可以处2万元以上20万元以下的罚款。</w:t>
            </w:r>
          </w:p>
        </w:tc>
        <w:tc>
          <w:tcPr>
            <w:tcW w:w="3585" w:type="dxa"/>
            <w:vAlign w:val="center"/>
          </w:tcPr>
          <w:p w14:paraId="0B5A7A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D1384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279F47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4E64F1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D6B43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9D10F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A589F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08431E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627B44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A33560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6219E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387649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7EAB2D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FC7495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470F95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075760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F78DF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F19EE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F2EAD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E17AC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03D01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A048C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9056C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470F1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C6D70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5277C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85D52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3E6482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1B86519">
            <w:pPr>
              <w:snapToGrid w:val="0"/>
              <w:spacing w:line="240" w:lineRule="atLeast"/>
              <w:jc w:val="center"/>
              <w:rPr>
                <w:rFonts w:ascii="仿宋_GB2312" w:hAnsi="仿宋_GB2312" w:eastAsia="仿宋_GB2312" w:cs="仿宋_GB2312"/>
                <w:sz w:val="20"/>
                <w:szCs w:val="20"/>
              </w:rPr>
            </w:pPr>
          </w:p>
        </w:tc>
      </w:tr>
    </w:tbl>
    <w:p w14:paraId="3CA2630B"/>
    <w:p w14:paraId="07F0754B"/>
    <w:p w14:paraId="3C078B1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E0C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7F94BA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264F13F">
            <w:pPr>
              <w:spacing w:line="240" w:lineRule="atLeast"/>
              <w:rPr>
                <w:rFonts w:asciiTheme="majorEastAsia" w:hAnsiTheme="majorEastAsia" w:eastAsiaTheme="majorEastAsia" w:cstheme="majorEastAsia"/>
                <w:spacing w:val="-20"/>
                <w:sz w:val="20"/>
                <w:szCs w:val="20"/>
              </w:rPr>
            </w:pPr>
          </w:p>
          <w:p w14:paraId="3A5917B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9A395D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88A811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48983B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EC2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88D12C0">
            <w:pPr>
              <w:spacing w:line="240" w:lineRule="atLeast"/>
              <w:jc w:val="left"/>
              <w:rPr>
                <w:rFonts w:ascii="仿宋_GB2312" w:hAnsi="仿宋_GB2312" w:eastAsia="仿宋_GB2312" w:cs="仿宋_GB2312"/>
                <w:sz w:val="20"/>
                <w:szCs w:val="20"/>
              </w:rPr>
            </w:pPr>
          </w:p>
        </w:tc>
        <w:tc>
          <w:tcPr>
            <w:tcW w:w="555" w:type="dxa"/>
            <w:vMerge w:val="continue"/>
          </w:tcPr>
          <w:p w14:paraId="0AB9B4E1">
            <w:pPr>
              <w:spacing w:line="240" w:lineRule="atLeast"/>
              <w:jc w:val="left"/>
              <w:rPr>
                <w:rFonts w:ascii="仿宋_GB2312" w:hAnsi="仿宋_GB2312" w:eastAsia="仿宋_GB2312" w:cs="仿宋_GB2312"/>
                <w:sz w:val="20"/>
                <w:szCs w:val="20"/>
              </w:rPr>
            </w:pPr>
          </w:p>
        </w:tc>
        <w:tc>
          <w:tcPr>
            <w:tcW w:w="784" w:type="dxa"/>
            <w:vAlign w:val="center"/>
          </w:tcPr>
          <w:p w14:paraId="5238A2A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12AD4E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14E650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395E60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940569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B496B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17528E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B25098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E65692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D7FA337">
            <w:pPr>
              <w:spacing w:line="240" w:lineRule="atLeast"/>
              <w:jc w:val="left"/>
              <w:rPr>
                <w:rFonts w:ascii="仿宋_GB2312" w:hAnsi="仿宋_GB2312" w:eastAsia="仿宋_GB2312" w:cs="仿宋_GB2312"/>
                <w:sz w:val="20"/>
                <w:szCs w:val="20"/>
              </w:rPr>
            </w:pPr>
          </w:p>
        </w:tc>
      </w:tr>
      <w:tr w14:paraId="4E14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D8193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83</w:t>
            </w:r>
          </w:p>
        </w:tc>
        <w:tc>
          <w:tcPr>
            <w:tcW w:w="555" w:type="dxa"/>
            <w:vAlign w:val="center"/>
          </w:tcPr>
          <w:p w14:paraId="697CF6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AD85E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50C95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DE5776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对违反规定侵占、损毁和擅自移动地质环境监测和保护标志、设施，非法买卖和擅自采掘古生物化石，工程建设采石、施工开挖破坏地质地貌不予绿化或者治理行为的处罚</w:t>
            </w:r>
          </w:p>
        </w:tc>
        <w:tc>
          <w:tcPr>
            <w:tcW w:w="660" w:type="dxa"/>
            <w:vAlign w:val="center"/>
          </w:tcPr>
          <w:p w14:paraId="2C2C34FC">
            <w:pPr>
              <w:snapToGrid w:val="0"/>
              <w:spacing w:line="240" w:lineRule="atLeast"/>
              <w:jc w:val="center"/>
              <w:rPr>
                <w:rFonts w:ascii="仿宋_GB2312" w:hAnsi="仿宋_GB2312" w:eastAsia="仿宋_GB2312" w:cs="仿宋_GB2312"/>
                <w:sz w:val="20"/>
                <w:szCs w:val="20"/>
              </w:rPr>
            </w:pPr>
          </w:p>
        </w:tc>
        <w:tc>
          <w:tcPr>
            <w:tcW w:w="615" w:type="dxa"/>
            <w:vAlign w:val="center"/>
          </w:tcPr>
          <w:p w14:paraId="1B1BCF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C9CB3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760F1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地质环境保护条例》（2006年3月30日广西壮族自治区第十届人民代表大会常务委员会第十九次会议通过，2019年7月25日广西壮族自治区第十三届人民代表大会常务委员会第十次会议修正） 第二十三条：违反本条例规定，有下列情形之一的，由县级以上人民政府国土资源行政主管部门责令改正或者停止违法行为；有违法所得的，没收违法所得；情节严重的，可以并处5千元以上5万元以下的罚款：</w:t>
            </w:r>
          </w:p>
          <w:p w14:paraId="684768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（一）侵占、损毁和擅自移动地质环境监测和保护标志、设施的；</w:t>
            </w:r>
          </w:p>
          <w:p w14:paraId="4C935B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（二）非法买卖和擅自采掘古生物化石的；</w:t>
            </w:r>
          </w:p>
          <w:p w14:paraId="10D606F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（三）工程建设采石、施工开挖破坏地质地貌不予绿化或者治理的。</w:t>
            </w:r>
          </w:p>
        </w:tc>
        <w:tc>
          <w:tcPr>
            <w:tcW w:w="3585" w:type="dxa"/>
            <w:vAlign w:val="center"/>
          </w:tcPr>
          <w:p w14:paraId="3DB631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FE160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AF3E4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34592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CDCE9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15C12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D56426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6C8332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472BB8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D35226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769A0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E95A3E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9A1FE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D7375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920A1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732B93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E9B9E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4C740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DE538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37378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F76C6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433BF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863D5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073D4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A646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E81E1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59557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ACD5AF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078DB0D">
            <w:pPr>
              <w:snapToGrid w:val="0"/>
              <w:spacing w:line="240" w:lineRule="atLeast"/>
              <w:jc w:val="center"/>
              <w:rPr>
                <w:rFonts w:ascii="仿宋_GB2312" w:hAnsi="仿宋_GB2312" w:eastAsia="仿宋_GB2312" w:cs="仿宋_GB2312"/>
                <w:sz w:val="20"/>
                <w:szCs w:val="20"/>
              </w:rPr>
            </w:pPr>
          </w:p>
        </w:tc>
      </w:tr>
    </w:tbl>
    <w:p w14:paraId="12C5F822"/>
    <w:p w14:paraId="42A656C0"/>
    <w:p w14:paraId="44A8E3B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9AB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FB34A4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1D5433B">
            <w:pPr>
              <w:spacing w:line="240" w:lineRule="atLeast"/>
              <w:rPr>
                <w:rFonts w:asciiTheme="majorEastAsia" w:hAnsiTheme="majorEastAsia" w:eastAsiaTheme="majorEastAsia" w:cstheme="majorEastAsia"/>
                <w:spacing w:val="-20"/>
                <w:sz w:val="20"/>
                <w:szCs w:val="20"/>
              </w:rPr>
            </w:pPr>
          </w:p>
          <w:p w14:paraId="1D45EE9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8BD44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C8225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D011EE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26C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89EDE27">
            <w:pPr>
              <w:spacing w:line="240" w:lineRule="atLeast"/>
              <w:jc w:val="left"/>
              <w:rPr>
                <w:rFonts w:ascii="仿宋_GB2312" w:hAnsi="仿宋_GB2312" w:eastAsia="仿宋_GB2312" w:cs="仿宋_GB2312"/>
                <w:sz w:val="20"/>
                <w:szCs w:val="20"/>
              </w:rPr>
            </w:pPr>
          </w:p>
        </w:tc>
        <w:tc>
          <w:tcPr>
            <w:tcW w:w="555" w:type="dxa"/>
            <w:vMerge w:val="continue"/>
          </w:tcPr>
          <w:p w14:paraId="7372B705">
            <w:pPr>
              <w:spacing w:line="240" w:lineRule="atLeast"/>
              <w:jc w:val="left"/>
              <w:rPr>
                <w:rFonts w:ascii="仿宋_GB2312" w:hAnsi="仿宋_GB2312" w:eastAsia="仿宋_GB2312" w:cs="仿宋_GB2312"/>
                <w:sz w:val="20"/>
                <w:szCs w:val="20"/>
              </w:rPr>
            </w:pPr>
          </w:p>
        </w:tc>
        <w:tc>
          <w:tcPr>
            <w:tcW w:w="784" w:type="dxa"/>
            <w:vAlign w:val="center"/>
          </w:tcPr>
          <w:p w14:paraId="46029A5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EFEBFD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8C2797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B8238F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EFB453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15A5C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34225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309E8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1B5A07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B1E8E90">
            <w:pPr>
              <w:spacing w:line="240" w:lineRule="atLeast"/>
              <w:jc w:val="left"/>
              <w:rPr>
                <w:rFonts w:ascii="仿宋_GB2312" w:hAnsi="仿宋_GB2312" w:eastAsia="仿宋_GB2312" w:cs="仿宋_GB2312"/>
                <w:sz w:val="20"/>
                <w:szCs w:val="20"/>
              </w:rPr>
            </w:pPr>
          </w:p>
        </w:tc>
      </w:tr>
      <w:tr w14:paraId="7E7D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1F767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84</w:t>
            </w:r>
          </w:p>
        </w:tc>
        <w:tc>
          <w:tcPr>
            <w:tcW w:w="555" w:type="dxa"/>
            <w:vAlign w:val="center"/>
          </w:tcPr>
          <w:p w14:paraId="08973E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A9628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F8D6B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284D1D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对违反规定侵占、破坏或者擅自开采钟乳石行为的处罚</w:t>
            </w:r>
          </w:p>
        </w:tc>
        <w:tc>
          <w:tcPr>
            <w:tcW w:w="660" w:type="dxa"/>
            <w:vAlign w:val="center"/>
          </w:tcPr>
          <w:p w14:paraId="2B414E9E">
            <w:pPr>
              <w:snapToGrid w:val="0"/>
              <w:spacing w:line="240" w:lineRule="atLeast"/>
              <w:jc w:val="center"/>
              <w:rPr>
                <w:rFonts w:ascii="仿宋_GB2312" w:hAnsi="仿宋_GB2312" w:eastAsia="仿宋_GB2312" w:cs="仿宋_GB2312"/>
                <w:sz w:val="20"/>
                <w:szCs w:val="20"/>
              </w:rPr>
            </w:pPr>
          </w:p>
        </w:tc>
        <w:tc>
          <w:tcPr>
            <w:tcW w:w="615" w:type="dxa"/>
            <w:vAlign w:val="center"/>
          </w:tcPr>
          <w:p w14:paraId="737B28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89B9F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69B997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四条：钟乳石资源属于国家所有，禁止任何组织或者个人侵占、破坏、擅自开采或者非法经营。</w:t>
            </w:r>
          </w:p>
          <w:p w14:paraId="7FB8788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一条：违反本条例第四条规定，侵占、破坏或者擅自开采钟乳石的，由县级以上自然资源主管部门责令停止违法行为、赔偿损失，没收采出的钟乳石和违法所得，可以并处二千元以上十万元以下的罚款；构成犯罪的，依法追究刑事责任。</w:t>
            </w:r>
          </w:p>
        </w:tc>
        <w:tc>
          <w:tcPr>
            <w:tcW w:w="3585" w:type="dxa"/>
            <w:vAlign w:val="center"/>
          </w:tcPr>
          <w:p w14:paraId="315F22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03CCE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A4A4D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D5FC4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C9CCD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479A16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AC4F2F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764989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5A2377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A8006A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28DC7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A1ABC5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496A4A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46158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B71C92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9D9C3F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48686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29FC5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CA629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A8F67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23EDF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6231B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E0947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B2B49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FDD6A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D363A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3DC3E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6BBFC0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2C67F66">
            <w:pPr>
              <w:snapToGrid w:val="0"/>
              <w:spacing w:line="240" w:lineRule="atLeast"/>
              <w:jc w:val="center"/>
              <w:rPr>
                <w:rFonts w:ascii="仿宋_GB2312" w:hAnsi="仿宋_GB2312" w:eastAsia="仿宋_GB2312" w:cs="仿宋_GB2312"/>
                <w:sz w:val="20"/>
                <w:szCs w:val="20"/>
              </w:rPr>
            </w:pPr>
          </w:p>
        </w:tc>
      </w:tr>
    </w:tbl>
    <w:p w14:paraId="27823CD6"/>
    <w:p w14:paraId="0D843886"/>
    <w:p w14:paraId="7310E58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C93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C8A4E4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DF1EB29">
            <w:pPr>
              <w:spacing w:line="240" w:lineRule="atLeast"/>
              <w:rPr>
                <w:rFonts w:asciiTheme="majorEastAsia" w:hAnsiTheme="majorEastAsia" w:eastAsiaTheme="majorEastAsia" w:cstheme="majorEastAsia"/>
                <w:spacing w:val="-20"/>
                <w:sz w:val="20"/>
                <w:szCs w:val="20"/>
              </w:rPr>
            </w:pPr>
          </w:p>
          <w:p w14:paraId="1EDFD69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A17D03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E568D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08661C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F0A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12C7A97">
            <w:pPr>
              <w:spacing w:line="240" w:lineRule="atLeast"/>
              <w:jc w:val="left"/>
              <w:rPr>
                <w:rFonts w:ascii="仿宋_GB2312" w:hAnsi="仿宋_GB2312" w:eastAsia="仿宋_GB2312" w:cs="仿宋_GB2312"/>
                <w:sz w:val="20"/>
                <w:szCs w:val="20"/>
              </w:rPr>
            </w:pPr>
          </w:p>
        </w:tc>
        <w:tc>
          <w:tcPr>
            <w:tcW w:w="555" w:type="dxa"/>
            <w:vMerge w:val="continue"/>
          </w:tcPr>
          <w:p w14:paraId="7DC9C2A0">
            <w:pPr>
              <w:spacing w:line="240" w:lineRule="atLeast"/>
              <w:jc w:val="left"/>
              <w:rPr>
                <w:rFonts w:ascii="仿宋_GB2312" w:hAnsi="仿宋_GB2312" w:eastAsia="仿宋_GB2312" w:cs="仿宋_GB2312"/>
                <w:sz w:val="20"/>
                <w:szCs w:val="20"/>
              </w:rPr>
            </w:pPr>
          </w:p>
        </w:tc>
        <w:tc>
          <w:tcPr>
            <w:tcW w:w="784" w:type="dxa"/>
            <w:vAlign w:val="center"/>
          </w:tcPr>
          <w:p w14:paraId="32D2438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894C58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545E1D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95813B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153E38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4186D4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A545EE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360578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132DB4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A243A7A">
            <w:pPr>
              <w:spacing w:line="240" w:lineRule="atLeast"/>
              <w:jc w:val="left"/>
              <w:rPr>
                <w:rFonts w:ascii="仿宋_GB2312" w:hAnsi="仿宋_GB2312" w:eastAsia="仿宋_GB2312" w:cs="仿宋_GB2312"/>
                <w:sz w:val="20"/>
                <w:szCs w:val="20"/>
              </w:rPr>
            </w:pPr>
          </w:p>
        </w:tc>
      </w:tr>
      <w:tr w14:paraId="4C14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BD549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85</w:t>
            </w:r>
          </w:p>
        </w:tc>
        <w:tc>
          <w:tcPr>
            <w:tcW w:w="555" w:type="dxa"/>
            <w:vAlign w:val="center"/>
          </w:tcPr>
          <w:p w14:paraId="71F635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36E55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53F0F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67A808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对违反规定未取得采矿许可证擅自采集钟乳石行为的处罚</w:t>
            </w:r>
          </w:p>
        </w:tc>
        <w:tc>
          <w:tcPr>
            <w:tcW w:w="660" w:type="dxa"/>
            <w:vAlign w:val="center"/>
          </w:tcPr>
          <w:p w14:paraId="7226984A">
            <w:pPr>
              <w:snapToGrid w:val="0"/>
              <w:spacing w:line="240" w:lineRule="atLeast"/>
              <w:jc w:val="center"/>
              <w:rPr>
                <w:rFonts w:ascii="仿宋_GB2312" w:hAnsi="仿宋_GB2312" w:eastAsia="仿宋_GB2312" w:cs="仿宋_GB2312"/>
                <w:sz w:val="20"/>
                <w:szCs w:val="20"/>
              </w:rPr>
            </w:pPr>
          </w:p>
        </w:tc>
        <w:tc>
          <w:tcPr>
            <w:tcW w:w="615" w:type="dxa"/>
            <w:vAlign w:val="center"/>
          </w:tcPr>
          <w:p w14:paraId="2A1FF5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BEBD8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2A15CA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七条：因铁路、公路、桥梁、机场、水利等重大工程建设致使钟乳石洞穴中的钟乳石无法保留，确需采集该洞穴内钟乳石的，建设单位应当及时向当地县级以上自然资源主管部门报告。采集人应当向自治区自然资源主管部门申请领取采矿许可证后，方可采集。</w:t>
            </w:r>
          </w:p>
          <w:p w14:paraId="1721733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第二十二条：违反本条例第七条规定，未取得采矿许可证擅自采集钟乳石的，由县级以上自然资源主管部门责令停止采集、赔偿损失，没收采出的钟乳石；情节严重的，可以并处二千元以上十万元以下的罚款。</w:t>
            </w:r>
          </w:p>
        </w:tc>
        <w:tc>
          <w:tcPr>
            <w:tcW w:w="3585" w:type="dxa"/>
            <w:vAlign w:val="center"/>
          </w:tcPr>
          <w:p w14:paraId="707685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E3B43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43FBB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207FB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4A2EE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27664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74057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19D3B8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58B8E5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912837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B3781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2C611E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74310E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FD53F8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713CA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179B62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FBB1E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B0EFF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7F694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DCDED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0C22C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5F14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3E270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3992B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4F00D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C7511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DAB32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577482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A0D773F">
            <w:pPr>
              <w:snapToGrid w:val="0"/>
              <w:spacing w:line="240" w:lineRule="atLeast"/>
              <w:jc w:val="center"/>
              <w:rPr>
                <w:rFonts w:ascii="仿宋_GB2312" w:hAnsi="仿宋_GB2312" w:eastAsia="仿宋_GB2312" w:cs="仿宋_GB2312"/>
                <w:sz w:val="20"/>
                <w:szCs w:val="20"/>
              </w:rPr>
            </w:pPr>
          </w:p>
        </w:tc>
      </w:tr>
    </w:tbl>
    <w:p w14:paraId="5C4FB3FE"/>
    <w:p w14:paraId="29D658D8"/>
    <w:p w14:paraId="24D8E11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A8A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C5EF2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E91E7EE">
            <w:pPr>
              <w:spacing w:line="240" w:lineRule="atLeast"/>
              <w:rPr>
                <w:rFonts w:asciiTheme="majorEastAsia" w:hAnsiTheme="majorEastAsia" w:eastAsiaTheme="majorEastAsia" w:cstheme="majorEastAsia"/>
                <w:spacing w:val="-20"/>
                <w:sz w:val="20"/>
                <w:szCs w:val="20"/>
              </w:rPr>
            </w:pPr>
          </w:p>
          <w:p w14:paraId="461A8F1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034809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DA7E01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856C2F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FF1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B37F24E">
            <w:pPr>
              <w:spacing w:line="240" w:lineRule="atLeast"/>
              <w:jc w:val="left"/>
              <w:rPr>
                <w:rFonts w:ascii="仿宋_GB2312" w:hAnsi="仿宋_GB2312" w:eastAsia="仿宋_GB2312" w:cs="仿宋_GB2312"/>
                <w:sz w:val="20"/>
                <w:szCs w:val="20"/>
              </w:rPr>
            </w:pPr>
          </w:p>
        </w:tc>
        <w:tc>
          <w:tcPr>
            <w:tcW w:w="555" w:type="dxa"/>
            <w:vMerge w:val="continue"/>
          </w:tcPr>
          <w:p w14:paraId="6685554D">
            <w:pPr>
              <w:spacing w:line="240" w:lineRule="atLeast"/>
              <w:jc w:val="left"/>
              <w:rPr>
                <w:rFonts w:ascii="仿宋_GB2312" w:hAnsi="仿宋_GB2312" w:eastAsia="仿宋_GB2312" w:cs="仿宋_GB2312"/>
                <w:sz w:val="20"/>
                <w:szCs w:val="20"/>
              </w:rPr>
            </w:pPr>
          </w:p>
        </w:tc>
        <w:tc>
          <w:tcPr>
            <w:tcW w:w="784" w:type="dxa"/>
            <w:vAlign w:val="center"/>
          </w:tcPr>
          <w:p w14:paraId="1832CC1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7942D1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6CAC46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D55DB8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DBC0CD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5FD8F5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556016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5045A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6AE9C7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3650796">
            <w:pPr>
              <w:spacing w:line="240" w:lineRule="atLeast"/>
              <w:jc w:val="left"/>
              <w:rPr>
                <w:rFonts w:ascii="仿宋_GB2312" w:hAnsi="仿宋_GB2312" w:eastAsia="仿宋_GB2312" w:cs="仿宋_GB2312"/>
                <w:sz w:val="20"/>
                <w:szCs w:val="20"/>
              </w:rPr>
            </w:pPr>
          </w:p>
        </w:tc>
      </w:tr>
      <w:tr w14:paraId="1156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6B23E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86</w:t>
            </w:r>
          </w:p>
        </w:tc>
        <w:tc>
          <w:tcPr>
            <w:tcW w:w="555" w:type="dxa"/>
            <w:vAlign w:val="center"/>
          </w:tcPr>
          <w:p w14:paraId="1EC0ED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55A07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BA028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9FFA26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对违反规定出售钟乳石样品行为的处罚</w:t>
            </w:r>
          </w:p>
        </w:tc>
        <w:tc>
          <w:tcPr>
            <w:tcW w:w="660" w:type="dxa"/>
            <w:vAlign w:val="center"/>
          </w:tcPr>
          <w:p w14:paraId="60DC5313">
            <w:pPr>
              <w:snapToGrid w:val="0"/>
              <w:spacing w:line="240" w:lineRule="atLeast"/>
              <w:jc w:val="center"/>
              <w:rPr>
                <w:rFonts w:ascii="仿宋_GB2312" w:hAnsi="仿宋_GB2312" w:eastAsia="仿宋_GB2312" w:cs="仿宋_GB2312"/>
                <w:sz w:val="20"/>
                <w:szCs w:val="20"/>
              </w:rPr>
            </w:pPr>
          </w:p>
        </w:tc>
        <w:tc>
          <w:tcPr>
            <w:tcW w:w="615" w:type="dxa"/>
            <w:vAlign w:val="center"/>
          </w:tcPr>
          <w:p w14:paraId="261699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BC410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7673D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八条第二款 ：依照前款规定采集的钟乳石样品，不得出售。</w:t>
            </w:r>
          </w:p>
          <w:p w14:paraId="2D949A5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第二十三条：违反本条例第八条第二款规定，出售钟乳石样品的，由县级以上自然资源主管部门没收违法所得，可以并处一万元以下的罚款。</w:t>
            </w:r>
          </w:p>
        </w:tc>
        <w:tc>
          <w:tcPr>
            <w:tcW w:w="3585" w:type="dxa"/>
            <w:vAlign w:val="center"/>
          </w:tcPr>
          <w:p w14:paraId="7D4727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99CA8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6DAB9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A3EAA6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738BC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D1BED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38A26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44F27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D93D22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DD3A55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5A97C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3818B7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CE8B32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88B77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050BA3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A593FE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D3B27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C8A05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26D39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33521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03531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4C2DC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ECEB2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F3108E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04707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68F95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71A5F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98F5AC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1C46A1E">
            <w:pPr>
              <w:snapToGrid w:val="0"/>
              <w:spacing w:line="240" w:lineRule="atLeast"/>
              <w:jc w:val="center"/>
              <w:rPr>
                <w:rFonts w:ascii="仿宋_GB2312" w:hAnsi="仿宋_GB2312" w:eastAsia="仿宋_GB2312" w:cs="仿宋_GB2312"/>
                <w:sz w:val="20"/>
                <w:szCs w:val="20"/>
              </w:rPr>
            </w:pPr>
          </w:p>
        </w:tc>
      </w:tr>
    </w:tbl>
    <w:p w14:paraId="4E981B26"/>
    <w:p w14:paraId="4DC3A0BE"/>
    <w:p w14:paraId="240D710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EB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C6218F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868CC14">
            <w:pPr>
              <w:spacing w:line="240" w:lineRule="atLeast"/>
              <w:rPr>
                <w:rFonts w:asciiTheme="majorEastAsia" w:hAnsiTheme="majorEastAsia" w:eastAsiaTheme="majorEastAsia" w:cstheme="majorEastAsia"/>
                <w:spacing w:val="-20"/>
                <w:sz w:val="20"/>
                <w:szCs w:val="20"/>
              </w:rPr>
            </w:pPr>
          </w:p>
          <w:p w14:paraId="2FB9138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1DCDA6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ABB184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866128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EC9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EF81125">
            <w:pPr>
              <w:spacing w:line="240" w:lineRule="atLeast"/>
              <w:jc w:val="left"/>
              <w:rPr>
                <w:rFonts w:ascii="仿宋_GB2312" w:hAnsi="仿宋_GB2312" w:eastAsia="仿宋_GB2312" w:cs="仿宋_GB2312"/>
                <w:sz w:val="20"/>
                <w:szCs w:val="20"/>
              </w:rPr>
            </w:pPr>
          </w:p>
        </w:tc>
        <w:tc>
          <w:tcPr>
            <w:tcW w:w="555" w:type="dxa"/>
            <w:vMerge w:val="continue"/>
          </w:tcPr>
          <w:p w14:paraId="69B711FE">
            <w:pPr>
              <w:spacing w:line="240" w:lineRule="atLeast"/>
              <w:jc w:val="left"/>
              <w:rPr>
                <w:rFonts w:ascii="仿宋_GB2312" w:hAnsi="仿宋_GB2312" w:eastAsia="仿宋_GB2312" w:cs="仿宋_GB2312"/>
                <w:sz w:val="20"/>
                <w:szCs w:val="20"/>
              </w:rPr>
            </w:pPr>
          </w:p>
        </w:tc>
        <w:tc>
          <w:tcPr>
            <w:tcW w:w="784" w:type="dxa"/>
            <w:vAlign w:val="center"/>
          </w:tcPr>
          <w:p w14:paraId="06C7B41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91C0A7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E83258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FC5137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2F1B44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7E3AF3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BC1490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9CCF2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7EB5B1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7D2FA63">
            <w:pPr>
              <w:spacing w:line="240" w:lineRule="atLeast"/>
              <w:jc w:val="left"/>
              <w:rPr>
                <w:rFonts w:ascii="仿宋_GB2312" w:hAnsi="仿宋_GB2312" w:eastAsia="仿宋_GB2312" w:cs="仿宋_GB2312"/>
                <w:sz w:val="20"/>
                <w:szCs w:val="20"/>
              </w:rPr>
            </w:pPr>
          </w:p>
        </w:tc>
      </w:tr>
      <w:tr w14:paraId="2D61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51DC6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87</w:t>
            </w:r>
          </w:p>
        </w:tc>
        <w:tc>
          <w:tcPr>
            <w:tcW w:w="555" w:type="dxa"/>
            <w:vAlign w:val="center"/>
          </w:tcPr>
          <w:p w14:paraId="28EC7D6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E7B82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44D45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F35270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对违反规定未按照批准的采集方案采集或者使用破坏性的爆破、击打等方式采集钟乳石行为的处罚</w:t>
            </w:r>
          </w:p>
        </w:tc>
        <w:tc>
          <w:tcPr>
            <w:tcW w:w="660" w:type="dxa"/>
            <w:vAlign w:val="center"/>
          </w:tcPr>
          <w:p w14:paraId="4ABE695A">
            <w:pPr>
              <w:snapToGrid w:val="0"/>
              <w:spacing w:line="240" w:lineRule="atLeast"/>
              <w:jc w:val="center"/>
              <w:rPr>
                <w:rFonts w:ascii="仿宋_GB2312" w:hAnsi="仿宋_GB2312" w:eastAsia="仿宋_GB2312" w:cs="仿宋_GB2312"/>
                <w:sz w:val="20"/>
                <w:szCs w:val="20"/>
              </w:rPr>
            </w:pPr>
          </w:p>
        </w:tc>
        <w:tc>
          <w:tcPr>
            <w:tcW w:w="615" w:type="dxa"/>
            <w:vAlign w:val="center"/>
          </w:tcPr>
          <w:p w14:paraId="68AC64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620F3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4DF83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一条：钟乳石采集人必须按照批准的采集方案采集，禁止使用破坏性的爆破、击打等方式采集钟乳石。</w:t>
            </w:r>
          </w:p>
          <w:p w14:paraId="17881D4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四条：违反本条例第十一条规定，未按照批准的采集方案采集或者使用破坏性的爆破、击打等方式采集钟乳石的，由县级以上自然资源主管部门处以一千元以上五万元以下的罚款，可以并处吊销采矿许可证；造成矿产资源严重破坏的，依照刑法有关规定对直接责任人员追究刑事责任。</w:t>
            </w:r>
          </w:p>
        </w:tc>
        <w:tc>
          <w:tcPr>
            <w:tcW w:w="3585" w:type="dxa"/>
            <w:vAlign w:val="center"/>
          </w:tcPr>
          <w:p w14:paraId="276F788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FB18D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C0194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24580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23D68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520AD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64447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434F4E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8C21D5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5ED32A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1F255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4DCB98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9597D0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3B7FA6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CCCCA9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183926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C1901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8B7C6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811D5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56A61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F0144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4AA6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8DB69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D1B73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D164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0E704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20D89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5324B2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7EAE74F">
            <w:pPr>
              <w:snapToGrid w:val="0"/>
              <w:spacing w:line="240" w:lineRule="atLeast"/>
              <w:jc w:val="center"/>
              <w:rPr>
                <w:rFonts w:ascii="仿宋_GB2312" w:hAnsi="仿宋_GB2312" w:eastAsia="仿宋_GB2312" w:cs="仿宋_GB2312"/>
                <w:sz w:val="20"/>
                <w:szCs w:val="20"/>
              </w:rPr>
            </w:pPr>
          </w:p>
        </w:tc>
      </w:tr>
    </w:tbl>
    <w:p w14:paraId="189F0AF9"/>
    <w:p w14:paraId="2F3501CA"/>
    <w:p w14:paraId="60061F8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611"/>
        <w:gridCol w:w="784"/>
        <w:gridCol w:w="660"/>
        <w:gridCol w:w="615"/>
        <w:gridCol w:w="1110"/>
        <w:gridCol w:w="4605"/>
        <w:gridCol w:w="3585"/>
        <w:gridCol w:w="9515"/>
        <w:gridCol w:w="330"/>
      </w:tblGrid>
      <w:tr w14:paraId="0652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55" w:type="dxa"/>
            <w:vMerge w:val="restart"/>
            <w:vAlign w:val="center"/>
          </w:tcPr>
          <w:p w14:paraId="4AA84DD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611" w:type="dxa"/>
            <w:vMerge w:val="restart"/>
            <w:vAlign w:val="center"/>
          </w:tcPr>
          <w:p w14:paraId="20FF934F">
            <w:pPr>
              <w:spacing w:line="240" w:lineRule="atLeast"/>
              <w:rPr>
                <w:rFonts w:asciiTheme="majorEastAsia" w:hAnsiTheme="majorEastAsia" w:eastAsiaTheme="majorEastAsia" w:cstheme="majorEastAsia"/>
                <w:spacing w:val="-20"/>
                <w:sz w:val="20"/>
                <w:szCs w:val="20"/>
              </w:rPr>
            </w:pPr>
          </w:p>
          <w:p w14:paraId="41EA165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B40D29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38D493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3CB86C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7CC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55" w:type="dxa"/>
            <w:vMerge w:val="continue"/>
          </w:tcPr>
          <w:p w14:paraId="0C398977">
            <w:pPr>
              <w:spacing w:line="240" w:lineRule="atLeast"/>
              <w:jc w:val="left"/>
              <w:rPr>
                <w:rFonts w:ascii="仿宋_GB2312" w:hAnsi="仿宋_GB2312" w:eastAsia="仿宋_GB2312" w:cs="仿宋_GB2312"/>
                <w:sz w:val="20"/>
                <w:szCs w:val="20"/>
              </w:rPr>
            </w:pPr>
          </w:p>
        </w:tc>
        <w:tc>
          <w:tcPr>
            <w:tcW w:w="611" w:type="dxa"/>
            <w:vMerge w:val="continue"/>
          </w:tcPr>
          <w:p w14:paraId="0AEE8167">
            <w:pPr>
              <w:spacing w:line="240" w:lineRule="atLeast"/>
              <w:jc w:val="left"/>
              <w:rPr>
                <w:rFonts w:ascii="仿宋_GB2312" w:hAnsi="仿宋_GB2312" w:eastAsia="仿宋_GB2312" w:cs="仿宋_GB2312"/>
                <w:sz w:val="20"/>
                <w:szCs w:val="20"/>
              </w:rPr>
            </w:pPr>
          </w:p>
        </w:tc>
        <w:tc>
          <w:tcPr>
            <w:tcW w:w="784" w:type="dxa"/>
            <w:vAlign w:val="center"/>
          </w:tcPr>
          <w:p w14:paraId="49F4BF4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034695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FB6B71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B83C74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8E2E67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C53DFC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890C63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3CFA5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BC9E43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9CF7056">
            <w:pPr>
              <w:spacing w:line="240" w:lineRule="atLeast"/>
              <w:jc w:val="left"/>
              <w:rPr>
                <w:rFonts w:ascii="仿宋_GB2312" w:hAnsi="仿宋_GB2312" w:eastAsia="仿宋_GB2312" w:cs="仿宋_GB2312"/>
                <w:sz w:val="20"/>
                <w:szCs w:val="20"/>
              </w:rPr>
            </w:pPr>
          </w:p>
        </w:tc>
      </w:tr>
      <w:tr w14:paraId="0363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555" w:type="dxa"/>
            <w:vAlign w:val="center"/>
          </w:tcPr>
          <w:p w14:paraId="2CFE05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88</w:t>
            </w:r>
          </w:p>
        </w:tc>
        <w:tc>
          <w:tcPr>
            <w:tcW w:w="611" w:type="dxa"/>
            <w:vAlign w:val="center"/>
          </w:tcPr>
          <w:p w14:paraId="38D1F5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82F77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4C4D0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8FD077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对违反规定未经批准擅自开发钟乳石洞穴进行旅游活动行为的处罚</w:t>
            </w:r>
          </w:p>
        </w:tc>
        <w:tc>
          <w:tcPr>
            <w:tcW w:w="660" w:type="dxa"/>
            <w:vAlign w:val="center"/>
          </w:tcPr>
          <w:p w14:paraId="24A5260C">
            <w:pPr>
              <w:snapToGrid w:val="0"/>
              <w:spacing w:line="240" w:lineRule="atLeast"/>
              <w:jc w:val="center"/>
              <w:rPr>
                <w:rFonts w:ascii="仿宋_GB2312" w:hAnsi="仿宋_GB2312" w:eastAsia="仿宋_GB2312" w:cs="仿宋_GB2312"/>
                <w:sz w:val="20"/>
                <w:szCs w:val="20"/>
              </w:rPr>
            </w:pPr>
          </w:p>
        </w:tc>
        <w:tc>
          <w:tcPr>
            <w:tcW w:w="615" w:type="dxa"/>
            <w:vAlign w:val="center"/>
          </w:tcPr>
          <w:p w14:paraId="42F1D8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F3BA7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18EB4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三条第一款 ：开发钟乳石洞穴进行旅游活动，由开发地设区的市自然资源主管部门征求设区的市文化和旅游主管部门的意见后批准。</w:t>
            </w:r>
          </w:p>
          <w:p w14:paraId="1219980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第二十五条：违反本条例第十三条第一款规定，未经批准擅自开发钟乳石洞穴进行旅游活动的，由县级以上自然资源主管部门给予警告，责令停止开发行为；情节严重的，可以并处二千元以上十万元以下的罚款。</w:t>
            </w:r>
          </w:p>
        </w:tc>
        <w:tc>
          <w:tcPr>
            <w:tcW w:w="3585" w:type="dxa"/>
            <w:vAlign w:val="center"/>
          </w:tcPr>
          <w:p w14:paraId="569C9E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2AF09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979764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F91D5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0EE22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C7974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CD480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A254EF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7E21DD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A1D8A0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FEDC1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46EF38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7DE78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F8C936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3A6C6E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1291FC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3B5A4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07C51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8C3BA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B84CAE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9C705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200C9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8958F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45EA0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E899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8A641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9B366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D621F8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4CFD7DF">
            <w:pPr>
              <w:snapToGrid w:val="0"/>
              <w:spacing w:line="240" w:lineRule="atLeast"/>
              <w:jc w:val="center"/>
              <w:rPr>
                <w:rFonts w:ascii="仿宋_GB2312" w:hAnsi="仿宋_GB2312" w:eastAsia="仿宋_GB2312" w:cs="仿宋_GB2312"/>
                <w:sz w:val="20"/>
                <w:szCs w:val="20"/>
              </w:rPr>
            </w:pPr>
          </w:p>
        </w:tc>
      </w:tr>
    </w:tbl>
    <w:p w14:paraId="468123EC"/>
    <w:p w14:paraId="35AA0356"/>
    <w:p w14:paraId="2E3B3AF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102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5A2664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F6979CF">
            <w:pPr>
              <w:spacing w:line="240" w:lineRule="atLeast"/>
              <w:rPr>
                <w:rFonts w:asciiTheme="majorEastAsia" w:hAnsiTheme="majorEastAsia" w:eastAsiaTheme="majorEastAsia" w:cstheme="majorEastAsia"/>
                <w:spacing w:val="-20"/>
                <w:sz w:val="20"/>
                <w:szCs w:val="20"/>
              </w:rPr>
            </w:pPr>
          </w:p>
          <w:p w14:paraId="0302AAE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8EBD50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70E85E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5E22CD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654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D2DCAB3">
            <w:pPr>
              <w:spacing w:line="240" w:lineRule="atLeast"/>
              <w:jc w:val="left"/>
              <w:rPr>
                <w:rFonts w:ascii="仿宋_GB2312" w:hAnsi="仿宋_GB2312" w:eastAsia="仿宋_GB2312" w:cs="仿宋_GB2312"/>
                <w:sz w:val="20"/>
                <w:szCs w:val="20"/>
              </w:rPr>
            </w:pPr>
          </w:p>
        </w:tc>
        <w:tc>
          <w:tcPr>
            <w:tcW w:w="555" w:type="dxa"/>
            <w:vMerge w:val="continue"/>
          </w:tcPr>
          <w:p w14:paraId="4B144A7C">
            <w:pPr>
              <w:spacing w:line="240" w:lineRule="atLeast"/>
              <w:jc w:val="left"/>
              <w:rPr>
                <w:rFonts w:ascii="仿宋_GB2312" w:hAnsi="仿宋_GB2312" w:eastAsia="仿宋_GB2312" w:cs="仿宋_GB2312"/>
                <w:sz w:val="20"/>
                <w:szCs w:val="20"/>
              </w:rPr>
            </w:pPr>
          </w:p>
        </w:tc>
        <w:tc>
          <w:tcPr>
            <w:tcW w:w="784" w:type="dxa"/>
            <w:vAlign w:val="center"/>
          </w:tcPr>
          <w:p w14:paraId="14AB8DF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CA09F9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C5FB9C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9E01D2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C9F6DF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750FEF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4FF961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874CDD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8C5891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2E94414">
            <w:pPr>
              <w:spacing w:line="240" w:lineRule="atLeast"/>
              <w:jc w:val="left"/>
              <w:rPr>
                <w:rFonts w:ascii="仿宋_GB2312" w:hAnsi="仿宋_GB2312" w:eastAsia="仿宋_GB2312" w:cs="仿宋_GB2312"/>
                <w:sz w:val="20"/>
                <w:szCs w:val="20"/>
              </w:rPr>
            </w:pPr>
          </w:p>
        </w:tc>
      </w:tr>
      <w:tr w14:paraId="12C4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D1546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89</w:t>
            </w:r>
          </w:p>
        </w:tc>
        <w:tc>
          <w:tcPr>
            <w:tcW w:w="555" w:type="dxa"/>
            <w:vAlign w:val="center"/>
          </w:tcPr>
          <w:p w14:paraId="3C3C2B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4361D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F0F4C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4E918F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对违反规定采集钟乳石的类型、数量、具体位置未经核准或者经核准后未委托有相应资质条件的专业人员采集行为的处罚</w:t>
            </w:r>
          </w:p>
        </w:tc>
        <w:tc>
          <w:tcPr>
            <w:tcW w:w="660" w:type="dxa"/>
            <w:vAlign w:val="center"/>
          </w:tcPr>
          <w:p w14:paraId="65EB2E8D">
            <w:pPr>
              <w:snapToGrid w:val="0"/>
              <w:spacing w:line="240" w:lineRule="atLeast"/>
              <w:jc w:val="center"/>
              <w:rPr>
                <w:rFonts w:ascii="仿宋_GB2312" w:hAnsi="仿宋_GB2312" w:eastAsia="仿宋_GB2312" w:cs="仿宋_GB2312"/>
                <w:sz w:val="20"/>
                <w:szCs w:val="20"/>
              </w:rPr>
            </w:pPr>
          </w:p>
        </w:tc>
        <w:tc>
          <w:tcPr>
            <w:tcW w:w="615" w:type="dxa"/>
            <w:vAlign w:val="center"/>
          </w:tcPr>
          <w:p w14:paraId="4F5489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14067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F4F464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四条第二款 ： 因兴建洞穴内游览道路、照明灯光等旅游设施确需采集钟乳石的，采集钟乳石的类型、数量、具体位置应当报自治区自然资源主管部门核准。</w:t>
            </w:r>
          </w:p>
          <w:p w14:paraId="4D50168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第二十六条：违反本条例第十四条第二款规定，采集钟乳石的类型、数量、具体位置未经核准的，由县级以上自然资源主管部门责令停止采集，可以并处一千元以上五万元以下的罚款。</w:t>
            </w:r>
          </w:p>
        </w:tc>
        <w:tc>
          <w:tcPr>
            <w:tcW w:w="3585" w:type="dxa"/>
            <w:vAlign w:val="center"/>
          </w:tcPr>
          <w:p w14:paraId="5CAE35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381E9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DFFD9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0CD4A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3D373F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3D4F3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3C28D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286260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6EB764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A02CD9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2F99D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DE5F7D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ABEC31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295A3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9CEA18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7406DF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38DBB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69AB4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13369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2DD12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9BA43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451C0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76270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F23FC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6C716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11DD7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818FD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01EB75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358310E">
            <w:pPr>
              <w:snapToGrid w:val="0"/>
              <w:spacing w:line="240" w:lineRule="atLeast"/>
              <w:jc w:val="center"/>
              <w:rPr>
                <w:rFonts w:ascii="仿宋_GB2312" w:hAnsi="仿宋_GB2312" w:eastAsia="仿宋_GB2312" w:cs="仿宋_GB2312"/>
                <w:sz w:val="20"/>
                <w:szCs w:val="20"/>
              </w:rPr>
            </w:pPr>
          </w:p>
        </w:tc>
      </w:tr>
    </w:tbl>
    <w:p w14:paraId="3BA8B4A7"/>
    <w:p w14:paraId="4D9CEC2B"/>
    <w:p w14:paraId="45CFA22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303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11770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71775AD">
            <w:pPr>
              <w:spacing w:line="240" w:lineRule="atLeast"/>
              <w:rPr>
                <w:rFonts w:asciiTheme="majorEastAsia" w:hAnsiTheme="majorEastAsia" w:eastAsiaTheme="majorEastAsia" w:cstheme="majorEastAsia"/>
                <w:spacing w:val="-20"/>
                <w:sz w:val="20"/>
                <w:szCs w:val="20"/>
              </w:rPr>
            </w:pPr>
          </w:p>
          <w:p w14:paraId="53C72DF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B61F7D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20928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1FA588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C05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7931CFD">
            <w:pPr>
              <w:spacing w:line="240" w:lineRule="atLeast"/>
              <w:jc w:val="left"/>
              <w:rPr>
                <w:rFonts w:ascii="仿宋_GB2312" w:hAnsi="仿宋_GB2312" w:eastAsia="仿宋_GB2312" w:cs="仿宋_GB2312"/>
                <w:sz w:val="20"/>
                <w:szCs w:val="20"/>
              </w:rPr>
            </w:pPr>
          </w:p>
        </w:tc>
        <w:tc>
          <w:tcPr>
            <w:tcW w:w="555" w:type="dxa"/>
            <w:vMerge w:val="continue"/>
          </w:tcPr>
          <w:p w14:paraId="369507D9">
            <w:pPr>
              <w:spacing w:line="240" w:lineRule="atLeast"/>
              <w:jc w:val="left"/>
              <w:rPr>
                <w:rFonts w:ascii="仿宋_GB2312" w:hAnsi="仿宋_GB2312" w:eastAsia="仿宋_GB2312" w:cs="仿宋_GB2312"/>
                <w:sz w:val="20"/>
                <w:szCs w:val="20"/>
              </w:rPr>
            </w:pPr>
          </w:p>
        </w:tc>
        <w:tc>
          <w:tcPr>
            <w:tcW w:w="784" w:type="dxa"/>
            <w:vAlign w:val="center"/>
          </w:tcPr>
          <w:p w14:paraId="1F0A521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88F1D2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1A1864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9F3BA0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5A0A45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1B4377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495A58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88E52F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C6373B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857635D">
            <w:pPr>
              <w:spacing w:line="240" w:lineRule="atLeast"/>
              <w:jc w:val="left"/>
              <w:rPr>
                <w:rFonts w:ascii="仿宋_GB2312" w:hAnsi="仿宋_GB2312" w:eastAsia="仿宋_GB2312" w:cs="仿宋_GB2312"/>
                <w:sz w:val="20"/>
                <w:szCs w:val="20"/>
              </w:rPr>
            </w:pPr>
          </w:p>
        </w:tc>
      </w:tr>
      <w:tr w14:paraId="125A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0DA0C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90</w:t>
            </w:r>
          </w:p>
        </w:tc>
        <w:tc>
          <w:tcPr>
            <w:tcW w:w="555" w:type="dxa"/>
            <w:vAlign w:val="center"/>
          </w:tcPr>
          <w:p w14:paraId="20C7C8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3B9A8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3B93B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84057B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对违反规定实施损坏钟乳石行为的处罚</w:t>
            </w:r>
          </w:p>
        </w:tc>
        <w:tc>
          <w:tcPr>
            <w:tcW w:w="660" w:type="dxa"/>
            <w:vAlign w:val="center"/>
          </w:tcPr>
          <w:p w14:paraId="19EC30FD">
            <w:pPr>
              <w:snapToGrid w:val="0"/>
              <w:spacing w:line="240" w:lineRule="atLeast"/>
              <w:jc w:val="center"/>
              <w:rPr>
                <w:rFonts w:ascii="仿宋_GB2312" w:hAnsi="仿宋_GB2312" w:eastAsia="仿宋_GB2312" w:cs="仿宋_GB2312"/>
                <w:sz w:val="20"/>
                <w:szCs w:val="20"/>
              </w:rPr>
            </w:pPr>
          </w:p>
        </w:tc>
        <w:tc>
          <w:tcPr>
            <w:tcW w:w="615" w:type="dxa"/>
            <w:vAlign w:val="center"/>
          </w:tcPr>
          <w:p w14:paraId="5F0412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FFF6B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A62ED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五条第二款：进入洞穴的旅游者和其他人员不得损坏钟乳石。</w:t>
            </w:r>
          </w:p>
          <w:p w14:paraId="3A1618E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第二十七条：违反本条例第十五条第二款规定，实施损坏钟乳石行为的，由县级以上自然资源主管部门给予警告，责令停止损坏行为；造成钟乳石损坏的，责令赔偿损失。</w:t>
            </w:r>
          </w:p>
        </w:tc>
        <w:tc>
          <w:tcPr>
            <w:tcW w:w="3585" w:type="dxa"/>
            <w:vAlign w:val="center"/>
          </w:tcPr>
          <w:p w14:paraId="32F4A4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9568A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24CC7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77BA2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E88A9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BD9FD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EF88A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1F837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C7AD13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EFBC5B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F1CC8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B9C0B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686A43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AB3D1D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C92DCA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4359E9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C59AD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8B122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DEE18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3C76C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6F587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E96C1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0938F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B58E0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EDFEA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18644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616E5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BF325C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7A91F74">
            <w:pPr>
              <w:snapToGrid w:val="0"/>
              <w:spacing w:line="240" w:lineRule="atLeast"/>
              <w:jc w:val="center"/>
              <w:rPr>
                <w:rFonts w:ascii="仿宋_GB2312" w:hAnsi="仿宋_GB2312" w:eastAsia="仿宋_GB2312" w:cs="仿宋_GB2312"/>
                <w:sz w:val="20"/>
                <w:szCs w:val="20"/>
              </w:rPr>
            </w:pPr>
          </w:p>
        </w:tc>
      </w:tr>
    </w:tbl>
    <w:p w14:paraId="2A002E65"/>
    <w:p w14:paraId="66B34FD8"/>
    <w:p w14:paraId="201241D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1054"/>
        <w:gridCol w:w="645"/>
        <w:gridCol w:w="645"/>
        <w:gridCol w:w="960"/>
        <w:gridCol w:w="4470"/>
        <w:gridCol w:w="3585"/>
        <w:gridCol w:w="9515"/>
        <w:gridCol w:w="330"/>
      </w:tblGrid>
      <w:tr w14:paraId="77A8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5C95CD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8AB73B6">
            <w:pPr>
              <w:spacing w:line="240" w:lineRule="atLeast"/>
              <w:rPr>
                <w:rFonts w:asciiTheme="majorEastAsia" w:hAnsiTheme="majorEastAsia" w:eastAsiaTheme="majorEastAsia" w:cstheme="majorEastAsia"/>
                <w:spacing w:val="-20"/>
                <w:sz w:val="20"/>
                <w:szCs w:val="20"/>
              </w:rPr>
            </w:pPr>
          </w:p>
          <w:p w14:paraId="1B5818C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7886FF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62BFC6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2C3768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04A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35AB078">
            <w:pPr>
              <w:spacing w:line="240" w:lineRule="atLeast"/>
              <w:jc w:val="left"/>
              <w:rPr>
                <w:rFonts w:ascii="仿宋_GB2312" w:hAnsi="仿宋_GB2312" w:eastAsia="仿宋_GB2312" w:cs="仿宋_GB2312"/>
                <w:sz w:val="20"/>
                <w:szCs w:val="20"/>
              </w:rPr>
            </w:pPr>
          </w:p>
        </w:tc>
        <w:tc>
          <w:tcPr>
            <w:tcW w:w="555" w:type="dxa"/>
            <w:vMerge w:val="continue"/>
          </w:tcPr>
          <w:p w14:paraId="7B533A42">
            <w:pPr>
              <w:spacing w:line="240" w:lineRule="atLeast"/>
              <w:jc w:val="left"/>
              <w:rPr>
                <w:rFonts w:ascii="仿宋_GB2312" w:hAnsi="仿宋_GB2312" w:eastAsia="仿宋_GB2312" w:cs="仿宋_GB2312"/>
                <w:sz w:val="20"/>
                <w:szCs w:val="20"/>
              </w:rPr>
            </w:pPr>
          </w:p>
        </w:tc>
        <w:tc>
          <w:tcPr>
            <w:tcW w:w="1054" w:type="dxa"/>
            <w:vAlign w:val="center"/>
          </w:tcPr>
          <w:p w14:paraId="2693D47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9FFF97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6DEAE6C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45" w:type="dxa"/>
            <w:vAlign w:val="center"/>
          </w:tcPr>
          <w:p w14:paraId="592A0B1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960" w:type="dxa"/>
            <w:vAlign w:val="center"/>
          </w:tcPr>
          <w:p w14:paraId="18AD89F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470" w:type="dxa"/>
            <w:vAlign w:val="center"/>
          </w:tcPr>
          <w:p w14:paraId="5C5E65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FF95EC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1A4396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4558C3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49AC8EB">
            <w:pPr>
              <w:spacing w:line="240" w:lineRule="atLeast"/>
              <w:jc w:val="left"/>
              <w:rPr>
                <w:rFonts w:ascii="仿宋_GB2312" w:hAnsi="仿宋_GB2312" w:eastAsia="仿宋_GB2312" w:cs="仿宋_GB2312"/>
                <w:sz w:val="20"/>
                <w:szCs w:val="20"/>
              </w:rPr>
            </w:pPr>
          </w:p>
        </w:tc>
      </w:tr>
      <w:tr w14:paraId="70D5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D85C7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91</w:t>
            </w:r>
          </w:p>
        </w:tc>
        <w:tc>
          <w:tcPr>
            <w:tcW w:w="555" w:type="dxa"/>
            <w:vAlign w:val="center"/>
          </w:tcPr>
          <w:p w14:paraId="2E2E05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398145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4B5CC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1054" w:type="dxa"/>
            <w:vAlign w:val="center"/>
          </w:tcPr>
          <w:p w14:paraId="4E00112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钟乳石经营者未在其经营的钟乳石上标明来源、采集的时间、地点和钟乳石类型、未随附该钟乳石采集人依法取得的采矿许可证复印件或者未将《广西壮族自治区钟乳石资源保护条例》施行前已采集的钟乳石的有关资料报送当地县级以上自然资源主管部门登记、造册行为的处罚</w:t>
            </w:r>
          </w:p>
        </w:tc>
        <w:tc>
          <w:tcPr>
            <w:tcW w:w="645" w:type="dxa"/>
            <w:vAlign w:val="center"/>
          </w:tcPr>
          <w:p w14:paraId="032BC513">
            <w:pPr>
              <w:snapToGrid w:val="0"/>
              <w:spacing w:line="240" w:lineRule="atLeast"/>
              <w:jc w:val="center"/>
              <w:rPr>
                <w:rFonts w:ascii="仿宋_GB2312" w:hAnsi="仿宋_GB2312" w:eastAsia="仿宋_GB2312" w:cs="仿宋_GB2312"/>
                <w:sz w:val="20"/>
                <w:szCs w:val="20"/>
              </w:rPr>
            </w:pPr>
          </w:p>
        </w:tc>
        <w:tc>
          <w:tcPr>
            <w:tcW w:w="645" w:type="dxa"/>
            <w:vAlign w:val="center"/>
          </w:tcPr>
          <w:p w14:paraId="2E2D7A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960" w:type="dxa"/>
            <w:vAlign w:val="center"/>
          </w:tcPr>
          <w:p w14:paraId="531E46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470" w:type="dxa"/>
            <w:vAlign w:val="center"/>
          </w:tcPr>
          <w:p w14:paraId="784E16A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二十八条第二款：钟乳石经营者违反本条例第十八条第二款、第四款规定，未在其经营的钟乳石上标明来源、采集的时间、地点和钟乳石类型、未随附该钟乳石采集人依法取得的采矿许可证复印件或者未将本条例施行前已采集的钟乳石的有关资料报送当地县级以上自然资源主管部门登记、造册的，由县级以上市场监督管理部门没收钟乳石和违法所得，可以并处货值一倍以下的罚款。</w:t>
            </w:r>
          </w:p>
        </w:tc>
        <w:tc>
          <w:tcPr>
            <w:tcW w:w="3585" w:type="dxa"/>
            <w:vAlign w:val="center"/>
          </w:tcPr>
          <w:p w14:paraId="42F44E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3C55C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C134C6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36788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0C3FF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3ABE98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80BC11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8F5AF9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8DE6D2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02D76E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3FA2D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A7958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42FACB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CD6254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ED461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8CDAB4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1BCBF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9FD82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72344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F5889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BF51D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E6493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02D93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D975D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2FDD1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835FB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B1C4B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63F3C7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12F17C8">
            <w:pPr>
              <w:snapToGrid w:val="0"/>
              <w:spacing w:line="240" w:lineRule="atLeast"/>
              <w:jc w:val="center"/>
              <w:rPr>
                <w:rFonts w:ascii="仿宋_GB2312" w:hAnsi="仿宋_GB2312" w:eastAsia="仿宋_GB2312" w:cs="仿宋_GB2312"/>
                <w:sz w:val="20"/>
                <w:szCs w:val="20"/>
              </w:rPr>
            </w:pPr>
          </w:p>
        </w:tc>
      </w:tr>
    </w:tbl>
    <w:p w14:paraId="3CDBB528"/>
    <w:p w14:paraId="5CF923BD"/>
    <w:p w14:paraId="756A74D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580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427AB7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BE2DFB3">
            <w:pPr>
              <w:spacing w:line="240" w:lineRule="atLeast"/>
              <w:rPr>
                <w:rFonts w:asciiTheme="majorEastAsia" w:hAnsiTheme="majorEastAsia" w:eastAsiaTheme="majorEastAsia" w:cstheme="majorEastAsia"/>
                <w:spacing w:val="-20"/>
                <w:sz w:val="20"/>
                <w:szCs w:val="20"/>
              </w:rPr>
            </w:pPr>
          </w:p>
          <w:p w14:paraId="5292282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28DFCE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0EF0DA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2D6BD8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FF0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0F9CB28">
            <w:pPr>
              <w:spacing w:line="240" w:lineRule="atLeast"/>
              <w:jc w:val="left"/>
              <w:rPr>
                <w:rFonts w:ascii="仿宋_GB2312" w:hAnsi="仿宋_GB2312" w:eastAsia="仿宋_GB2312" w:cs="仿宋_GB2312"/>
                <w:sz w:val="20"/>
                <w:szCs w:val="20"/>
              </w:rPr>
            </w:pPr>
          </w:p>
        </w:tc>
        <w:tc>
          <w:tcPr>
            <w:tcW w:w="555" w:type="dxa"/>
            <w:vMerge w:val="continue"/>
          </w:tcPr>
          <w:p w14:paraId="65B23904">
            <w:pPr>
              <w:spacing w:line="240" w:lineRule="atLeast"/>
              <w:jc w:val="left"/>
              <w:rPr>
                <w:rFonts w:ascii="仿宋_GB2312" w:hAnsi="仿宋_GB2312" w:eastAsia="仿宋_GB2312" w:cs="仿宋_GB2312"/>
                <w:sz w:val="20"/>
                <w:szCs w:val="20"/>
              </w:rPr>
            </w:pPr>
          </w:p>
        </w:tc>
        <w:tc>
          <w:tcPr>
            <w:tcW w:w="784" w:type="dxa"/>
            <w:vAlign w:val="center"/>
          </w:tcPr>
          <w:p w14:paraId="1FE293E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EB829D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9CACDA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1C12DC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0146DE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1DB7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062A4A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53314D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6968D3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17AF9A5">
            <w:pPr>
              <w:spacing w:line="240" w:lineRule="atLeast"/>
              <w:jc w:val="left"/>
              <w:rPr>
                <w:rFonts w:ascii="仿宋_GB2312" w:hAnsi="仿宋_GB2312" w:eastAsia="仿宋_GB2312" w:cs="仿宋_GB2312"/>
                <w:sz w:val="20"/>
                <w:szCs w:val="20"/>
              </w:rPr>
            </w:pPr>
          </w:p>
        </w:tc>
      </w:tr>
      <w:tr w14:paraId="7A5D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B921B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92</w:t>
            </w:r>
          </w:p>
        </w:tc>
        <w:tc>
          <w:tcPr>
            <w:tcW w:w="555" w:type="dxa"/>
            <w:vAlign w:val="center"/>
          </w:tcPr>
          <w:p w14:paraId="0CC527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99590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1E6FB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31CF71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对钟乳石经营者依法取得营业执照，未办理备案手续行为的处罚</w:t>
            </w:r>
          </w:p>
        </w:tc>
        <w:tc>
          <w:tcPr>
            <w:tcW w:w="660" w:type="dxa"/>
            <w:vAlign w:val="center"/>
          </w:tcPr>
          <w:p w14:paraId="06399A0D">
            <w:pPr>
              <w:snapToGrid w:val="0"/>
              <w:spacing w:line="240" w:lineRule="atLeast"/>
              <w:jc w:val="center"/>
              <w:rPr>
                <w:rFonts w:ascii="仿宋_GB2312" w:hAnsi="仿宋_GB2312" w:eastAsia="仿宋_GB2312" w:cs="仿宋_GB2312"/>
                <w:sz w:val="20"/>
                <w:szCs w:val="20"/>
              </w:rPr>
            </w:pPr>
          </w:p>
        </w:tc>
        <w:tc>
          <w:tcPr>
            <w:tcW w:w="615" w:type="dxa"/>
            <w:vAlign w:val="center"/>
          </w:tcPr>
          <w:p w14:paraId="3D2A02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5B1F4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166E4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八条第一款：从事钟乳石经营活动，应当在依法取得营业执照后，向经营地县级以自然资源主管部门办理备案手续。</w:t>
            </w:r>
          </w:p>
          <w:p w14:paraId="5F57F32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第二十八条：违反本条例第十八条第一款规定，未办理备案手续的，由县级以上自然资源主管部门，责令限期改正。</w:t>
            </w:r>
          </w:p>
        </w:tc>
        <w:tc>
          <w:tcPr>
            <w:tcW w:w="3585" w:type="dxa"/>
            <w:vAlign w:val="center"/>
          </w:tcPr>
          <w:p w14:paraId="33D5D4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1DB0C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251710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EB9A3C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A4BF3A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1B4DC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771AC2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06F7E3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E3D7A3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414C7F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48D45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1BF75F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FB0D91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005232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1A8614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3B7C10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4E8E3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CE19A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C7A29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41906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E7BA8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91EA8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3CFDB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C12AD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FE52E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98C92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E7077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C214E7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EEC4684">
            <w:pPr>
              <w:snapToGrid w:val="0"/>
              <w:spacing w:line="240" w:lineRule="atLeast"/>
              <w:jc w:val="center"/>
              <w:rPr>
                <w:rFonts w:ascii="仿宋_GB2312" w:hAnsi="仿宋_GB2312" w:eastAsia="仿宋_GB2312" w:cs="仿宋_GB2312"/>
                <w:sz w:val="20"/>
                <w:szCs w:val="20"/>
              </w:rPr>
            </w:pPr>
          </w:p>
        </w:tc>
      </w:tr>
    </w:tbl>
    <w:p w14:paraId="33F850F0"/>
    <w:p w14:paraId="741BF101"/>
    <w:p w14:paraId="2D6FD00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843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357409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FDB390F">
            <w:pPr>
              <w:spacing w:line="240" w:lineRule="atLeast"/>
              <w:rPr>
                <w:rFonts w:asciiTheme="majorEastAsia" w:hAnsiTheme="majorEastAsia" w:eastAsiaTheme="majorEastAsia" w:cstheme="majorEastAsia"/>
                <w:spacing w:val="-20"/>
                <w:sz w:val="20"/>
                <w:szCs w:val="20"/>
              </w:rPr>
            </w:pPr>
          </w:p>
          <w:p w14:paraId="6D8EEEC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EBE36D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8A58EF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7A137D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115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A47FCB7">
            <w:pPr>
              <w:spacing w:line="240" w:lineRule="atLeast"/>
              <w:jc w:val="left"/>
              <w:rPr>
                <w:rFonts w:ascii="仿宋_GB2312" w:hAnsi="仿宋_GB2312" w:eastAsia="仿宋_GB2312" w:cs="仿宋_GB2312"/>
                <w:sz w:val="20"/>
                <w:szCs w:val="20"/>
              </w:rPr>
            </w:pPr>
          </w:p>
        </w:tc>
        <w:tc>
          <w:tcPr>
            <w:tcW w:w="555" w:type="dxa"/>
            <w:vMerge w:val="continue"/>
          </w:tcPr>
          <w:p w14:paraId="50C2A05A">
            <w:pPr>
              <w:spacing w:line="240" w:lineRule="atLeast"/>
              <w:jc w:val="left"/>
              <w:rPr>
                <w:rFonts w:ascii="仿宋_GB2312" w:hAnsi="仿宋_GB2312" w:eastAsia="仿宋_GB2312" w:cs="仿宋_GB2312"/>
                <w:sz w:val="20"/>
                <w:szCs w:val="20"/>
              </w:rPr>
            </w:pPr>
          </w:p>
        </w:tc>
        <w:tc>
          <w:tcPr>
            <w:tcW w:w="784" w:type="dxa"/>
            <w:vAlign w:val="center"/>
          </w:tcPr>
          <w:p w14:paraId="7E55BCC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AEF816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A592D2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52D71E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6E8FC7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F27CE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C56915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65AF0E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0F4E63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C6AC55C">
            <w:pPr>
              <w:spacing w:line="240" w:lineRule="atLeast"/>
              <w:jc w:val="left"/>
              <w:rPr>
                <w:rFonts w:ascii="仿宋_GB2312" w:hAnsi="仿宋_GB2312" w:eastAsia="仿宋_GB2312" w:cs="仿宋_GB2312"/>
                <w:sz w:val="20"/>
                <w:szCs w:val="20"/>
              </w:rPr>
            </w:pPr>
          </w:p>
        </w:tc>
      </w:tr>
      <w:tr w14:paraId="4896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4CF74C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93</w:t>
            </w:r>
          </w:p>
        </w:tc>
        <w:tc>
          <w:tcPr>
            <w:tcW w:w="555" w:type="dxa"/>
            <w:vAlign w:val="center"/>
          </w:tcPr>
          <w:p w14:paraId="379575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113E2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A835E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263553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对违反规定未建立钟乳石采集、经营档案或者未将钟乳石经营档案报当地县级以上自然资源主管部门备案行为的处罚</w:t>
            </w:r>
          </w:p>
        </w:tc>
        <w:tc>
          <w:tcPr>
            <w:tcW w:w="660" w:type="dxa"/>
            <w:vAlign w:val="center"/>
          </w:tcPr>
          <w:p w14:paraId="24330503">
            <w:pPr>
              <w:snapToGrid w:val="0"/>
              <w:spacing w:line="240" w:lineRule="atLeast"/>
              <w:jc w:val="center"/>
              <w:rPr>
                <w:rFonts w:ascii="仿宋_GB2312" w:hAnsi="仿宋_GB2312" w:eastAsia="仿宋_GB2312" w:cs="仿宋_GB2312"/>
                <w:sz w:val="20"/>
                <w:szCs w:val="20"/>
              </w:rPr>
            </w:pPr>
          </w:p>
        </w:tc>
        <w:tc>
          <w:tcPr>
            <w:tcW w:w="615" w:type="dxa"/>
            <w:vAlign w:val="center"/>
          </w:tcPr>
          <w:p w14:paraId="24CDDF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5849D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C2C38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条：钟乳石采集人应当建立钟乳石采集档案，载明采集的钟乳石类型、数量、销售去向等内容。</w:t>
            </w:r>
          </w:p>
          <w:p w14:paraId="2786E0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第十八条第三款：钟乳石经营者应当建立钟乳石经营档案，载明经营的钟乳石来源、类型、数量、销售去向等内容，并报当地县级以上自然资源主管部门备案。</w:t>
            </w:r>
          </w:p>
          <w:p w14:paraId="3C4B270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钟乳石经营者应当建立钟乳石经营档案，载明经营的钟乳石来源、类型、数量、销售去向等内容，并报当地县级以上自然资源主管部门备案。</w:t>
            </w:r>
          </w:p>
          <w:p w14:paraId="1D0725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违反本条例第十条、第十八条第三款规定，未建立钟乳石采集、经营档案或者未将钟乳石经营档案报当地县级以上自然资源主管部门备案的，由县级以上自然资源主管部门给予警告，责令限期改正；逾期不改正的，可以处一万元以下的罚款。</w:t>
            </w:r>
          </w:p>
        </w:tc>
        <w:tc>
          <w:tcPr>
            <w:tcW w:w="3585" w:type="dxa"/>
            <w:vAlign w:val="center"/>
          </w:tcPr>
          <w:p w14:paraId="2B62107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A913CE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34214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9654C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B0C97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ADD92E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0F35F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F3701A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4260AB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97F831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1A794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429857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14C1C2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4A786A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C5B5D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A7F97E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06996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C77D4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F4B10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C23D1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7F552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1BA36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6361C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3834F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DD1B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CC5C6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E4516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FE0B3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129699B">
            <w:pPr>
              <w:snapToGrid w:val="0"/>
              <w:spacing w:line="240" w:lineRule="atLeast"/>
              <w:jc w:val="center"/>
              <w:rPr>
                <w:rFonts w:ascii="仿宋_GB2312" w:hAnsi="仿宋_GB2312" w:eastAsia="仿宋_GB2312" w:cs="仿宋_GB2312"/>
                <w:sz w:val="20"/>
                <w:szCs w:val="20"/>
              </w:rPr>
            </w:pPr>
          </w:p>
        </w:tc>
      </w:tr>
    </w:tbl>
    <w:p w14:paraId="3380E464"/>
    <w:p w14:paraId="1A0E6633"/>
    <w:p w14:paraId="501ABA7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668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253F76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37885F0">
            <w:pPr>
              <w:spacing w:line="240" w:lineRule="atLeast"/>
              <w:rPr>
                <w:rFonts w:asciiTheme="majorEastAsia" w:hAnsiTheme="majorEastAsia" w:eastAsiaTheme="majorEastAsia" w:cstheme="majorEastAsia"/>
                <w:spacing w:val="-20"/>
                <w:sz w:val="20"/>
                <w:szCs w:val="20"/>
              </w:rPr>
            </w:pPr>
          </w:p>
          <w:p w14:paraId="499C525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21ECA6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F32785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CC20AF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A9C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58451C5">
            <w:pPr>
              <w:spacing w:line="240" w:lineRule="atLeast"/>
              <w:jc w:val="left"/>
              <w:rPr>
                <w:rFonts w:ascii="仿宋_GB2312" w:hAnsi="仿宋_GB2312" w:eastAsia="仿宋_GB2312" w:cs="仿宋_GB2312"/>
                <w:sz w:val="20"/>
                <w:szCs w:val="20"/>
              </w:rPr>
            </w:pPr>
          </w:p>
        </w:tc>
        <w:tc>
          <w:tcPr>
            <w:tcW w:w="555" w:type="dxa"/>
            <w:vMerge w:val="continue"/>
          </w:tcPr>
          <w:p w14:paraId="7257E27E">
            <w:pPr>
              <w:spacing w:line="240" w:lineRule="atLeast"/>
              <w:jc w:val="left"/>
              <w:rPr>
                <w:rFonts w:ascii="仿宋_GB2312" w:hAnsi="仿宋_GB2312" w:eastAsia="仿宋_GB2312" w:cs="仿宋_GB2312"/>
                <w:sz w:val="20"/>
                <w:szCs w:val="20"/>
              </w:rPr>
            </w:pPr>
          </w:p>
        </w:tc>
        <w:tc>
          <w:tcPr>
            <w:tcW w:w="784" w:type="dxa"/>
            <w:vAlign w:val="center"/>
          </w:tcPr>
          <w:p w14:paraId="75FBE74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A43A4E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8E45C3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DD8620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2C3F92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6CBDF2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5A238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A924D0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2FE627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721AEDF">
            <w:pPr>
              <w:spacing w:line="240" w:lineRule="atLeast"/>
              <w:jc w:val="left"/>
              <w:rPr>
                <w:rFonts w:ascii="仿宋_GB2312" w:hAnsi="仿宋_GB2312" w:eastAsia="仿宋_GB2312" w:cs="仿宋_GB2312"/>
                <w:sz w:val="20"/>
                <w:szCs w:val="20"/>
              </w:rPr>
            </w:pPr>
          </w:p>
        </w:tc>
      </w:tr>
      <w:tr w14:paraId="170F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DD35B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94</w:t>
            </w:r>
          </w:p>
        </w:tc>
        <w:tc>
          <w:tcPr>
            <w:tcW w:w="555" w:type="dxa"/>
            <w:vAlign w:val="center"/>
          </w:tcPr>
          <w:p w14:paraId="3E1676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D239D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6B356C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0DC6C8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对违反规定未携带采矿许可证在自治区境内运输钟乳石行为的处罚</w:t>
            </w:r>
          </w:p>
        </w:tc>
        <w:tc>
          <w:tcPr>
            <w:tcW w:w="660" w:type="dxa"/>
            <w:vAlign w:val="center"/>
          </w:tcPr>
          <w:p w14:paraId="7CF74785">
            <w:pPr>
              <w:snapToGrid w:val="0"/>
              <w:spacing w:line="240" w:lineRule="atLeast"/>
              <w:jc w:val="center"/>
              <w:rPr>
                <w:rFonts w:ascii="仿宋_GB2312" w:hAnsi="仿宋_GB2312" w:eastAsia="仿宋_GB2312" w:cs="仿宋_GB2312"/>
                <w:sz w:val="20"/>
                <w:szCs w:val="20"/>
              </w:rPr>
            </w:pPr>
          </w:p>
        </w:tc>
        <w:tc>
          <w:tcPr>
            <w:tcW w:w="615" w:type="dxa"/>
            <w:vAlign w:val="center"/>
          </w:tcPr>
          <w:p w14:paraId="1C2D96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D996A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A3924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钟乳石资源保护条例》（2002年5月31日广西壮族自治区第九届人民代表大会常务委员会第三十次会议通过，2020年3月27日广西壮族自治区第十三届人民代表大会常务委员会第十四次会议第四次修正）第十九条第一款：钟乳石采集者在自治区境内运输钟乳石，应当携带采矿许可证。</w:t>
            </w:r>
          </w:p>
          <w:p w14:paraId="6EBF032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条：违反本条例第十九条第一款规定，未携带采矿许可证的，由县级以上自然资源主管部门责令限期提供采矿许可证，逾期未能提供的，没收运输的钟乳石；情节严重的，可以并处二千元以上十万元以下的罚款。</w:t>
            </w:r>
          </w:p>
        </w:tc>
        <w:tc>
          <w:tcPr>
            <w:tcW w:w="3585" w:type="dxa"/>
            <w:vAlign w:val="center"/>
          </w:tcPr>
          <w:p w14:paraId="6D0880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7436E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C88432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35410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281004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30D0C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8B970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8BFEC5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30E22B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3A107D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2DE0A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22B76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747F4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A6BC6F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CD8EA2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C58838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BBE62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102A3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3E2B6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26DF9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1356B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9C56B2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23C54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FF52B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F026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737CA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76EF9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BDC93A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823317A">
            <w:pPr>
              <w:snapToGrid w:val="0"/>
              <w:spacing w:line="240" w:lineRule="atLeast"/>
              <w:jc w:val="center"/>
              <w:rPr>
                <w:rFonts w:ascii="仿宋_GB2312" w:hAnsi="仿宋_GB2312" w:eastAsia="仿宋_GB2312" w:cs="仿宋_GB2312"/>
                <w:sz w:val="20"/>
                <w:szCs w:val="20"/>
              </w:rPr>
            </w:pPr>
          </w:p>
        </w:tc>
      </w:tr>
    </w:tbl>
    <w:p w14:paraId="778ABB90"/>
    <w:p w14:paraId="595B8C4A"/>
    <w:p w14:paraId="1C9824E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64"/>
        <w:gridCol w:w="645"/>
        <w:gridCol w:w="675"/>
        <w:gridCol w:w="1200"/>
        <w:gridCol w:w="4290"/>
        <w:gridCol w:w="3585"/>
        <w:gridCol w:w="9515"/>
        <w:gridCol w:w="330"/>
      </w:tblGrid>
      <w:tr w14:paraId="1E49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353938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2CB2BAD">
            <w:pPr>
              <w:spacing w:line="240" w:lineRule="atLeast"/>
              <w:rPr>
                <w:rFonts w:asciiTheme="majorEastAsia" w:hAnsiTheme="majorEastAsia" w:eastAsiaTheme="majorEastAsia" w:cstheme="majorEastAsia"/>
                <w:spacing w:val="-20"/>
                <w:sz w:val="20"/>
                <w:szCs w:val="20"/>
              </w:rPr>
            </w:pPr>
          </w:p>
          <w:p w14:paraId="164006E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D0BE16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82445F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B882F3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881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5D3C13B">
            <w:pPr>
              <w:spacing w:line="240" w:lineRule="atLeast"/>
              <w:jc w:val="left"/>
              <w:rPr>
                <w:rFonts w:ascii="仿宋_GB2312" w:hAnsi="仿宋_GB2312" w:eastAsia="仿宋_GB2312" w:cs="仿宋_GB2312"/>
                <w:sz w:val="20"/>
                <w:szCs w:val="20"/>
              </w:rPr>
            </w:pPr>
          </w:p>
        </w:tc>
        <w:tc>
          <w:tcPr>
            <w:tcW w:w="555" w:type="dxa"/>
            <w:vMerge w:val="continue"/>
          </w:tcPr>
          <w:p w14:paraId="190B3F42">
            <w:pPr>
              <w:spacing w:line="240" w:lineRule="atLeast"/>
              <w:jc w:val="left"/>
              <w:rPr>
                <w:rFonts w:ascii="仿宋_GB2312" w:hAnsi="仿宋_GB2312" w:eastAsia="仿宋_GB2312" w:cs="仿宋_GB2312"/>
                <w:sz w:val="20"/>
                <w:szCs w:val="20"/>
              </w:rPr>
            </w:pPr>
          </w:p>
        </w:tc>
        <w:tc>
          <w:tcPr>
            <w:tcW w:w="964" w:type="dxa"/>
            <w:vAlign w:val="center"/>
          </w:tcPr>
          <w:p w14:paraId="39BE9B0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D40842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45" w:type="dxa"/>
            <w:vAlign w:val="center"/>
          </w:tcPr>
          <w:p w14:paraId="08558AF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75" w:type="dxa"/>
            <w:vAlign w:val="center"/>
          </w:tcPr>
          <w:p w14:paraId="5157315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200" w:type="dxa"/>
            <w:vAlign w:val="center"/>
          </w:tcPr>
          <w:p w14:paraId="0FE3E63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290" w:type="dxa"/>
            <w:vAlign w:val="center"/>
          </w:tcPr>
          <w:p w14:paraId="318C16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56DBB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D55A81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F10959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7C7D89F">
            <w:pPr>
              <w:spacing w:line="240" w:lineRule="atLeast"/>
              <w:jc w:val="left"/>
              <w:rPr>
                <w:rFonts w:ascii="仿宋_GB2312" w:hAnsi="仿宋_GB2312" w:eastAsia="仿宋_GB2312" w:cs="仿宋_GB2312"/>
                <w:sz w:val="20"/>
                <w:szCs w:val="20"/>
              </w:rPr>
            </w:pPr>
          </w:p>
        </w:tc>
      </w:tr>
      <w:tr w14:paraId="6449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0314F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95</w:t>
            </w:r>
          </w:p>
        </w:tc>
        <w:tc>
          <w:tcPr>
            <w:tcW w:w="555" w:type="dxa"/>
            <w:vAlign w:val="center"/>
          </w:tcPr>
          <w:p w14:paraId="588F98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6F17D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93BAB4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64" w:type="dxa"/>
            <w:vAlign w:val="center"/>
          </w:tcPr>
          <w:p w14:paraId="7F107EC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对建设单位未按照规定对地质灾害易发区内的建设工程进行地质灾害危险性评估、配套的地质灾害治理工程未经验收或者经验收不合格主体工程即投入生产或者使用行为的处罚</w:t>
            </w:r>
          </w:p>
        </w:tc>
        <w:tc>
          <w:tcPr>
            <w:tcW w:w="645" w:type="dxa"/>
            <w:vAlign w:val="center"/>
          </w:tcPr>
          <w:p w14:paraId="5C8C5090">
            <w:pPr>
              <w:snapToGrid w:val="0"/>
              <w:spacing w:line="240" w:lineRule="atLeast"/>
              <w:jc w:val="center"/>
              <w:rPr>
                <w:rFonts w:ascii="仿宋_GB2312" w:hAnsi="仿宋_GB2312" w:eastAsia="仿宋_GB2312" w:cs="仿宋_GB2312"/>
                <w:sz w:val="20"/>
                <w:szCs w:val="20"/>
              </w:rPr>
            </w:pPr>
          </w:p>
        </w:tc>
        <w:tc>
          <w:tcPr>
            <w:tcW w:w="675" w:type="dxa"/>
            <w:vAlign w:val="center"/>
          </w:tcPr>
          <w:p w14:paraId="2EAF7E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200" w:type="dxa"/>
            <w:vAlign w:val="center"/>
          </w:tcPr>
          <w:p w14:paraId="4C87B4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290" w:type="dxa"/>
            <w:vAlign w:val="center"/>
          </w:tcPr>
          <w:p w14:paraId="52A180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一条：违反本条例规定，建设单位有下列行为之一的，由县级以上地方人民政府国土资源主管部门责令限期改正；逾期不改正的，责令停止生产、施工或者使用，处10万元以上50万元以下的罚款；构成犯罪的，依法追究刑事责任：</w:t>
            </w:r>
          </w:p>
          <w:p w14:paraId="6CEC0F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（一）未按照规定对地质灾害易发区内的建设工程进行地质灾害危险性评估的；</w:t>
            </w:r>
          </w:p>
          <w:p w14:paraId="0F3DAB1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（二）配套的地质灾害治理工程未经验收或者经验收不合格，主体工程即投入生产或者使用的。</w:t>
            </w:r>
          </w:p>
        </w:tc>
        <w:tc>
          <w:tcPr>
            <w:tcW w:w="3585" w:type="dxa"/>
            <w:vAlign w:val="center"/>
          </w:tcPr>
          <w:p w14:paraId="12CEDAF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7440D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4919B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90D5F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E91B43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B3B55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71E32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4E628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03AA76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1F152A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B7D3F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86209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C377E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06F2D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ACB318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AD59FB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3F9B4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41AFF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1126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CCFE1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7AFC5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8FC5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CEA01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37105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61BCD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23460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4E984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B54D8C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790A1BF">
            <w:pPr>
              <w:snapToGrid w:val="0"/>
              <w:spacing w:line="240" w:lineRule="atLeast"/>
              <w:jc w:val="center"/>
              <w:rPr>
                <w:rFonts w:ascii="仿宋_GB2312" w:hAnsi="仿宋_GB2312" w:eastAsia="仿宋_GB2312" w:cs="仿宋_GB2312"/>
                <w:sz w:val="20"/>
                <w:szCs w:val="20"/>
              </w:rPr>
            </w:pPr>
          </w:p>
        </w:tc>
      </w:tr>
    </w:tbl>
    <w:p w14:paraId="44BD2F56"/>
    <w:p w14:paraId="365D09EB"/>
    <w:p w14:paraId="3E90EB7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7537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7E51BB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2E20985">
            <w:pPr>
              <w:spacing w:line="240" w:lineRule="atLeast"/>
              <w:rPr>
                <w:rFonts w:asciiTheme="majorEastAsia" w:hAnsiTheme="majorEastAsia" w:eastAsiaTheme="majorEastAsia" w:cstheme="majorEastAsia"/>
                <w:spacing w:val="-20"/>
                <w:sz w:val="20"/>
                <w:szCs w:val="20"/>
              </w:rPr>
            </w:pPr>
          </w:p>
          <w:p w14:paraId="4D0DAB9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925B0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E8D155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1A6C7A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A33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7BA77D1">
            <w:pPr>
              <w:spacing w:line="240" w:lineRule="atLeast"/>
              <w:jc w:val="left"/>
              <w:rPr>
                <w:rFonts w:ascii="仿宋_GB2312" w:hAnsi="仿宋_GB2312" w:eastAsia="仿宋_GB2312" w:cs="仿宋_GB2312"/>
                <w:sz w:val="20"/>
                <w:szCs w:val="20"/>
              </w:rPr>
            </w:pPr>
          </w:p>
        </w:tc>
        <w:tc>
          <w:tcPr>
            <w:tcW w:w="555" w:type="dxa"/>
            <w:vMerge w:val="continue"/>
          </w:tcPr>
          <w:p w14:paraId="1649B4B4">
            <w:pPr>
              <w:spacing w:line="240" w:lineRule="atLeast"/>
              <w:jc w:val="left"/>
              <w:rPr>
                <w:rFonts w:ascii="仿宋_GB2312" w:hAnsi="仿宋_GB2312" w:eastAsia="仿宋_GB2312" w:cs="仿宋_GB2312"/>
                <w:sz w:val="20"/>
                <w:szCs w:val="20"/>
              </w:rPr>
            </w:pPr>
          </w:p>
        </w:tc>
        <w:tc>
          <w:tcPr>
            <w:tcW w:w="784" w:type="dxa"/>
            <w:vAlign w:val="center"/>
          </w:tcPr>
          <w:p w14:paraId="5D2263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315E62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D4B5DD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963140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979BED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C94BE7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78986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5ED536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5B8030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B706DEB">
            <w:pPr>
              <w:spacing w:line="240" w:lineRule="atLeast"/>
              <w:jc w:val="left"/>
              <w:rPr>
                <w:rFonts w:ascii="仿宋_GB2312" w:hAnsi="仿宋_GB2312" w:eastAsia="仿宋_GB2312" w:cs="仿宋_GB2312"/>
                <w:sz w:val="20"/>
                <w:szCs w:val="20"/>
              </w:rPr>
            </w:pPr>
          </w:p>
        </w:tc>
      </w:tr>
      <w:tr w14:paraId="3226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1C29F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96</w:t>
            </w:r>
          </w:p>
        </w:tc>
        <w:tc>
          <w:tcPr>
            <w:tcW w:w="555" w:type="dxa"/>
            <w:vAlign w:val="center"/>
          </w:tcPr>
          <w:p w14:paraId="4C41CB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F9E9C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B3FA8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B2CB53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对工程建设等人为活动引发的地质灾害不予治理、逾期不治理或者治理不符合要求行为的处罚</w:t>
            </w:r>
          </w:p>
        </w:tc>
        <w:tc>
          <w:tcPr>
            <w:tcW w:w="660" w:type="dxa"/>
            <w:vAlign w:val="center"/>
          </w:tcPr>
          <w:p w14:paraId="7496807F">
            <w:pPr>
              <w:snapToGrid w:val="0"/>
              <w:spacing w:line="240" w:lineRule="atLeast"/>
              <w:jc w:val="center"/>
              <w:rPr>
                <w:rFonts w:ascii="仿宋_GB2312" w:hAnsi="仿宋_GB2312" w:eastAsia="仿宋_GB2312" w:cs="仿宋_GB2312"/>
                <w:sz w:val="20"/>
                <w:szCs w:val="20"/>
              </w:rPr>
            </w:pPr>
          </w:p>
        </w:tc>
        <w:tc>
          <w:tcPr>
            <w:tcW w:w="615" w:type="dxa"/>
            <w:vAlign w:val="center"/>
          </w:tcPr>
          <w:p w14:paraId="493B10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D5918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3473B8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四十二条：违反本条例规定，对工程建设等人为活动引发的地质灾害不予治理的，由县级以上人民政府国土资源主管部门责令限期治理；逾期不治理或者治理不符合要求的，由责令限期治理的国土资源主管部门组织治理，所需费用由责任单位承担，处10万元以上50万元以下的罚款；给他人造成损失的，依法承担赔偿责任。</w:t>
            </w:r>
          </w:p>
        </w:tc>
        <w:tc>
          <w:tcPr>
            <w:tcW w:w="3585" w:type="dxa"/>
            <w:vAlign w:val="center"/>
          </w:tcPr>
          <w:p w14:paraId="218DC5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B9081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2CFDA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5F5D79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B7A75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49ED7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190F1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DF9687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F4EB81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C5E8BB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A0D72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9C124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28F4F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AD48F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67DC9D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38E3239">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28ACA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AEE64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A5C20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EFD57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9F954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5375F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2A385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481F5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FB7D9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AD1D5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4A3FA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88B5B4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6F33E4E">
            <w:pPr>
              <w:snapToGrid w:val="0"/>
              <w:spacing w:line="240" w:lineRule="atLeast"/>
              <w:jc w:val="center"/>
              <w:rPr>
                <w:rFonts w:ascii="仿宋_GB2312" w:hAnsi="仿宋_GB2312" w:eastAsia="仿宋_GB2312" w:cs="仿宋_GB2312"/>
                <w:sz w:val="20"/>
                <w:szCs w:val="20"/>
              </w:rPr>
            </w:pPr>
          </w:p>
        </w:tc>
      </w:tr>
    </w:tbl>
    <w:p w14:paraId="64C058F9"/>
    <w:p w14:paraId="0D51F87C"/>
    <w:p w14:paraId="647CD58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395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EDCA59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C434F00">
            <w:pPr>
              <w:spacing w:line="240" w:lineRule="atLeast"/>
              <w:rPr>
                <w:rFonts w:asciiTheme="majorEastAsia" w:hAnsiTheme="majorEastAsia" w:eastAsiaTheme="majorEastAsia" w:cstheme="majorEastAsia"/>
                <w:spacing w:val="-20"/>
                <w:sz w:val="20"/>
                <w:szCs w:val="20"/>
              </w:rPr>
            </w:pPr>
          </w:p>
          <w:p w14:paraId="75BD936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9ED7E8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B46EA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23A4FB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E91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1E53AEB">
            <w:pPr>
              <w:spacing w:line="240" w:lineRule="atLeast"/>
              <w:jc w:val="left"/>
              <w:rPr>
                <w:rFonts w:ascii="仿宋_GB2312" w:hAnsi="仿宋_GB2312" w:eastAsia="仿宋_GB2312" w:cs="仿宋_GB2312"/>
                <w:sz w:val="20"/>
                <w:szCs w:val="20"/>
              </w:rPr>
            </w:pPr>
          </w:p>
        </w:tc>
        <w:tc>
          <w:tcPr>
            <w:tcW w:w="555" w:type="dxa"/>
            <w:vMerge w:val="continue"/>
          </w:tcPr>
          <w:p w14:paraId="12CD5B59">
            <w:pPr>
              <w:spacing w:line="240" w:lineRule="atLeast"/>
              <w:jc w:val="left"/>
              <w:rPr>
                <w:rFonts w:ascii="仿宋_GB2312" w:hAnsi="仿宋_GB2312" w:eastAsia="仿宋_GB2312" w:cs="仿宋_GB2312"/>
                <w:sz w:val="20"/>
                <w:szCs w:val="20"/>
              </w:rPr>
            </w:pPr>
          </w:p>
        </w:tc>
        <w:tc>
          <w:tcPr>
            <w:tcW w:w="784" w:type="dxa"/>
            <w:vAlign w:val="center"/>
          </w:tcPr>
          <w:p w14:paraId="26DCB2D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F65353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D7854A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EE2BCC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28D92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42A50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C5FDFC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AC9B7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EA3E1E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6BFEDC4">
            <w:pPr>
              <w:spacing w:line="240" w:lineRule="atLeast"/>
              <w:jc w:val="left"/>
              <w:rPr>
                <w:rFonts w:ascii="仿宋_GB2312" w:hAnsi="仿宋_GB2312" w:eastAsia="仿宋_GB2312" w:cs="仿宋_GB2312"/>
                <w:sz w:val="20"/>
                <w:szCs w:val="20"/>
              </w:rPr>
            </w:pPr>
          </w:p>
        </w:tc>
      </w:tr>
      <w:tr w14:paraId="6F91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1C820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97</w:t>
            </w:r>
          </w:p>
        </w:tc>
        <w:tc>
          <w:tcPr>
            <w:tcW w:w="555" w:type="dxa"/>
            <w:vAlign w:val="center"/>
          </w:tcPr>
          <w:p w14:paraId="1EB046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4616B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3E1B2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CC0615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对在地质灾害危险区内爆破、削坡、进行工程建设以及从事其他可能引发地质灾害活动行为的处罚</w:t>
            </w:r>
          </w:p>
        </w:tc>
        <w:tc>
          <w:tcPr>
            <w:tcW w:w="660" w:type="dxa"/>
            <w:vAlign w:val="center"/>
          </w:tcPr>
          <w:p w14:paraId="66BE8C1C">
            <w:pPr>
              <w:snapToGrid w:val="0"/>
              <w:spacing w:line="240" w:lineRule="atLeast"/>
              <w:jc w:val="center"/>
              <w:rPr>
                <w:rFonts w:ascii="仿宋_GB2312" w:hAnsi="仿宋_GB2312" w:eastAsia="仿宋_GB2312" w:cs="仿宋_GB2312"/>
                <w:sz w:val="20"/>
                <w:szCs w:val="20"/>
              </w:rPr>
            </w:pPr>
          </w:p>
        </w:tc>
        <w:tc>
          <w:tcPr>
            <w:tcW w:w="615" w:type="dxa"/>
            <w:vAlign w:val="center"/>
          </w:tcPr>
          <w:p w14:paraId="43C3C4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19698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CA6743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四十三条：违反本条例规定，在地质灾害危险区内爆破、削坡、进行工程建设以及从事其他可能引发地质灾害活动的，由县级以上地方人民政府国土资源主管部门责令停止违法行为，对单位处5万元以上20万元以下的罚款，对个人处1万元以上5万元以下的罚款；构成犯罪的，依法追究刑事责任；给他人造成损失的，依法承担赔偿责任。</w:t>
            </w:r>
          </w:p>
        </w:tc>
        <w:tc>
          <w:tcPr>
            <w:tcW w:w="3585" w:type="dxa"/>
            <w:vAlign w:val="center"/>
          </w:tcPr>
          <w:p w14:paraId="4E8CE4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8B798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9748A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718591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4703A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6EFAA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968D1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2225B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5A45D7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EA4F56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EA4FD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E3B156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78EF3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47840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649ED0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D6545B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8C643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D909BE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A6C11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7674E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7599A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4D5B8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5F1CF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CC280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89815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D2C85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5E798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BCF291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400C1A2">
            <w:pPr>
              <w:snapToGrid w:val="0"/>
              <w:spacing w:line="240" w:lineRule="atLeast"/>
              <w:jc w:val="center"/>
              <w:rPr>
                <w:rFonts w:ascii="仿宋_GB2312" w:hAnsi="仿宋_GB2312" w:eastAsia="仿宋_GB2312" w:cs="仿宋_GB2312"/>
                <w:sz w:val="20"/>
                <w:szCs w:val="20"/>
              </w:rPr>
            </w:pPr>
          </w:p>
        </w:tc>
      </w:tr>
    </w:tbl>
    <w:p w14:paraId="2ECEC08A"/>
    <w:p w14:paraId="278E038B"/>
    <w:p w14:paraId="7C58D80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C38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BCB093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C5E2561">
            <w:pPr>
              <w:spacing w:line="240" w:lineRule="atLeast"/>
              <w:rPr>
                <w:rFonts w:asciiTheme="majorEastAsia" w:hAnsiTheme="majorEastAsia" w:eastAsiaTheme="majorEastAsia" w:cstheme="majorEastAsia"/>
                <w:spacing w:val="-20"/>
                <w:sz w:val="20"/>
                <w:szCs w:val="20"/>
              </w:rPr>
            </w:pPr>
          </w:p>
          <w:p w14:paraId="5B5B5E6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E14F2D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ABC8D2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A27BAE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327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F586712">
            <w:pPr>
              <w:spacing w:line="240" w:lineRule="atLeast"/>
              <w:jc w:val="left"/>
              <w:rPr>
                <w:rFonts w:ascii="仿宋_GB2312" w:hAnsi="仿宋_GB2312" w:eastAsia="仿宋_GB2312" w:cs="仿宋_GB2312"/>
                <w:sz w:val="20"/>
                <w:szCs w:val="20"/>
              </w:rPr>
            </w:pPr>
          </w:p>
        </w:tc>
        <w:tc>
          <w:tcPr>
            <w:tcW w:w="555" w:type="dxa"/>
            <w:vMerge w:val="continue"/>
          </w:tcPr>
          <w:p w14:paraId="5098337C">
            <w:pPr>
              <w:spacing w:line="240" w:lineRule="atLeast"/>
              <w:jc w:val="left"/>
              <w:rPr>
                <w:rFonts w:ascii="仿宋_GB2312" w:hAnsi="仿宋_GB2312" w:eastAsia="仿宋_GB2312" w:cs="仿宋_GB2312"/>
                <w:sz w:val="20"/>
                <w:szCs w:val="20"/>
              </w:rPr>
            </w:pPr>
          </w:p>
        </w:tc>
        <w:tc>
          <w:tcPr>
            <w:tcW w:w="784" w:type="dxa"/>
            <w:vAlign w:val="center"/>
          </w:tcPr>
          <w:p w14:paraId="5CEFC0B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CD59BE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533563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A7A25E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6E8C66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B27876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A6A2FF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E442DB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731EAA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5B0FDB2">
            <w:pPr>
              <w:spacing w:line="240" w:lineRule="atLeast"/>
              <w:jc w:val="left"/>
              <w:rPr>
                <w:rFonts w:ascii="仿宋_GB2312" w:hAnsi="仿宋_GB2312" w:eastAsia="仿宋_GB2312" w:cs="仿宋_GB2312"/>
                <w:sz w:val="20"/>
                <w:szCs w:val="20"/>
              </w:rPr>
            </w:pPr>
          </w:p>
        </w:tc>
      </w:tr>
      <w:tr w14:paraId="55C1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29363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98</w:t>
            </w:r>
          </w:p>
        </w:tc>
        <w:tc>
          <w:tcPr>
            <w:tcW w:w="555" w:type="dxa"/>
            <w:vAlign w:val="center"/>
          </w:tcPr>
          <w:p w14:paraId="34C9B09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F29E2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FA383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8BD0BD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对在地质灾害危险性评估中弄虚作假或者故意隐瞒地质灾害真实情况行为的处罚</w:t>
            </w:r>
          </w:p>
        </w:tc>
        <w:tc>
          <w:tcPr>
            <w:tcW w:w="660" w:type="dxa"/>
            <w:vAlign w:val="center"/>
          </w:tcPr>
          <w:p w14:paraId="5B16CAE5">
            <w:pPr>
              <w:snapToGrid w:val="0"/>
              <w:spacing w:line="240" w:lineRule="atLeast"/>
              <w:jc w:val="center"/>
              <w:rPr>
                <w:rFonts w:ascii="仿宋_GB2312" w:hAnsi="仿宋_GB2312" w:eastAsia="仿宋_GB2312" w:cs="仿宋_GB2312"/>
                <w:sz w:val="20"/>
                <w:szCs w:val="20"/>
              </w:rPr>
            </w:pPr>
          </w:p>
        </w:tc>
        <w:tc>
          <w:tcPr>
            <w:tcW w:w="615" w:type="dxa"/>
            <w:vAlign w:val="center"/>
          </w:tcPr>
          <w:p w14:paraId="07FB1A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3EAAF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2EE92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62D0E02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（一）在地质灾害危险性评估中弄虚作假或者故意隐瞒地质灾害真实情况的。</w:t>
            </w:r>
          </w:p>
        </w:tc>
        <w:tc>
          <w:tcPr>
            <w:tcW w:w="3585" w:type="dxa"/>
            <w:vAlign w:val="center"/>
          </w:tcPr>
          <w:p w14:paraId="0338C4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1235B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6F32D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33730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3BEEC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1D77B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56C37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112186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E01391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1765C6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5FBA9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F63897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A2114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936AB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2E5024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7636B1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632F9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EC1FA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03B02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071D3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543B9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367AC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1EA1E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B39F7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3237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81B95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F59E4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732568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873B3A9">
            <w:pPr>
              <w:snapToGrid w:val="0"/>
              <w:spacing w:line="240" w:lineRule="atLeast"/>
              <w:jc w:val="center"/>
              <w:rPr>
                <w:rFonts w:ascii="仿宋_GB2312" w:hAnsi="仿宋_GB2312" w:eastAsia="仿宋_GB2312" w:cs="仿宋_GB2312"/>
                <w:sz w:val="20"/>
                <w:szCs w:val="20"/>
              </w:rPr>
            </w:pPr>
          </w:p>
        </w:tc>
      </w:tr>
    </w:tbl>
    <w:p w14:paraId="0F1745F6"/>
    <w:p w14:paraId="53B488DB"/>
    <w:p w14:paraId="6D9CE80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422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A25239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6EDCC36">
            <w:pPr>
              <w:spacing w:line="240" w:lineRule="atLeast"/>
              <w:rPr>
                <w:rFonts w:asciiTheme="majorEastAsia" w:hAnsiTheme="majorEastAsia" w:eastAsiaTheme="majorEastAsia" w:cstheme="majorEastAsia"/>
                <w:spacing w:val="-20"/>
                <w:sz w:val="20"/>
                <w:szCs w:val="20"/>
              </w:rPr>
            </w:pPr>
          </w:p>
          <w:p w14:paraId="189F954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BA63C7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5501DA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647B1E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13B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ACB9A24">
            <w:pPr>
              <w:spacing w:line="240" w:lineRule="atLeast"/>
              <w:jc w:val="left"/>
              <w:rPr>
                <w:rFonts w:ascii="仿宋_GB2312" w:hAnsi="仿宋_GB2312" w:eastAsia="仿宋_GB2312" w:cs="仿宋_GB2312"/>
                <w:sz w:val="20"/>
                <w:szCs w:val="20"/>
              </w:rPr>
            </w:pPr>
          </w:p>
        </w:tc>
        <w:tc>
          <w:tcPr>
            <w:tcW w:w="555" w:type="dxa"/>
            <w:vMerge w:val="continue"/>
          </w:tcPr>
          <w:p w14:paraId="474FB6A2">
            <w:pPr>
              <w:spacing w:line="240" w:lineRule="atLeast"/>
              <w:jc w:val="left"/>
              <w:rPr>
                <w:rFonts w:ascii="仿宋_GB2312" w:hAnsi="仿宋_GB2312" w:eastAsia="仿宋_GB2312" w:cs="仿宋_GB2312"/>
                <w:sz w:val="20"/>
                <w:szCs w:val="20"/>
              </w:rPr>
            </w:pPr>
          </w:p>
        </w:tc>
        <w:tc>
          <w:tcPr>
            <w:tcW w:w="784" w:type="dxa"/>
            <w:vAlign w:val="center"/>
          </w:tcPr>
          <w:p w14:paraId="5F284DB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045E91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A98177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EF01A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4AF8D6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CBD55C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A77165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0E6C88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D8E400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2D7F17A">
            <w:pPr>
              <w:spacing w:line="240" w:lineRule="atLeast"/>
              <w:jc w:val="left"/>
              <w:rPr>
                <w:rFonts w:ascii="仿宋_GB2312" w:hAnsi="仿宋_GB2312" w:eastAsia="仿宋_GB2312" w:cs="仿宋_GB2312"/>
                <w:sz w:val="20"/>
                <w:szCs w:val="20"/>
              </w:rPr>
            </w:pPr>
          </w:p>
        </w:tc>
      </w:tr>
      <w:tr w14:paraId="07D7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4B3575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99</w:t>
            </w:r>
          </w:p>
        </w:tc>
        <w:tc>
          <w:tcPr>
            <w:tcW w:w="555" w:type="dxa"/>
            <w:vAlign w:val="center"/>
          </w:tcPr>
          <w:p w14:paraId="56AC47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D5472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61C8D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4F4633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对在地质灾害治理工程勘查、设计、施工以及监理活动中弄虚作假、降低工程质量行为的处罚</w:t>
            </w:r>
          </w:p>
        </w:tc>
        <w:tc>
          <w:tcPr>
            <w:tcW w:w="660" w:type="dxa"/>
            <w:vAlign w:val="center"/>
          </w:tcPr>
          <w:p w14:paraId="5C2D6CFB">
            <w:pPr>
              <w:snapToGrid w:val="0"/>
              <w:spacing w:line="240" w:lineRule="atLeast"/>
              <w:jc w:val="center"/>
              <w:rPr>
                <w:rFonts w:ascii="仿宋_GB2312" w:hAnsi="仿宋_GB2312" w:eastAsia="仿宋_GB2312" w:cs="仿宋_GB2312"/>
                <w:sz w:val="20"/>
                <w:szCs w:val="20"/>
              </w:rPr>
            </w:pPr>
          </w:p>
        </w:tc>
        <w:tc>
          <w:tcPr>
            <w:tcW w:w="615" w:type="dxa"/>
            <w:vAlign w:val="center"/>
          </w:tcPr>
          <w:p w14:paraId="5093DC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87AC0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B7EF5A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1BA6F6F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（二）在地质灾害治理工程勘查、设计、施工以及监理活动中弄虚作假、降低工程质量的。</w:t>
            </w:r>
          </w:p>
        </w:tc>
        <w:tc>
          <w:tcPr>
            <w:tcW w:w="3585" w:type="dxa"/>
            <w:vAlign w:val="center"/>
          </w:tcPr>
          <w:p w14:paraId="561C8D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D4D44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9B505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09449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623B0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BC29F6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54254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48D209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F63058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3A73AC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D5756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723067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9165B1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2F89DA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73C60C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29A89D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06F03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ED5A8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BB58D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12AC1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8402C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8781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E112F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94600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88736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94EA1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82311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DEC65C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90A0F1E">
            <w:pPr>
              <w:snapToGrid w:val="0"/>
              <w:spacing w:line="240" w:lineRule="atLeast"/>
              <w:jc w:val="center"/>
              <w:rPr>
                <w:rFonts w:ascii="仿宋_GB2312" w:hAnsi="仿宋_GB2312" w:eastAsia="仿宋_GB2312" w:cs="仿宋_GB2312"/>
                <w:sz w:val="20"/>
                <w:szCs w:val="20"/>
              </w:rPr>
            </w:pPr>
          </w:p>
        </w:tc>
      </w:tr>
    </w:tbl>
    <w:p w14:paraId="3C32B9DC"/>
    <w:p w14:paraId="5835C5C3"/>
    <w:p w14:paraId="562C46F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22F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0137FE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D73E42A">
            <w:pPr>
              <w:spacing w:line="240" w:lineRule="atLeast"/>
              <w:rPr>
                <w:rFonts w:asciiTheme="majorEastAsia" w:hAnsiTheme="majorEastAsia" w:eastAsiaTheme="majorEastAsia" w:cstheme="majorEastAsia"/>
                <w:spacing w:val="-20"/>
                <w:sz w:val="20"/>
                <w:szCs w:val="20"/>
              </w:rPr>
            </w:pPr>
          </w:p>
          <w:p w14:paraId="664A48B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DF481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2E9C08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BB6265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05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747545A">
            <w:pPr>
              <w:spacing w:line="240" w:lineRule="atLeast"/>
              <w:jc w:val="left"/>
              <w:rPr>
                <w:rFonts w:ascii="仿宋_GB2312" w:hAnsi="仿宋_GB2312" w:eastAsia="仿宋_GB2312" w:cs="仿宋_GB2312"/>
                <w:sz w:val="20"/>
                <w:szCs w:val="20"/>
              </w:rPr>
            </w:pPr>
          </w:p>
        </w:tc>
        <w:tc>
          <w:tcPr>
            <w:tcW w:w="555" w:type="dxa"/>
            <w:vMerge w:val="continue"/>
          </w:tcPr>
          <w:p w14:paraId="18DEA64F">
            <w:pPr>
              <w:spacing w:line="240" w:lineRule="atLeast"/>
              <w:jc w:val="left"/>
              <w:rPr>
                <w:rFonts w:ascii="仿宋_GB2312" w:hAnsi="仿宋_GB2312" w:eastAsia="仿宋_GB2312" w:cs="仿宋_GB2312"/>
                <w:sz w:val="20"/>
                <w:szCs w:val="20"/>
              </w:rPr>
            </w:pPr>
          </w:p>
        </w:tc>
        <w:tc>
          <w:tcPr>
            <w:tcW w:w="784" w:type="dxa"/>
            <w:vAlign w:val="center"/>
          </w:tcPr>
          <w:p w14:paraId="0161F6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28DFFE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F1A26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9FE145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2EC53C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3E0F77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0A528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EFF770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B5D9FA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6AFD0C9">
            <w:pPr>
              <w:spacing w:line="240" w:lineRule="atLeast"/>
              <w:jc w:val="left"/>
              <w:rPr>
                <w:rFonts w:ascii="仿宋_GB2312" w:hAnsi="仿宋_GB2312" w:eastAsia="仿宋_GB2312" w:cs="仿宋_GB2312"/>
                <w:sz w:val="20"/>
                <w:szCs w:val="20"/>
              </w:rPr>
            </w:pPr>
          </w:p>
        </w:tc>
      </w:tr>
      <w:tr w14:paraId="5A53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EF2DD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100</w:t>
            </w:r>
          </w:p>
        </w:tc>
        <w:tc>
          <w:tcPr>
            <w:tcW w:w="555" w:type="dxa"/>
            <w:vAlign w:val="center"/>
          </w:tcPr>
          <w:p w14:paraId="09BEC7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23C98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1F2E6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C16B04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对无资质证书或者超越其资质等级许可的范围承揽地质灾害危险性评估、地质灾害治理工程勘查、设计、施工及监理业务行为的处罚</w:t>
            </w:r>
          </w:p>
        </w:tc>
        <w:tc>
          <w:tcPr>
            <w:tcW w:w="660" w:type="dxa"/>
            <w:vAlign w:val="center"/>
          </w:tcPr>
          <w:p w14:paraId="233BE741">
            <w:pPr>
              <w:snapToGrid w:val="0"/>
              <w:spacing w:line="240" w:lineRule="atLeast"/>
              <w:jc w:val="center"/>
              <w:rPr>
                <w:rFonts w:ascii="仿宋_GB2312" w:hAnsi="仿宋_GB2312" w:eastAsia="仿宋_GB2312" w:cs="仿宋_GB2312"/>
                <w:sz w:val="20"/>
                <w:szCs w:val="20"/>
              </w:rPr>
            </w:pPr>
          </w:p>
        </w:tc>
        <w:tc>
          <w:tcPr>
            <w:tcW w:w="615" w:type="dxa"/>
            <w:vAlign w:val="center"/>
          </w:tcPr>
          <w:p w14:paraId="23F6D9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C8A04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535130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6751C3B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（三）无资质证书或者超越其资质等级许可的范围承揽地质灾害危险性评估、地质灾害治理工程勘查、设计、施工及监理业务的。</w:t>
            </w:r>
          </w:p>
        </w:tc>
        <w:tc>
          <w:tcPr>
            <w:tcW w:w="3585" w:type="dxa"/>
            <w:vAlign w:val="center"/>
          </w:tcPr>
          <w:p w14:paraId="4E08DA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1855E10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F492D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F1D7F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A1C7A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BDDD9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218F3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48C1E4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36BCC5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9AEDC3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6E654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E0737F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5BEDB1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8E34F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EE5E8D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51CF44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3E897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61D2B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960C9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E4A13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5C22C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9889E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3505A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4A462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AAAA6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3D3F4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8F69E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999331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EE65597">
            <w:pPr>
              <w:snapToGrid w:val="0"/>
              <w:spacing w:line="240" w:lineRule="atLeast"/>
              <w:jc w:val="center"/>
              <w:rPr>
                <w:rFonts w:ascii="仿宋_GB2312" w:hAnsi="仿宋_GB2312" w:eastAsia="仿宋_GB2312" w:cs="仿宋_GB2312"/>
                <w:sz w:val="20"/>
                <w:szCs w:val="20"/>
              </w:rPr>
            </w:pPr>
          </w:p>
        </w:tc>
      </w:tr>
    </w:tbl>
    <w:p w14:paraId="7DFE1A62"/>
    <w:p w14:paraId="5A278ADB"/>
    <w:p w14:paraId="560C182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49C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F20BBC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CFB4CDA">
            <w:pPr>
              <w:spacing w:line="240" w:lineRule="atLeast"/>
              <w:rPr>
                <w:rFonts w:asciiTheme="majorEastAsia" w:hAnsiTheme="majorEastAsia" w:eastAsiaTheme="majorEastAsia" w:cstheme="majorEastAsia"/>
                <w:spacing w:val="-20"/>
                <w:sz w:val="20"/>
                <w:szCs w:val="20"/>
              </w:rPr>
            </w:pPr>
          </w:p>
          <w:p w14:paraId="18F9783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6BE919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1F941D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FAADAB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913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FB3E172">
            <w:pPr>
              <w:spacing w:line="240" w:lineRule="atLeast"/>
              <w:jc w:val="left"/>
              <w:rPr>
                <w:rFonts w:ascii="仿宋_GB2312" w:hAnsi="仿宋_GB2312" w:eastAsia="仿宋_GB2312" w:cs="仿宋_GB2312"/>
                <w:sz w:val="20"/>
                <w:szCs w:val="20"/>
              </w:rPr>
            </w:pPr>
          </w:p>
        </w:tc>
        <w:tc>
          <w:tcPr>
            <w:tcW w:w="555" w:type="dxa"/>
            <w:vMerge w:val="continue"/>
          </w:tcPr>
          <w:p w14:paraId="566AB0A7">
            <w:pPr>
              <w:spacing w:line="240" w:lineRule="atLeast"/>
              <w:jc w:val="left"/>
              <w:rPr>
                <w:rFonts w:ascii="仿宋_GB2312" w:hAnsi="仿宋_GB2312" w:eastAsia="仿宋_GB2312" w:cs="仿宋_GB2312"/>
                <w:sz w:val="20"/>
                <w:szCs w:val="20"/>
              </w:rPr>
            </w:pPr>
          </w:p>
        </w:tc>
        <w:tc>
          <w:tcPr>
            <w:tcW w:w="784" w:type="dxa"/>
            <w:vAlign w:val="center"/>
          </w:tcPr>
          <w:p w14:paraId="3AE3BB1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BD6E93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4E74E6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1003A7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092B1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82ACB4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918341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9FA1B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C1675D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872E28C">
            <w:pPr>
              <w:spacing w:line="240" w:lineRule="atLeast"/>
              <w:jc w:val="left"/>
              <w:rPr>
                <w:rFonts w:ascii="仿宋_GB2312" w:hAnsi="仿宋_GB2312" w:eastAsia="仿宋_GB2312" w:cs="仿宋_GB2312"/>
                <w:sz w:val="20"/>
                <w:szCs w:val="20"/>
              </w:rPr>
            </w:pPr>
          </w:p>
        </w:tc>
      </w:tr>
      <w:tr w14:paraId="7649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655FF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101</w:t>
            </w:r>
          </w:p>
        </w:tc>
        <w:tc>
          <w:tcPr>
            <w:tcW w:w="555" w:type="dxa"/>
            <w:vAlign w:val="center"/>
          </w:tcPr>
          <w:p w14:paraId="2998AA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30359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FA8C17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2D0896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对以其他单位的名义或者允许其他单位以本单位的名义承揽地质灾害危险性评估、地质灾害治理工程勘查、设计、施工和监理业务行为的处罚</w:t>
            </w:r>
          </w:p>
        </w:tc>
        <w:tc>
          <w:tcPr>
            <w:tcW w:w="660" w:type="dxa"/>
            <w:vAlign w:val="center"/>
          </w:tcPr>
          <w:p w14:paraId="59138C25">
            <w:pPr>
              <w:snapToGrid w:val="0"/>
              <w:spacing w:line="240" w:lineRule="atLeast"/>
              <w:jc w:val="center"/>
              <w:rPr>
                <w:rFonts w:ascii="仿宋_GB2312" w:hAnsi="仿宋_GB2312" w:eastAsia="仿宋_GB2312" w:cs="仿宋_GB2312"/>
                <w:sz w:val="20"/>
                <w:szCs w:val="20"/>
              </w:rPr>
            </w:pPr>
          </w:p>
        </w:tc>
        <w:tc>
          <w:tcPr>
            <w:tcW w:w="615" w:type="dxa"/>
            <w:vAlign w:val="center"/>
          </w:tcPr>
          <w:p w14:paraId="6EBE23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218C3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F03F2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第四十四条：违反本条例规定，有下列行为之一的，由县级以上人民政府国土资源主管部门或者其他部门依据职责责令停止违法行为，对地质灾害危险性评估单位、地质灾害治理工程勘查、设计或者监理单位处合同约定的评估费、勘查费、设计费或者监理酬金1倍以上2倍以下的罚款，对地质灾害治理工程施工单位处工程价款2％以上4％以下的罚款，并可以责令停业整顿，降低资质等级；有违法所得的，没收违法所得；情节严重的，吊销其资质证书；构成犯罪的，依法追究刑事责任；给他人造成损失的，依法承担赔偿责任：</w:t>
            </w:r>
          </w:p>
          <w:p w14:paraId="289EB5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（四）以其他单位的名义或者允许其他单位以本单位的名义承揽地质灾害危险性评估、地质灾害治理工程勘查、设计、施工和监理业务的。</w:t>
            </w:r>
          </w:p>
        </w:tc>
        <w:tc>
          <w:tcPr>
            <w:tcW w:w="3585" w:type="dxa"/>
            <w:vAlign w:val="center"/>
          </w:tcPr>
          <w:p w14:paraId="67840A4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2D58E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FB638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0A9DB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A47C0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884C6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2289E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3EEFE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0F526F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3164A7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39A46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51C70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7FAA70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D6F2AC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95E6F1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A8D463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3E57B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A4528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C2F73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C42BE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B7F7C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373CA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58745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466AA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DA09A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0328A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B11DF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C5C8D4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0A40771">
            <w:pPr>
              <w:snapToGrid w:val="0"/>
              <w:spacing w:line="240" w:lineRule="atLeast"/>
              <w:jc w:val="center"/>
              <w:rPr>
                <w:rFonts w:ascii="仿宋_GB2312" w:hAnsi="仿宋_GB2312" w:eastAsia="仿宋_GB2312" w:cs="仿宋_GB2312"/>
                <w:sz w:val="20"/>
                <w:szCs w:val="20"/>
              </w:rPr>
            </w:pPr>
          </w:p>
        </w:tc>
      </w:tr>
    </w:tbl>
    <w:p w14:paraId="4326AC00"/>
    <w:p w14:paraId="318FE489"/>
    <w:p w14:paraId="6AB44AA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D64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FA09B6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E086F74">
            <w:pPr>
              <w:spacing w:line="240" w:lineRule="atLeast"/>
              <w:rPr>
                <w:rFonts w:asciiTheme="majorEastAsia" w:hAnsiTheme="majorEastAsia" w:eastAsiaTheme="majorEastAsia" w:cstheme="majorEastAsia"/>
                <w:spacing w:val="-20"/>
                <w:sz w:val="20"/>
                <w:szCs w:val="20"/>
              </w:rPr>
            </w:pPr>
          </w:p>
          <w:p w14:paraId="265B315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BA4F7A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67741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8E93BC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EBF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E5A8E83">
            <w:pPr>
              <w:spacing w:line="240" w:lineRule="atLeast"/>
              <w:jc w:val="left"/>
              <w:rPr>
                <w:rFonts w:ascii="仿宋_GB2312" w:hAnsi="仿宋_GB2312" w:eastAsia="仿宋_GB2312" w:cs="仿宋_GB2312"/>
                <w:sz w:val="20"/>
                <w:szCs w:val="20"/>
              </w:rPr>
            </w:pPr>
          </w:p>
        </w:tc>
        <w:tc>
          <w:tcPr>
            <w:tcW w:w="555" w:type="dxa"/>
            <w:vMerge w:val="continue"/>
          </w:tcPr>
          <w:p w14:paraId="0B8C2A5D">
            <w:pPr>
              <w:spacing w:line="240" w:lineRule="atLeast"/>
              <w:jc w:val="left"/>
              <w:rPr>
                <w:rFonts w:ascii="仿宋_GB2312" w:hAnsi="仿宋_GB2312" w:eastAsia="仿宋_GB2312" w:cs="仿宋_GB2312"/>
                <w:sz w:val="20"/>
                <w:szCs w:val="20"/>
              </w:rPr>
            </w:pPr>
          </w:p>
        </w:tc>
        <w:tc>
          <w:tcPr>
            <w:tcW w:w="784" w:type="dxa"/>
            <w:vAlign w:val="center"/>
          </w:tcPr>
          <w:p w14:paraId="28D8D5C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6AF764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7A4FA8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8DD505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D712CF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275E41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B4E2BF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70ABA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2F7194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E5EE93F">
            <w:pPr>
              <w:spacing w:line="240" w:lineRule="atLeast"/>
              <w:jc w:val="left"/>
              <w:rPr>
                <w:rFonts w:ascii="仿宋_GB2312" w:hAnsi="仿宋_GB2312" w:eastAsia="仿宋_GB2312" w:cs="仿宋_GB2312"/>
                <w:sz w:val="20"/>
                <w:szCs w:val="20"/>
              </w:rPr>
            </w:pPr>
          </w:p>
        </w:tc>
      </w:tr>
      <w:tr w14:paraId="7B1D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DC8CB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102</w:t>
            </w:r>
          </w:p>
        </w:tc>
        <w:tc>
          <w:tcPr>
            <w:tcW w:w="555" w:type="dxa"/>
            <w:vAlign w:val="center"/>
          </w:tcPr>
          <w:p w14:paraId="007205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B3F85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DD9D6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566FCD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对侵占、损毁、损坏地质灾害监测设施或者地质灾害治理工程设施行为的处罚</w:t>
            </w:r>
          </w:p>
        </w:tc>
        <w:tc>
          <w:tcPr>
            <w:tcW w:w="660" w:type="dxa"/>
            <w:vAlign w:val="center"/>
          </w:tcPr>
          <w:p w14:paraId="17EA65EE">
            <w:pPr>
              <w:snapToGrid w:val="0"/>
              <w:spacing w:line="240" w:lineRule="atLeast"/>
              <w:jc w:val="center"/>
              <w:rPr>
                <w:rFonts w:ascii="仿宋_GB2312" w:hAnsi="仿宋_GB2312" w:eastAsia="仿宋_GB2312" w:cs="仿宋_GB2312"/>
                <w:sz w:val="20"/>
                <w:szCs w:val="20"/>
              </w:rPr>
            </w:pPr>
          </w:p>
        </w:tc>
        <w:tc>
          <w:tcPr>
            <w:tcW w:w="615" w:type="dxa"/>
            <w:vAlign w:val="center"/>
          </w:tcPr>
          <w:p w14:paraId="556FB8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C47C2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8C842F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四十六条：违反本条例规定，侵占、损毁、损坏地质灾害监测设施或者地质灾害治理工程设施的，由县级以上地方人民政府国土资源主管部门责令停止违法行为，限期恢复原状或者采取补救措施，可以处5万元以下的罚款；构成犯罪的，依法追究刑事责任。</w:t>
            </w:r>
          </w:p>
        </w:tc>
        <w:tc>
          <w:tcPr>
            <w:tcW w:w="3585" w:type="dxa"/>
            <w:vAlign w:val="center"/>
          </w:tcPr>
          <w:p w14:paraId="7AAF54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4893C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E69CA0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报分管领导批准召开案件会审会；重大案件须提交局长办公会或更高层次研究。</w:t>
            </w:r>
          </w:p>
          <w:p w14:paraId="0919D68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79C17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002CD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E6A12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84255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EE47E2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091C68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988E5D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4108C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2895E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E13BF2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97F762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E53630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427C3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6E785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3A8EE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DBF87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21B81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28DBA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9A2F9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32B86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7578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2C096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EA2EC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0DD601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C3ED85A">
            <w:pPr>
              <w:snapToGrid w:val="0"/>
              <w:spacing w:line="240" w:lineRule="atLeast"/>
              <w:jc w:val="center"/>
              <w:rPr>
                <w:rFonts w:ascii="仿宋_GB2312" w:hAnsi="仿宋_GB2312" w:eastAsia="仿宋_GB2312" w:cs="仿宋_GB2312"/>
                <w:sz w:val="20"/>
                <w:szCs w:val="20"/>
              </w:rPr>
            </w:pPr>
          </w:p>
        </w:tc>
      </w:tr>
    </w:tbl>
    <w:p w14:paraId="6C3F5E36"/>
    <w:p w14:paraId="58CCC3F8"/>
    <w:p w14:paraId="06E7271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F85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63362D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AF47E8C">
            <w:pPr>
              <w:spacing w:line="240" w:lineRule="atLeast"/>
              <w:rPr>
                <w:rFonts w:asciiTheme="majorEastAsia" w:hAnsiTheme="majorEastAsia" w:eastAsiaTheme="majorEastAsia" w:cstheme="majorEastAsia"/>
                <w:spacing w:val="-20"/>
                <w:sz w:val="20"/>
                <w:szCs w:val="20"/>
              </w:rPr>
            </w:pPr>
          </w:p>
          <w:p w14:paraId="66D7BD7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B717D6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173108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3C5B74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9A6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1501D2F">
            <w:pPr>
              <w:spacing w:line="240" w:lineRule="atLeast"/>
              <w:jc w:val="left"/>
              <w:rPr>
                <w:rFonts w:ascii="仿宋_GB2312" w:hAnsi="仿宋_GB2312" w:eastAsia="仿宋_GB2312" w:cs="仿宋_GB2312"/>
                <w:sz w:val="20"/>
                <w:szCs w:val="20"/>
              </w:rPr>
            </w:pPr>
          </w:p>
        </w:tc>
        <w:tc>
          <w:tcPr>
            <w:tcW w:w="555" w:type="dxa"/>
            <w:vMerge w:val="continue"/>
          </w:tcPr>
          <w:p w14:paraId="4E1B603B">
            <w:pPr>
              <w:spacing w:line="240" w:lineRule="atLeast"/>
              <w:jc w:val="left"/>
              <w:rPr>
                <w:rFonts w:ascii="仿宋_GB2312" w:hAnsi="仿宋_GB2312" w:eastAsia="仿宋_GB2312" w:cs="仿宋_GB2312"/>
                <w:sz w:val="20"/>
                <w:szCs w:val="20"/>
              </w:rPr>
            </w:pPr>
          </w:p>
        </w:tc>
        <w:tc>
          <w:tcPr>
            <w:tcW w:w="784" w:type="dxa"/>
            <w:vAlign w:val="center"/>
          </w:tcPr>
          <w:p w14:paraId="41F22FC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3027A6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A0D143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89CB25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E478C7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957429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67DD3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B293B9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611C99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D8EF5FE">
            <w:pPr>
              <w:spacing w:line="240" w:lineRule="atLeast"/>
              <w:jc w:val="left"/>
              <w:rPr>
                <w:rFonts w:ascii="仿宋_GB2312" w:hAnsi="仿宋_GB2312" w:eastAsia="仿宋_GB2312" w:cs="仿宋_GB2312"/>
                <w:sz w:val="20"/>
                <w:szCs w:val="20"/>
              </w:rPr>
            </w:pPr>
          </w:p>
        </w:tc>
      </w:tr>
      <w:tr w14:paraId="7E53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5444F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103</w:t>
            </w:r>
          </w:p>
        </w:tc>
        <w:tc>
          <w:tcPr>
            <w:tcW w:w="555" w:type="dxa"/>
            <w:vAlign w:val="center"/>
          </w:tcPr>
          <w:p w14:paraId="036B1C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7866E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725D5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AE98A2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对不及时办理地质灾害危险性评估资质证书变更、注销手续行为的处罚</w:t>
            </w:r>
          </w:p>
        </w:tc>
        <w:tc>
          <w:tcPr>
            <w:tcW w:w="660" w:type="dxa"/>
            <w:vAlign w:val="center"/>
          </w:tcPr>
          <w:p w14:paraId="04321F38">
            <w:pPr>
              <w:snapToGrid w:val="0"/>
              <w:spacing w:line="240" w:lineRule="atLeast"/>
              <w:jc w:val="center"/>
              <w:rPr>
                <w:rFonts w:ascii="仿宋_GB2312" w:hAnsi="仿宋_GB2312" w:eastAsia="仿宋_GB2312" w:cs="仿宋_GB2312"/>
                <w:sz w:val="20"/>
                <w:szCs w:val="20"/>
              </w:rPr>
            </w:pPr>
          </w:p>
        </w:tc>
        <w:tc>
          <w:tcPr>
            <w:tcW w:w="615" w:type="dxa"/>
            <w:vAlign w:val="center"/>
          </w:tcPr>
          <w:p w14:paraId="15E2EC5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20CC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5DA63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危险性评估单位资质管理办法》（2005年国土资源部令第29号公布，2019年自然资源部令第5号修正）第二十二条：资质单位发生合并或者分立的，应当及时到原审批机关办理资质证书注销手续。需要继续从业的，应当重新申请。资质单位名称、地址、法定代表人、技术负责人等事项发生变更的，应当在变更后三十日内，到原审批机关办理资质证书变更手续。资质单位破产、歇业或者因其他原因终止业务活动的，应当在办理营业执照注销手续后十五日内，到原审批机关办理资质证书注销手续。</w:t>
            </w:r>
          </w:p>
          <w:p w14:paraId="61BF49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第二十九条：资质单位违反本办法第二十二条的规定，不及时办理资质证书变更、注销手续的，由县级以上自然资源主管部门责令限期改正；逾期不改的，可以处五千元以下罚款。</w:t>
            </w:r>
          </w:p>
        </w:tc>
        <w:tc>
          <w:tcPr>
            <w:tcW w:w="3585" w:type="dxa"/>
            <w:vAlign w:val="center"/>
          </w:tcPr>
          <w:p w14:paraId="5378FB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2093B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EF5156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85A31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22E54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128B14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6A3E1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54F382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DC6DC7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1C5C2C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52947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0DD86D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1E4E8B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39BFA7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DB10BD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E76222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5DCD0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A6DB3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ECABA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15EE7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B6873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3C4E0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A8143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C59B6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08B60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C3889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4DB8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94E55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F32881C">
            <w:pPr>
              <w:snapToGrid w:val="0"/>
              <w:spacing w:line="240" w:lineRule="atLeast"/>
              <w:jc w:val="center"/>
              <w:rPr>
                <w:rFonts w:ascii="仿宋_GB2312" w:hAnsi="仿宋_GB2312" w:eastAsia="仿宋_GB2312" w:cs="仿宋_GB2312"/>
                <w:sz w:val="20"/>
                <w:szCs w:val="20"/>
              </w:rPr>
            </w:pPr>
          </w:p>
        </w:tc>
      </w:tr>
    </w:tbl>
    <w:p w14:paraId="0FBBE3AE"/>
    <w:p w14:paraId="6852B856"/>
    <w:p w14:paraId="5EA43ED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311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A17600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D302562">
            <w:pPr>
              <w:spacing w:line="240" w:lineRule="atLeast"/>
              <w:rPr>
                <w:rFonts w:asciiTheme="majorEastAsia" w:hAnsiTheme="majorEastAsia" w:eastAsiaTheme="majorEastAsia" w:cstheme="majorEastAsia"/>
                <w:spacing w:val="-20"/>
                <w:sz w:val="20"/>
                <w:szCs w:val="20"/>
              </w:rPr>
            </w:pPr>
          </w:p>
          <w:p w14:paraId="04885B6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E2631F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394FF3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2E49FD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0CE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F4006E6">
            <w:pPr>
              <w:spacing w:line="240" w:lineRule="atLeast"/>
              <w:jc w:val="left"/>
              <w:rPr>
                <w:rFonts w:ascii="仿宋_GB2312" w:hAnsi="仿宋_GB2312" w:eastAsia="仿宋_GB2312" w:cs="仿宋_GB2312"/>
                <w:sz w:val="20"/>
                <w:szCs w:val="20"/>
              </w:rPr>
            </w:pPr>
          </w:p>
        </w:tc>
        <w:tc>
          <w:tcPr>
            <w:tcW w:w="555" w:type="dxa"/>
            <w:vMerge w:val="continue"/>
          </w:tcPr>
          <w:p w14:paraId="0F2E34C3">
            <w:pPr>
              <w:spacing w:line="240" w:lineRule="atLeast"/>
              <w:jc w:val="left"/>
              <w:rPr>
                <w:rFonts w:ascii="仿宋_GB2312" w:hAnsi="仿宋_GB2312" w:eastAsia="仿宋_GB2312" w:cs="仿宋_GB2312"/>
                <w:sz w:val="20"/>
                <w:szCs w:val="20"/>
              </w:rPr>
            </w:pPr>
          </w:p>
        </w:tc>
        <w:tc>
          <w:tcPr>
            <w:tcW w:w="784" w:type="dxa"/>
            <w:vAlign w:val="center"/>
          </w:tcPr>
          <w:p w14:paraId="3DC6A4F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1F790C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5A9325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15EAFB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A55A6D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FB3296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A92936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1F4612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BF4961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19603DC">
            <w:pPr>
              <w:spacing w:line="240" w:lineRule="atLeast"/>
              <w:jc w:val="left"/>
              <w:rPr>
                <w:rFonts w:ascii="仿宋_GB2312" w:hAnsi="仿宋_GB2312" w:eastAsia="仿宋_GB2312" w:cs="仿宋_GB2312"/>
                <w:sz w:val="20"/>
                <w:szCs w:val="20"/>
              </w:rPr>
            </w:pPr>
          </w:p>
        </w:tc>
      </w:tr>
      <w:tr w14:paraId="3EF5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6E9AD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104</w:t>
            </w:r>
          </w:p>
        </w:tc>
        <w:tc>
          <w:tcPr>
            <w:tcW w:w="555" w:type="dxa"/>
            <w:vAlign w:val="center"/>
          </w:tcPr>
          <w:p w14:paraId="7F36EF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D00F6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D8A2E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B3C6EF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对不按时办理地质灾害危险性评估单位资质和项目备案行为的处罚</w:t>
            </w:r>
          </w:p>
        </w:tc>
        <w:tc>
          <w:tcPr>
            <w:tcW w:w="660" w:type="dxa"/>
            <w:vAlign w:val="center"/>
          </w:tcPr>
          <w:p w14:paraId="0DE8EBF8">
            <w:pPr>
              <w:snapToGrid w:val="0"/>
              <w:spacing w:line="240" w:lineRule="atLeast"/>
              <w:jc w:val="center"/>
              <w:rPr>
                <w:rFonts w:ascii="仿宋_GB2312" w:hAnsi="仿宋_GB2312" w:eastAsia="仿宋_GB2312" w:cs="仿宋_GB2312"/>
                <w:sz w:val="20"/>
                <w:szCs w:val="20"/>
              </w:rPr>
            </w:pPr>
          </w:p>
        </w:tc>
        <w:tc>
          <w:tcPr>
            <w:tcW w:w="615" w:type="dxa"/>
            <w:vAlign w:val="center"/>
          </w:tcPr>
          <w:p w14:paraId="1013E9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1F464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CBB0D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危险性评估单位资质管理办法》（2005年国土资源部令第29号公布，2019年自然资源部令第5号修正）第二十七条：资质单位应当在签订地质灾害危险性评估项目合同后十日内，到项目所在地的县级自然资源主管部门进行资质和项目备案。</w:t>
            </w:r>
          </w:p>
          <w:p w14:paraId="09F80E1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评估项目跨行政区域的，资质单位应当向项目所跨行政区域共同的上一级自然资源主管部门备案。</w:t>
            </w:r>
          </w:p>
          <w:p w14:paraId="7AB88D9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第三十条：资质单位违反本办法第二十七条的规定，不按时进行资质和项目备案的，由县级以上自然资源主管部门责令限期改正；逾期不改的，可以处一万元以下的罚款。</w:t>
            </w:r>
          </w:p>
        </w:tc>
        <w:tc>
          <w:tcPr>
            <w:tcW w:w="3585" w:type="dxa"/>
            <w:vAlign w:val="center"/>
          </w:tcPr>
          <w:p w14:paraId="011880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D066F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261AD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FEAF09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26143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12D312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BFEA1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F60DC7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97A8BF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1F5C0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685C2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40A94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EC664E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3821E2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B3B13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12011E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48CC2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E9B3C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0CFE2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3620C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653F2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0FF50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1C49B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E1B57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ED56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5756E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2D0C5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933AC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95C4B0A">
            <w:pPr>
              <w:snapToGrid w:val="0"/>
              <w:spacing w:line="240" w:lineRule="atLeast"/>
              <w:jc w:val="center"/>
              <w:rPr>
                <w:rFonts w:ascii="仿宋_GB2312" w:hAnsi="仿宋_GB2312" w:eastAsia="仿宋_GB2312" w:cs="仿宋_GB2312"/>
                <w:sz w:val="20"/>
                <w:szCs w:val="20"/>
              </w:rPr>
            </w:pPr>
          </w:p>
        </w:tc>
      </w:tr>
    </w:tbl>
    <w:p w14:paraId="35694185"/>
    <w:p w14:paraId="602F5011"/>
    <w:p w14:paraId="2041BB6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76E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E42A51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00468D1">
            <w:pPr>
              <w:spacing w:line="240" w:lineRule="atLeast"/>
              <w:rPr>
                <w:rFonts w:asciiTheme="majorEastAsia" w:hAnsiTheme="majorEastAsia" w:eastAsiaTheme="majorEastAsia" w:cstheme="majorEastAsia"/>
                <w:spacing w:val="-20"/>
                <w:sz w:val="20"/>
                <w:szCs w:val="20"/>
              </w:rPr>
            </w:pPr>
          </w:p>
          <w:p w14:paraId="1C6694F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99BED0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E1415A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A91DAB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EF3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E5ED318">
            <w:pPr>
              <w:spacing w:line="240" w:lineRule="atLeast"/>
              <w:jc w:val="left"/>
              <w:rPr>
                <w:rFonts w:ascii="仿宋_GB2312" w:hAnsi="仿宋_GB2312" w:eastAsia="仿宋_GB2312" w:cs="仿宋_GB2312"/>
                <w:sz w:val="20"/>
                <w:szCs w:val="20"/>
              </w:rPr>
            </w:pPr>
          </w:p>
        </w:tc>
        <w:tc>
          <w:tcPr>
            <w:tcW w:w="555" w:type="dxa"/>
            <w:vMerge w:val="continue"/>
          </w:tcPr>
          <w:p w14:paraId="65A28C3D">
            <w:pPr>
              <w:spacing w:line="240" w:lineRule="atLeast"/>
              <w:jc w:val="left"/>
              <w:rPr>
                <w:rFonts w:ascii="仿宋_GB2312" w:hAnsi="仿宋_GB2312" w:eastAsia="仿宋_GB2312" w:cs="仿宋_GB2312"/>
                <w:sz w:val="20"/>
                <w:szCs w:val="20"/>
              </w:rPr>
            </w:pPr>
          </w:p>
        </w:tc>
        <w:tc>
          <w:tcPr>
            <w:tcW w:w="784" w:type="dxa"/>
            <w:vAlign w:val="center"/>
          </w:tcPr>
          <w:p w14:paraId="4989B1D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24D995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C8CBA4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F9D429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4CED3F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F4358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CA7974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95AC3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EEBEC5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BA9C8F5">
            <w:pPr>
              <w:spacing w:line="240" w:lineRule="atLeast"/>
              <w:jc w:val="left"/>
              <w:rPr>
                <w:rFonts w:ascii="仿宋_GB2312" w:hAnsi="仿宋_GB2312" w:eastAsia="仿宋_GB2312" w:cs="仿宋_GB2312"/>
                <w:sz w:val="20"/>
                <w:szCs w:val="20"/>
              </w:rPr>
            </w:pPr>
          </w:p>
        </w:tc>
      </w:tr>
      <w:tr w14:paraId="6885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38BC5C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105</w:t>
            </w:r>
          </w:p>
        </w:tc>
        <w:tc>
          <w:tcPr>
            <w:tcW w:w="555" w:type="dxa"/>
            <w:vAlign w:val="center"/>
          </w:tcPr>
          <w:p w14:paraId="121D3B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14A470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9464C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B042EB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对不及时办理地质灾害治理工程勘查设计施工单位资质证书变更、注销手续行为的处罚</w:t>
            </w:r>
          </w:p>
        </w:tc>
        <w:tc>
          <w:tcPr>
            <w:tcW w:w="660" w:type="dxa"/>
            <w:vAlign w:val="center"/>
          </w:tcPr>
          <w:p w14:paraId="29A5BE84">
            <w:pPr>
              <w:snapToGrid w:val="0"/>
              <w:spacing w:line="240" w:lineRule="atLeast"/>
              <w:jc w:val="center"/>
              <w:rPr>
                <w:rFonts w:ascii="仿宋_GB2312" w:hAnsi="仿宋_GB2312" w:eastAsia="仿宋_GB2312" w:cs="仿宋_GB2312"/>
                <w:sz w:val="20"/>
                <w:szCs w:val="20"/>
              </w:rPr>
            </w:pPr>
          </w:p>
        </w:tc>
        <w:tc>
          <w:tcPr>
            <w:tcW w:w="615" w:type="dxa"/>
            <w:vAlign w:val="center"/>
          </w:tcPr>
          <w:p w14:paraId="4672C85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48DFC1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6465D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治理工程勘查设计施工单位资质管理办法》（2005年国土资源部令第30号公布，2019年自然资源部令第5号修正）第二十八条：资质单位不按照本办法第二十一条的规定及时办理资质证书变更、注销手续的，由县级以上自然资源主管部门责令限期改正；逾期不改的，可以处五千元以下罚款。</w:t>
            </w:r>
          </w:p>
          <w:p w14:paraId="145E11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第二十一条：资质单位发生合并或者分立的，应当及时到原审批机关办理资质证书注销手续。需要继续从业的，应当重新申请。</w:t>
            </w:r>
          </w:p>
          <w:p w14:paraId="376BA8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资质单位名称、地址、法定代表人、技术负责人等事项发生变更的，应当在变更后三十日内，到原审批机关办理资质证书变更手续。</w:t>
            </w:r>
          </w:p>
          <w:p w14:paraId="58F3999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资质单位破产、歇业或者因其他原因终止业务活动的，应当在办理营业执照注销手续后十五日内，到原审批机关办理资质证书注销手续。</w:t>
            </w:r>
          </w:p>
        </w:tc>
        <w:tc>
          <w:tcPr>
            <w:tcW w:w="3585" w:type="dxa"/>
            <w:vAlign w:val="center"/>
          </w:tcPr>
          <w:p w14:paraId="32D151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B3D18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36868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7DC31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3EB96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85153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337C41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8E165C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915DF0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73BCB7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A10D1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DB8A3C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DE669D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ECA3AE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DC37F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A618D8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4836D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C424C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A0D59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51A64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C4187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10D3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6F111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6F22A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9BE9F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1CF8C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D12E7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3D9932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BB7024A">
            <w:pPr>
              <w:snapToGrid w:val="0"/>
              <w:spacing w:line="240" w:lineRule="atLeast"/>
              <w:jc w:val="center"/>
              <w:rPr>
                <w:rFonts w:ascii="仿宋_GB2312" w:hAnsi="仿宋_GB2312" w:eastAsia="仿宋_GB2312" w:cs="仿宋_GB2312"/>
                <w:sz w:val="20"/>
                <w:szCs w:val="20"/>
              </w:rPr>
            </w:pPr>
          </w:p>
        </w:tc>
      </w:tr>
    </w:tbl>
    <w:p w14:paraId="4FD4BAE9"/>
    <w:p w14:paraId="31158A56"/>
    <w:p w14:paraId="29BAF85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4F6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59FEEA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5BC6863">
            <w:pPr>
              <w:spacing w:line="240" w:lineRule="atLeast"/>
              <w:rPr>
                <w:rFonts w:asciiTheme="majorEastAsia" w:hAnsiTheme="majorEastAsia" w:eastAsiaTheme="majorEastAsia" w:cstheme="majorEastAsia"/>
                <w:spacing w:val="-20"/>
                <w:sz w:val="20"/>
                <w:szCs w:val="20"/>
              </w:rPr>
            </w:pPr>
          </w:p>
          <w:p w14:paraId="2AC1AA4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B5F556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C97E8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AC041F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46A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1B4A933">
            <w:pPr>
              <w:spacing w:line="240" w:lineRule="atLeast"/>
              <w:jc w:val="left"/>
              <w:rPr>
                <w:rFonts w:ascii="仿宋_GB2312" w:hAnsi="仿宋_GB2312" w:eastAsia="仿宋_GB2312" w:cs="仿宋_GB2312"/>
                <w:sz w:val="20"/>
                <w:szCs w:val="20"/>
              </w:rPr>
            </w:pPr>
          </w:p>
        </w:tc>
        <w:tc>
          <w:tcPr>
            <w:tcW w:w="555" w:type="dxa"/>
            <w:vMerge w:val="continue"/>
          </w:tcPr>
          <w:p w14:paraId="4C72A859">
            <w:pPr>
              <w:spacing w:line="240" w:lineRule="atLeast"/>
              <w:jc w:val="left"/>
              <w:rPr>
                <w:rFonts w:ascii="仿宋_GB2312" w:hAnsi="仿宋_GB2312" w:eastAsia="仿宋_GB2312" w:cs="仿宋_GB2312"/>
                <w:sz w:val="20"/>
                <w:szCs w:val="20"/>
              </w:rPr>
            </w:pPr>
          </w:p>
        </w:tc>
        <w:tc>
          <w:tcPr>
            <w:tcW w:w="784" w:type="dxa"/>
            <w:vAlign w:val="center"/>
          </w:tcPr>
          <w:p w14:paraId="61594D7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E9F457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52DCA4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190AEF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6ECB08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831D29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481E7C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73074B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1D8A79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E518D2E">
            <w:pPr>
              <w:spacing w:line="240" w:lineRule="atLeast"/>
              <w:jc w:val="left"/>
              <w:rPr>
                <w:rFonts w:ascii="仿宋_GB2312" w:hAnsi="仿宋_GB2312" w:eastAsia="仿宋_GB2312" w:cs="仿宋_GB2312"/>
                <w:sz w:val="20"/>
                <w:szCs w:val="20"/>
              </w:rPr>
            </w:pPr>
          </w:p>
        </w:tc>
      </w:tr>
      <w:tr w14:paraId="7934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57B2B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106</w:t>
            </w:r>
          </w:p>
        </w:tc>
        <w:tc>
          <w:tcPr>
            <w:tcW w:w="555" w:type="dxa"/>
            <w:vAlign w:val="center"/>
          </w:tcPr>
          <w:p w14:paraId="77EADB4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E0E54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21192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7D0422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对未按规定及时办理地质灾害治理工程监理单位资质证书变更、注销手续行为的处罚</w:t>
            </w:r>
          </w:p>
        </w:tc>
        <w:tc>
          <w:tcPr>
            <w:tcW w:w="660" w:type="dxa"/>
            <w:vAlign w:val="center"/>
          </w:tcPr>
          <w:p w14:paraId="463D4903">
            <w:pPr>
              <w:snapToGrid w:val="0"/>
              <w:spacing w:line="240" w:lineRule="atLeast"/>
              <w:jc w:val="center"/>
              <w:rPr>
                <w:rFonts w:ascii="仿宋_GB2312" w:hAnsi="仿宋_GB2312" w:eastAsia="仿宋_GB2312" w:cs="仿宋_GB2312"/>
                <w:sz w:val="20"/>
                <w:szCs w:val="20"/>
              </w:rPr>
            </w:pPr>
          </w:p>
        </w:tc>
        <w:tc>
          <w:tcPr>
            <w:tcW w:w="615" w:type="dxa"/>
            <w:vAlign w:val="center"/>
          </w:tcPr>
          <w:p w14:paraId="4364D82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4287B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69B30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治理工程监理单位资质管理办法》（2005年国土资源部令第31号公布，2019年自然资源部令第5号修正）第十八条：资质单位发生合并或者分立的，应当及时到原审批机关办理资质证书注销手续。需要继续从业的，重新申请。</w:t>
            </w:r>
          </w:p>
          <w:p w14:paraId="0CFCA48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第十九条：资质单位名称、地址、法定代表人、技术负责人等事项发生变更的，应当在变更后三十日内，到原审批机关办理资质证书变更手续。</w:t>
            </w:r>
          </w:p>
          <w:p w14:paraId="16D012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第二十条：资质单位破产、歇业或者因其他原因终止业务活动的，应当在办理营业执照注销手续后十五日内，到原审批机关办理资质证书注销手续。</w:t>
            </w:r>
          </w:p>
          <w:p w14:paraId="223060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第二十六条： 资质单位不按照本办法第十八条、第十九条和第二十条的规定及时办理资质证书变更、注销手续的，由县级以上自然资源主管部门责令限期改正；逾期不改的，可以处五千元以下罚款。</w:t>
            </w:r>
          </w:p>
        </w:tc>
        <w:tc>
          <w:tcPr>
            <w:tcW w:w="3585" w:type="dxa"/>
            <w:vAlign w:val="center"/>
          </w:tcPr>
          <w:p w14:paraId="7602CC5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DF8EA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45300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6B43B0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87956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3FD00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69383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4847A1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2C606D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7512DE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4671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D4DC6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DE9ADC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2D35E8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D08FC9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B97FAD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A6EE0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DB1ED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A83B7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F782A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B47F3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EABD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76DBB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DA06D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33850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43288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5146B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810DAB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93B03A8">
            <w:pPr>
              <w:snapToGrid w:val="0"/>
              <w:spacing w:line="240" w:lineRule="atLeast"/>
              <w:jc w:val="center"/>
              <w:rPr>
                <w:rFonts w:ascii="仿宋_GB2312" w:hAnsi="仿宋_GB2312" w:eastAsia="仿宋_GB2312" w:cs="仿宋_GB2312"/>
                <w:sz w:val="20"/>
                <w:szCs w:val="20"/>
              </w:rPr>
            </w:pPr>
          </w:p>
        </w:tc>
      </w:tr>
    </w:tbl>
    <w:p w14:paraId="53B82ABB"/>
    <w:p w14:paraId="20671240"/>
    <w:p w14:paraId="630F091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31F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FB8CD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64D6C25">
            <w:pPr>
              <w:spacing w:line="240" w:lineRule="atLeast"/>
              <w:rPr>
                <w:rFonts w:asciiTheme="majorEastAsia" w:hAnsiTheme="majorEastAsia" w:eastAsiaTheme="majorEastAsia" w:cstheme="majorEastAsia"/>
                <w:spacing w:val="-20"/>
                <w:sz w:val="20"/>
                <w:szCs w:val="20"/>
              </w:rPr>
            </w:pPr>
          </w:p>
          <w:p w14:paraId="591691D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531E4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868D0C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39C61A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93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10204A4">
            <w:pPr>
              <w:spacing w:line="240" w:lineRule="atLeast"/>
              <w:jc w:val="left"/>
              <w:rPr>
                <w:rFonts w:ascii="仿宋_GB2312" w:hAnsi="仿宋_GB2312" w:eastAsia="仿宋_GB2312" w:cs="仿宋_GB2312"/>
                <w:sz w:val="20"/>
                <w:szCs w:val="20"/>
              </w:rPr>
            </w:pPr>
          </w:p>
        </w:tc>
        <w:tc>
          <w:tcPr>
            <w:tcW w:w="555" w:type="dxa"/>
            <w:vMerge w:val="continue"/>
          </w:tcPr>
          <w:p w14:paraId="1DB315CF">
            <w:pPr>
              <w:spacing w:line="240" w:lineRule="atLeast"/>
              <w:jc w:val="left"/>
              <w:rPr>
                <w:rFonts w:ascii="仿宋_GB2312" w:hAnsi="仿宋_GB2312" w:eastAsia="仿宋_GB2312" w:cs="仿宋_GB2312"/>
                <w:sz w:val="20"/>
                <w:szCs w:val="20"/>
              </w:rPr>
            </w:pPr>
          </w:p>
        </w:tc>
        <w:tc>
          <w:tcPr>
            <w:tcW w:w="784" w:type="dxa"/>
            <w:vAlign w:val="center"/>
          </w:tcPr>
          <w:p w14:paraId="0ABC8A0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E9E5F9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AEF6F3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A88504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A5E763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ECC23F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8064D2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6586DB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213523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E4C488D">
            <w:pPr>
              <w:spacing w:line="240" w:lineRule="atLeast"/>
              <w:jc w:val="left"/>
              <w:rPr>
                <w:rFonts w:ascii="仿宋_GB2312" w:hAnsi="仿宋_GB2312" w:eastAsia="仿宋_GB2312" w:cs="仿宋_GB2312"/>
                <w:sz w:val="20"/>
                <w:szCs w:val="20"/>
              </w:rPr>
            </w:pPr>
          </w:p>
        </w:tc>
      </w:tr>
      <w:tr w14:paraId="2A66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EDBFD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107</w:t>
            </w:r>
          </w:p>
        </w:tc>
        <w:tc>
          <w:tcPr>
            <w:tcW w:w="555" w:type="dxa"/>
            <w:vAlign w:val="center"/>
          </w:tcPr>
          <w:p w14:paraId="324445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017B6D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64D1C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5E0C5B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对不按规定办理地质灾害治理工程监理单位资质和项目备案手续行为的处罚</w:t>
            </w:r>
          </w:p>
        </w:tc>
        <w:tc>
          <w:tcPr>
            <w:tcW w:w="660" w:type="dxa"/>
            <w:vAlign w:val="center"/>
          </w:tcPr>
          <w:p w14:paraId="67648459">
            <w:pPr>
              <w:snapToGrid w:val="0"/>
              <w:spacing w:line="240" w:lineRule="atLeast"/>
              <w:jc w:val="center"/>
              <w:rPr>
                <w:rFonts w:ascii="仿宋_GB2312" w:hAnsi="仿宋_GB2312" w:eastAsia="仿宋_GB2312" w:cs="仿宋_GB2312"/>
                <w:sz w:val="20"/>
                <w:szCs w:val="20"/>
              </w:rPr>
            </w:pPr>
          </w:p>
        </w:tc>
        <w:tc>
          <w:tcPr>
            <w:tcW w:w="615" w:type="dxa"/>
            <w:vAlign w:val="center"/>
          </w:tcPr>
          <w:p w14:paraId="08E778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D2985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4B02D7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治理工程勘查设计施工单位资质管理办法》（2005年国土资源部令第30号公布，2019年自然资源部令第5号修正）第二十七条：承担地质灾害治理工程项目的资质单位，应当在项目合同签订后十日内，到工程所在地的县级自然资源主管部门备案。</w:t>
            </w:r>
          </w:p>
          <w:p w14:paraId="56FAF7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地质灾害治理工程项目跨行政区域的，资质单位应当向项目所跨行政区域共同的上一级自然资源主管部门备案。</w:t>
            </w:r>
          </w:p>
          <w:p w14:paraId="230E9A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第二十九条：资质单位不按照本办法第二十七条的规定进行备案的，由县级以上自然资源主管部门责令限期改正；逾期仍不改正的，可以处一万元以下罚款。</w:t>
            </w:r>
          </w:p>
        </w:tc>
        <w:tc>
          <w:tcPr>
            <w:tcW w:w="3585" w:type="dxa"/>
            <w:vAlign w:val="center"/>
          </w:tcPr>
          <w:p w14:paraId="53954D1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F2757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C8C48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D7018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460D9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58511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BA043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98235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7AE599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637BAA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FD6CD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2D9361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F84139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DF6597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817C1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5E4303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46D93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F8D32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2C1F0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C018F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046C0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8E37E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B3218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10DF7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96E1A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F6354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3130E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44D6C3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AF3A239">
            <w:pPr>
              <w:snapToGrid w:val="0"/>
              <w:spacing w:line="240" w:lineRule="atLeast"/>
              <w:jc w:val="center"/>
              <w:rPr>
                <w:rFonts w:ascii="仿宋_GB2312" w:hAnsi="仿宋_GB2312" w:eastAsia="仿宋_GB2312" w:cs="仿宋_GB2312"/>
                <w:sz w:val="20"/>
                <w:szCs w:val="20"/>
              </w:rPr>
            </w:pPr>
          </w:p>
        </w:tc>
      </w:tr>
    </w:tbl>
    <w:p w14:paraId="0FBD016C"/>
    <w:p w14:paraId="2326DCCA"/>
    <w:p w14:paraId="626D355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CD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DC3F06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CE62D22">
            <w:pPr>
              <w:spacing w:line="240" w:lineRule="atLeast"/>
              <w:rPr>
                <w:rFonts w:asciiTheme="majorEastAsia" w:hAnsiTheme="majorEastAsia" w:eastAsiaTheme="majorEastAsia" w:cstheme="majorEastAsia"/>
                <w:spacing w:val="-20"/>
                <w:sz w:val="20"/>
                <w:szCs w:val="20"/>
              </w:rPr>
            </w:pPr>
          </w:p>
          <w:p w14:paraId="25634E8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A71273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C56D5A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A5AC6C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7FD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9A5706D">
            <w:pPr>
              <w:spacing w:line="240" w:lineRule="atLeast"/>
              <w:jc w:val="left"/>
              <w:rPr>
                <w:rFonts w:ascii="仿宋_GB2312" w:hAnsi="仿宋_GB2312" w:eastAsia="仿宋_GB2312" w:cs="仿宋_GB2312"/>
                <w:sz w:val="20"/>
                <w:szCs w:val="20"/>
              </w:rPr>
            </w:pPr>
          </w:p>
        </w:tc>
        <w:tc>
          <w:tcPr>
            <w:tcW w:w="555" w:type="dxa"/>
            <w:vMerge w:val="continue"/>
          </w:tcPr>
          <w:p w14:paraId="03E1778A">
            <w:pPr>
              <w:spacing w:line="240" w:lineRule="atLeast"/>
              <w:jc w:val="left"/>
              <w:rPr>
                <w:rFonts w:ascii="仿宋_GB2312" w:hAnsi="仿宋_GB2312" w:eastAsia="仿宋_GB2312" w:cs="仿宋_GB2312"/>
                <w:sz w:val="20"/>
                <w:szCs w:val="20"/>
              </w:rPr>
            </w:pPr>
          </w:p>
        </w:tc>
        <w:tc>
          <w:tcPr>
            <w:tcW w:w="784" w:type="dxa"/>
            <w:vAlign w:val="center"/>
          </w:tcPr>
          <w:p w14:paraId="5969F8E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51BA44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D841D4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73C62F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67DC1D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6CE7C7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9D79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B9818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E133A5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B5C5304">
            <w:pPr>
              <w:spacing w:line="240" w:lineRule="atLeast"/>
              <w:jc w:val="left"/>
              <w:rPr>
                <w:rFonts w:ascii="仿宋_GB2312" w:hAnsi="仿宋_GB2312" w:eastAsia="仿宋_GB2312" w:cs="仿宋_GB2312"/>
                <w:sz w:val="20"/>
                <w:szCs w:val="20"/>
              </w:rPr>
            </w:pPr>
          </w:p>
        </w:tc>
      </w:tr>
      <w:tr w14:paraId="2479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B8896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108</w:t>
            </w:r>
          </w:p>
        </w:tc>
        <w:tc>
          <w:tcPr>
            <w:tcW w:w="555" w:type="dxa"/>
            <w:vAlign w:val="center"/>
          </w:tcPr>
          <w:p w14:paraId="3BCDB9D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339E0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58DFF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D680FD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对未按照批准的矿山地质环境保护与治理恢复方案治理的，或者在矿山被批准关闭、闭坑前未完成治理恢复行为的处罚</w:t>
            </w:r>
          </w:p>
        </w:tc>
        <w:tc>
          <w:tcPr>
            <w:tcW w:w="660" w:type="dxa"/>
            <w:vAlign w:val="center"/>
          </w:tcPr>
          <w:p w14:paraId="0644897A">
            <w:pPr>
              <w:snapToGrid w:val="0"/>
              <w:spacing w:line="240" w:lineRule="atLeast"/>
              <w:jc w:val="center"/>
              <w:rPr>
                <w:rFonts w:ascii="仿宋_GB2312" w:hAnsi="仿宋_GB2312" w:eastAsia="仿宋_GB2312" w:cs="仿宋_GB2312"/>
                <w:sz w:val="20"/>
                <w:szCs w:val="20"/>
              </w:rPr>
            </w:pPr>
          </w:p>
        </w:tc>
        <w:tc>
          <w:tcPr>
            <w:tcW w:w="615" w:type="dxa"/>
            <w:vAlign w:val="center"/>
          </w:tcPr>
          <w:p w14:paraId="557A24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DD636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9259F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【部门规章】《矿山地质环境保护规定》（2009年国土资源部令第44号发布，2019年自然资源部令第5号修正）第四条：自然资源部负责全国矿山地质环境的保护工作。</w:t>
            </w:r>
          </w:p>
          <w:p w14:paraId="7EB0C28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县级以上地方自然资源主管部门负责本行政区的矿山地质环境保护工作。</w:t>
            </w:r>
          </w:p>
          <w:p w14:paraId="3FCFAEE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七条：违反本规定，未按照批准的矿山地质环境保护与土地复垦方案治理的，或者在矿山被批准关闭、闭坑前未完成治理恢复的，责令限期改正，并列入矿业权人异常名录或严重违法名单；逾期拒不改正的或整改不到位的，处3万元以下的罚款，不受理其申请新的采矿权许可证或者申请采矿权许可证延续、变更、注销。</w:t>
            </w:r>
          </w:p>
        </w:tc>
        <w:tc>
          <w:tcPr>
            <w:tcW w:w="3585" w:type="dxa"/>
            <w:vAlign w:val="center"/>
          </w:tcPr>
          <w:p w14:paraId="3995837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FAAF0F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2.调查阶段责任：对立案的案件，指定专人负责，及时组织调查取证，与当事人有直接利害关系的应当回避。执法人员不得少于两人，调查时应出示执法证件，允许当事人辩解陈述。执法人员应保守有关秘密。</w:t>
            </w:r>
          </w:p>
          <w:p w14:paraId="440AA9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95A68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F132CF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F681A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DDDA9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2AD16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7CDF74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43F5D0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6A3C1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F7AAE2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D3A61A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0FE92F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A86B7F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023D1B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806EC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E3994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74508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4BD67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A26B8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02911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D5614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65C13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2359E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B320C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8D42AD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3BECAB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A85C45D">
            <w:pPr>
              <w:snapToGrid w:val="0"/>
              <w:spacing w:line="240" w:lineRule="atLeast"/>
              <w:jc w:val="center"/>
              <w:rPr>
                <w:rFonts w:ascii="仿宋_GB2312" w:hAnsi="仿宋_GB2312" w:eastAsia="仿宋_GB2312" w:cs="仿宋_GB2312"/>
                <w:sz w:val="20"/>
                <w:szCs w:val="20"/>
              </w:rPr>
            </w:pPr>
          </w:p>
        </w:tc>
      </w:tr>
    </w:tbl>
    <w:p w14:paraId="5A6DB088"/>
    <w:p w14:paraId="5D3CBC0A"/>
    <w:p w14:paraId="08686B4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794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2360E6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E125BE6">
            <w:pPr>
              <w:spacing w:line="240" w:lineRule="atLeast"/>
              <w:rPr>
                <w:rFonts w:asciiTheme="majorEastAsia" w:hAnsiTheme="majorEastAsia" w:eastAsiaTheme="majorEastAsia" w:cstheme="majorEastAsia"/>
                <w:spacing w:val="-20"/>
                <w:sz w:val="20"/>
                <w:szCs w:val="20"/>
              </w:rPr>
            </w:pPr>
          </w:p>
          <w:p w14:paraId="45FB3BF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73FCE2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428FB2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5927E9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340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7896AB2">
            <w:pPr>
              <w:spacing w:line="240" w:lineRule="atLeast"/>
              <w:jc w:val="left"/>
              <w:rPr>
                <w:rFonts w:ascii="仿宋_GB2312" w:hAnsi="仿宋_GB2312" w:eastAsia="仿宋_GB2312" w:cs="仿宋_GB2312"/>
                <w:sz w:val="20"/>
                <w:szCs w:val="20"/>
              </w:rPr>
            </w:pPr>
          </w:p>
        </w:tc>
        <w:tc>
          <w:tcPr>
            <w:tcW w:w="555" w:type="dxa"/>
            <w:vMerge w:val="continue"/>
          </w:tcPr>
          <w:p w14:paraId="04C6FCF1">
            <w:pPr>
              <w:spacing w:line="240" w:lineRule="atLeast"/>
              <w:jc w:val="left"/>
              <w:rPr>
                <w:rFonts w:ascii="仿宋_GB2312" w:hAnsi="仿宋_GB2312" w:eastAsia="仿宋_GB2312" w:cs="仿宋_GB2312"/>
                <w:sz w:val="20"/>
                <w:szCs w:val="20"/>
              </w:rPr>
            </w:pPr>
          </w:p>
        </w:tc>
        <w:tc>
          <w:tcPr>
            <w:tcW w:w="784" w:type="dxa"/>
            <w:vAlign w:val="center"/>
          </w:tcPr>
          <w:p w14:paraId="327B941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7EB6A6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859031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4DE50D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386C0A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26F134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EA8C9D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918F7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6F1E3E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3FBA23D">
            <w:pPr>
              <w:spacing w:line="240" w:lineRule="atLeast"/>
              <w:jc w:val="left"/>
              <w:rPr>
                <w:rFonts w:ascii="仿宋_GB2312" w:hAnsi="仿宋_GB2312" w:eastAsia="仿宋_GB2312" w:cs="仿宋_GB2312"/>
                <w:sz w:val="20"/>
                <w:szCs w:val="20"/>
              </w:rPr>
            </w:pPr>
          </w:p>
        </w:tc>
      </w:tr>
      <w:tr w14:paraId="6670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20C70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109</w:t>
            </w:r>
          </w:p>
        </w:tc>
        <w:tc>
          <w:tcPr>
            <w:tcW w:w="555" w:type="dxa"/>
            <w:vAlign w:val="center"/>
          </w:tcPr>
          <w:p w14:paraId="22AB2C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AD19C3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D55EA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7AC41D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对未按规定计提矿山地质环境治理恢复基金行为的处罚</w:t>
            </w:r>
          </w:p>
        </w:tc>
        <w:tc>
          <w:tcPr>
            <w:tcW w:w="660" w:type="dxa"/>
            <w:vAlign w:val="center"/>
          </w:tcPr>
          <w:p w14:paraId="7B6F7C3E">
            <w:pPr>
              <w:snapToGrid w:val="0"/>
              <w:spacing w:line="240" w:lineRule="atLeast"/>
              <w:jc w:val="center"/>
              <w:rPr>
                <w:rFonts w:ascii="仿宋_GB2312" w:hAnsi="仿宋_GB2312" w:eastAsia="仿宋_GB2312" w:cs="仿宋_GB2312"/>
                <w:sz w:val="20"/>
                <w:szCs w:val="20"/>
              </w:rPr>
            </w:pPr>
          </w:p>
        </w:tc>
        <w:tc>
          <w:tcPr>
            <w:tcW w:w="615" w:type="dxa"/>
            <w:vAlign w:val="center"/>
          </w:tcPr>
          <w:p w14:paraId="1B4DF0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CFA83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AC4BAF5">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部门规章】《矿山地质环境保护规定》（2009年国土资源部令第44号发布，2019年自然资源部令第5号修正）第二十八条：违反本规定，未按规定计提矿山地质环境治理恢复基金的，由县级以上自然资源主管部门责令限期计提；逾期不计提的，处3万元以下的罚款。颁发采矿许可证的自然资源主管部门不得通过其采矿活动年度报告，不受理其采矿权延续变更申请。</w:t>
            </w:r>
          </w:p>
        </w:tc>
        <w:tc>
          <w:tcPr>
            <w:tcW w:w="3585" w:type="dxa"/>
            <w:vAlign w:val="center"/>
          </w:tcPr>
          <w:p w14:paraId="43E82136">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1.立案阶段责任：接到举报或相关部门转送、巡查发现违法行为，及时予以审查，决定是否立案。下达《责令停止违法行为通知书》。</w:t>
            </w:r>
          </w:p>
          <w:p w14:paraId="5EF5B5F9">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9484ACA">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39DF80DB">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FC2DD9C">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5.决定阶段责任：制作行政处罚决定书，载明行政处罚告知、当事人陈述申辩或者听证情况等内容。符合刑事案件移送条件的，及时移送。</w:t>
            </w:r>
          </w:p>
          <w:p w14:paraId="401EECAD">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6.送达阶段责任：行政处罚决定书按法律规定的方式送达当事人。</w:t>
            </w:r>
          </w:p>
          <w:p w14:paraId="4305C751">
            <w:pPr>
              <w:widowControl/>
              <w:adjustRightInd w:val="0"/>
              <w:snapToGrid w:val="0"/>
              <w:spacing w:line="230" w:lineRule="exact"/>
              <w:ind w:firstLine="400" w:firstLineChars="200"/>
              <w:rPr>
                <w:rFonts w:eastAsia="仿宋_GB2312" w:cs="宋体"/>
                <w:snapToGrid w:val="0"/>
                <w:color w:val="000000"/>
                <w:sz w:val="20"/>
                <w:szCs w:val="20"/>
              </w:rPr>
            </w:pPr>
            <w:r>
              <w:rPr>
                <w:rFonts w:hint="eastAsia" w:eastAsia="仿宋_GB2312" w:cs="宋体"/>
                <w:snapToGrid w:val="0"/>
                <w:color w:val="000000"/>
                <w:sz w:val="20"/>
                <w:szCs w:val="20"/>
              </w:rPr>
              <w:t>7.执行阶段责任：当事人履行处罚决定的，及时结案；未履行处罚决定，依照生效的行政处罚决定，按程序下达催缴（告）通知书和申请人民法院强制执行。</w:t>
            </w:r>
          </w:p>
          <w:p w14:paraId="0158E75B">
            <w:pPr>
              <w:snapToGrid w:val="0"/>
              <w:spacing w:line="240" w:lineRule="atLeast"/>
              <w:ind w:firstLine="400" w:firstLineChars="200"/>
              <w:rPr>
                <w:rFonts w:ascii="仿宋_GB2312" w:hAnsi="仿宋_GB2312" w:eastAsia="仿宋_GB2312" w:cs="仿宋_GB2312"/>
                <w:sz w:val="20"/>
                <w:szCs w:val="20"/>
              </w:rPr>
            </w:pPr>
            <w:r>
              <w:rPr>
                <w:rFonts w:hint="eastAsia" w:eastAsia="仿宋_GB2312" w:cs="宋体"/>
                <w:snapToGrid w:val="0"/>
                <w:color w:val="000000"/>
                <w:sz w:val="20"/>
                <w:szCs w:val="20"/>
              </w:rPr>
              <w:t>8.其他法律法规规章文件规定应履行的责任。</w:t>
            </w:r>
          </w:p>
        </w:tc>
        <w:tc>
          <w:tcPr>
            <w:tcW w:w="9515" w:type="dxa"/>
            <w:vAlign w:val="center"/>
          </w:tcPr>
          <w:p w14:paraId="3110149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1962E1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36FF4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C20EDB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21F21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7D7D6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C773F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DABFB8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B901F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302D5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C0516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340BF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CA376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116D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E8D63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69690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6FA70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4FB98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D875A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8B7F5B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A21DCDD">
            <w:pPr>
              <w:snapToGrid w:val="0"/>
              <w:spacing w:line="240" w:lineRule="atLeast"/>
              <w:jc w:val="center"/>
              <w:rPr>
                <w:rFonts w:ascii="仿宋_GB2312" w:hAnsi="仿宋_GB2312" w:eastAsia="仿宋_GB2312" w:cs="仿宋_GB2312"/>
                <w:sz w:val="20"/>
                <w:szCs w:val="20"/>
              </w:rPr>
            </w:pPr>
          </w:p>
        </w:tc>
      </w:tr>
    </w:tbl>
    <w:p w14:paraId="0CB8367C"/>
    <w:p w14:paraId="7413C14B"/>
    <w:p w14:paraId="18D31CE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0F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3F21F0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3C8EFA3">
            <w:pPr>
              <w:spacing w:line="240" w:lineRule="atLeast"/>
              <w:rPr>
                <w:rFonts w:asciiTheme="majorEastAsia" w:hAnsiTheme="majorEastAsia" w:eastAsiaTheme="majorEastAsia" w:cstheme="majorEastAsia"/>
                <w:spacing w:val="-20"/>
                <w:sz w:val="20"/>
                <w:szCs w:val="20"/>
              </w:rPr>
            </w:pPr>
          </w:p>
          <w:p w14:paraId="088F2E2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92E0FA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D8E592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FC4043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352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77224F8">
            <w:pPr>
              <w:spacing w:line="240" w:lineRule="atLeast"/>
              <w:jc w:val="left"/>
              <w:rPr>
                <w:rFonts w:ascii="仿宋_GB2312" w:hAnsi="仿宋_GB2312" w:eastAsia="仿宋_GB2312" w:cs="仿宋_GB2312"/>
                <w:sz w:val="20"/>
                <w:szCs w:val="20"/>
              </w:rPr>
            </w:pPr>
          </w:p>
        </w:tc>
        <w:tc>
          <w:tcPr>
            <w:tcW w:w="555" w:type="dxa"/>
            <w:vMerge w:val="continue"/>
          </w:tcPr>
          <w:p w14:paraId="22C60058">
            <w:pPr>
              <w:spacing w:line="240" w:lineRule="atLeast"/>
              <w:jc w:val="left"/>
              <w:rPr>
                <w:rFonts w:ascii="仿宋_GB2312" w:hAnsi="仿宋_GB2312" w:eastAsia="仿宋_GB2312" w:cs="仿宋_GB2312"/>
                <w:sz w:val="20"/>
                <w:szCs w:val="20"/>
              </w:rPr>
            </w:pPr>
          </w:p>
        </w:tc>
        <w:tc>
          <w:tcPr>
            <w:tcW w:w="784" w:type="dxa"/>
            <w:vAlign w:val="center"/>
          </w:tcPr>
          <w:p w14:paraId="54E5C07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CE6CE7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B34D9A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C19D65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3560D3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2F08CF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C91CA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4AFF5E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36CE8B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51583DD">
            <w:pPr>
              <w:spacing w:line="240" w:lineRule="atLeast"/>
              <w:jc w:val="left"/>
              <w:rPr>
                <w:rFonts w:ascii="仿宋_GB2312" w:hAnsi="仿宋_GB2312" w:eastAsia="仿宋_GB2312" w:cs="仿宋_GB2312"/>
                <w:sz w:val="20"/>
                <w:szCs w:val="20"/>
              </w:rPr>
            </w:pPr>
          </w:p>
        </w:tc>
      </w:tr>
      <w:tr w14:paraId="28F3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B9EB86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110</w:t>
            </w:r>
          </w:p>
        </w:tc>
        <w:tc>
          <w:tcPr>
            <w:tcW w:w="555" w:type="dxa"/>
            <w:vAlign w:val="center"/>
          </w:tcPr>
          <w:p w14:paraId="3DF700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08654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71058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FBF01C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对应当编制矿山地质环境保护与土地复垦方案而未编制的，或者扩大开采规模、变更矿区范围或者开采方式，未重新编制矿山地质环境保护与土地复垦方案并经原审批机关批准行为的处罚</w:t>
            </w:r>
          </w:p>
        </w:tc>
        <w:tc>
          <w:tcPr>
            <w:tcW w:w="660" w:type="dxa"/>
            <w:vAlign w:val="center"/>
          </w:tcPr>
          <w:p w14:paraId="544E0C4F">
            <w:pPr>
              <w:snapToGrid w:val="0"/>
              <w:spacing w:line="240" w:lineRule="atLeast"/>
              <w:jc w:val="center"/>
              <w:rPr>
                <w:rFonts w:ascii="仿宋_GB2312" w:hAnsi="仿宋_GB2312" w:eastAsia="仿宋_GB2312" w:cs="仿宋_GB2312"/>
                <w:sz w:val="20"/>
                <w:szCs w:val="20"/>
              </w:rPr>
            </w:pPr>
          </w:p>
        </w:tc>
        <w:tc>
          <w:tcPr>
            <w:tcW w:w="615" w:type="dxa"/>
            <w:vAlign w:val="center"/>
          </w:tcPr>
          <w:p w14:paraId="542E45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114CD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B4291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【部门规章】《矿山地质环境保护规定》（2009年国土资源部令第44号发布，2019年自然资源部令第5号修正）第四条：自然资源部负责全国矿山地质环境的保护工作。</w:t>
            </w:r>
          </w:p>
          <w:p w14:paraId="36AADC0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县级以上地方自然资源主管部门负责本行政区的矿山地质环境保护工作。</w:t>
            </w:r>
          </w:p>
          <w:p w14:paraId="6F8EFD8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六条：违反本规定，应当编制矿山地质环境保护与土地复垦方案而未编制的，或者扩大开采规模、变更矿区范围或者开采方式，未重新编制矿山地质环境保护与土地复垦方案并经原审批机关批准的，责令限期改正，并列入矿业权人异常名录或严重违法名单；逾期不改正的，处3万元以下的罚款，不受理其申请新的采矿许可证或者申请采矿许可证延续、变更、注销。</w:t>
            </w:r>
          </w:p>
        </w:tc>
        <w:tc>
          <w:tcPr>
            <w:tcW w:w="3585" w:type="dxa"/>
            <w:vAlign w:val="center"/>
          </w:tcPr>
          <w:p w14:paraId="034D1CA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0869E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E48E1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EED12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F87D0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F04747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4C69F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AECB16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3A70C6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C54254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863C7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3CDF9B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4C6176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3276B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E32CC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62EA73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71861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60D38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D3985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2341A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4C950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6D35D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B6AED2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4D6A0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96756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215FF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0621E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266686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0452E7D">
            <w:pPr>
              <w:snapToGrid w:val="0"/>
              <w:spacing w:line="240" w:lineRule="atLeast"/>
              <w:jc w:val="center"/>
              <w:rPr>
                <w:rFonts w:ascii="仿宋_GB2312" w:hAnsi="仿宋_GB2312" w:eastAsia="仿宋_GB2312" w:cs="仿宋_GB2312"/>
                <w:sz w:val="20"/>
                <w:szCs w:val="20"/>
              </w:rPr>
            </w:pPr>
          </w:p>
        </w:tc>
      </w:tr>
    </w:tbl>
    <w:p w14:paraId="0D85DA6B"/>
    <w:p w14:paraId="4AD67BFF"/>
    <w:p w14:paraId="5C2119C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7B6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07C86D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40BC619">
            <w:pPr>
              <w:spacing w:line="240" w:lineRule="atLeast"/>
              <w:rPr>
                <w:rFonts w:asciiTheme="majorEastAsia" w:hAnsiTheme="majorEastAsia" w:eastAsiaTheme="majorEastAsia" w:cstheme="majorEastAsia"/>
                <w:spacing w:val="-20"/>
                <w:sz w:val="20"/>
                <w:szCs w:val="20"/>
              </w:rPr>
            </w:pPr>
          </w:p>
          <w:p w14:paraId="62F9B9D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96811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F5739B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8ECF6A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1D8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3BAAEA6">
            <w:pPr>
              <w:spacing w:line="240" w:lineRule="atLeast"/>
              <w:jc w:val="left"/>
              <w:rPr>
                <w:rFonts w:ascii="仿宋_GB2312" w:hAnsi="仿宋_GB2312" w:eastAsia="仿宋_GB2312" w:cs="仿宋_GB2312"/>
                <w:sz w:val="20"/>
                <w:szCs w:val="20"/>
              </w:rPr>
            </w:pPr>
          </w:p>
        </w:tc>
        <w:tc>
          <w:tcPr>
            <w:tcW w:w="555" w:type="dxa"/>
            <w:vMerge w:val="continue"/>
          </w:tcPr>
          <w:p w14:paraId="778D1A35">
            <w:pPr>
              <w:spacing w:line="240" w:lineRule="atLeast"/>
              <w:jc w:val="left"/>
              <w:rPr>
                <w:rFonts w:ascii="仿宋_GB2312" w:hAnsi="仿宋_GB2312" w:eastAsia="仿宋_GB2312" w:cs="仿宋_GB2312"/>
                <w:sz w:val="20"/>
                <w:szCs w:val="20"/>
              </w:rPr>
            </w:pPr>
          </w:p>
        </w:tc>
        <w:tc>
          <w:tcPr>
            <w:tcW w:w="784" w:type="dxa"/>
            <w:vAlign w:val="center"/>
          </w:tcPr>
          <w:p w14:paraId="2801621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A4AA92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F1578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F4A21D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A4F59F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A9D62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185D36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2F7FDF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904883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2A61301">
            <w:pPr>
              <w:spacing w:line="240" w:lineRule="atLeast"/>
              <w:jc w:val="left"/>
              <w:rPr>
                <w:rFonts w:ascii="仿宋_GB2312" w:hAnsi="仿宋_GB2312" w:eastAsia="仿宋_GB2312" w:cs="仿宋_GB2312"/>
                <w:sz w:val="20"/>
                <w:szCs w:val="20"/>
              </w:rPr>
            </w:pPr>
          </w:p>
        </w:tc>
      </w:tr>
      <w:tr w14:paraId="7C8A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6073F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111</w:t>
            </w:r>
          </w:p>
        </w:tc>
        <w:tc>
          <w:tcPr>
            <w:tcW w:w="555" w:type="dxa"/>
            <w:vAlign w:val="center"/>
          </w:tcPr>
          <w:p w14:paraId="1B183B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4E378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976F8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51E43D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对扰乱、阻碍矿山地质环境保护与治理恢复工作，侵占、损坏、损毁矿山地质环境监测设施或者矿山地质环境保护与治理恢复设施行为的处罚</w:t>
            </w:r>
          </w:p>
        </w:tc>
        <w:tc>
          <w:tcPr>
            <w:tcW w:w="660" w:type="dxa"/>
            <w:vAlign w:val="center"/>
          </w:tcPr>
          <w:p w14:paraId="4C3ED20A">
            <w:pPr>
              <w:snapToGrid w:val="0"/>
              <w:spacing w:line="240" w:lineRule="atLeast"/>
              <w:jc w:val="center"/>
              <w:rPr>
                <w:rFonts w:ascii="仿宋_GB2312" w:hAnsi="仿宋_GB2312" w:eastAsia="仿宋_GB2312" w:cs="仿宋_GB2312"/>
                <w:sz w:val="20"/>
                <w:szCs w:val="20"/>
              </w:rPr>
            </w:pPr>
          </w:p>
        </w:tc>
        <w:tc>
          <w:tcPr>
            <w:tcW w:w="615" w:type="dxa"/>
            <w:vAlign w:val="center"/>
          </w:tcPr>
          <w:p w14:paraId="281824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8D1FB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8F13F7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矿山地质环境保护规定》（2009年国土资源部令第44号发布，2019年自然资源部令第5号修正）第三十条：违反本规定，扰乱、阻碍矿山地质环境保护与治理恢复工作，侵占、损坏、损毁矿山地质环境监测设施或者矿山地质环境保护与治理恢复设施的，由县级以上自然资源主管部门责令停止违法行为，限期恢复原状或者采取补救措施，并处3万元以下的罚款；构成犯罪的，依法追究刑事责任。</w:t>
            </w:r>
          </w:p>
        </w:tc>
        <w:tc>
          <w:tcPr>
            <w:tcW w:w="3585" w:type="dxa"/>
            <w:vAlign w:val="center"/>
          </w:tcPr>
          <w:p w14:paraId="5DCBB2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B230A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8024D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9446CC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18B61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4DC96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B2B8E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B7BF61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3189B6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1A0180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AC9C4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383C13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4B611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7B37AB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EF9ED9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6E38FD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CA83E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BF7A1C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B3717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D3DD7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00C56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EE62C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02424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F4F2B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1D85A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695E8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71516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98EDF3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7817C56">
            <w:pPr>
              <w:snapToGrid w:val="0"/>
              <w:spacing w:line="240" w:lineRule="atLeast"/>
              <w:jc w:val="center"/>
              <w:rPr>
                <w:rFonts w:ascii="仿宋_GB2312" w:hAnsi="仿宋_GB2312" w:eastAsia="仿宋_GB2312" w:cs="仿宋_GB2312"/>
                <w:sz w:val="20"/>
                <w:szCs w:val="20"/>
              </w:rPr>
            </w:pPr>
          </w:p>
        </w:tc>
      </w:tr>
    </w:tbl>
    <w:p w14:paraId="70768B54"/>
    <w:p w14:paraId="639F864E"/>
    <w:p w14:paraId="11C602C6"/>
    <w:p w14:paraId="31C0DDE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0DC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A8F7ED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A7C7F7C">
            <w:pPr>
              <w:spacing w:line="240" w:lineRule="atLeast"/>
              <w:rPr>
                <w:rFonts w:asciiTheme="majorEastAsia" w:hAnsiTheme="majorEastAsia" w:eastAsiaTheme="majorEastAsia" w:cstheme="majorEastAsia"/>
                <w:spacing w:val="-20"/>
                <w:sz w:val="20"/>
                <w:szCs w:val="20"/>
              </w:rPr>
            </w:pPr>
          </w:p>
          <w:p w14:paraId="7D52D61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946490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2675BA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51F2D8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708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E4D2F4A">
            <w:pPr>
              <w:spacing w:line="240" w:lineRule="atLeast"/>
              <w:jc w:val="left"/>
              <w:rPr>
                <w:rFonts w:ascii="仿宋_GB2312" w:hAnsi="仿宋_GB2312" w:eastAsia="仿宋_GB2312" w:cs="仿宋_GB2312"/>
                <w:sz w:val="20"/>
                <w:szCs w:val="20"/>
              </w:rPr>
            </w:pPr>
          </w:p>
        </w:tc>
        <w:tc>
          <w:tcPr>
            <w:tcW w:w="555" w:type="dxa"/>
            <w:vMerge w:val="continue"/>
          </w:tcPr>
          <w:p w14:paraId="5B82AEA9">
            <w:pPr>
              <w:spacing w:line="240" w:lineRule="atLeast"/>
              <w:jc w:val="left"/>
              <w:rPr>
                <w:rFonts w:ascii="仿宋_GB2312" w:hAnsi="仿宋_GB2312" w:eastAsia="仿宋_GB2312" w:cs="仿宋_GB2312"/>
                <w:sz w:val="20"/>
                <w:szCs w:val="20"/>
              </w:rPr>
            </w:pPr>
          </w:p>
        </w:tc>
        <w:tc>
          <w:tcPr>
            <w:tcW w:w="784" w:type="dxa"/>
            <w:vAlign w:val="center"/>
          </w:tcPr>
          <w:p w14:paraId="4E3934B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2A18C2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6F6363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CEF392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D905C5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C09D02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E28A21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425E8A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791981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BD7AB98">
            <w:pPr>
              <w:spacing w:line="240" w:lineRule="atLeast"/>
              <w:jc w:val="left"/>
              <w:rPr>
                <w:rFonts w:ascii="仿宋_GB2312" w:hAnsi="仿宋_GB2312" w:eastAsia="仿宋_GB2312" w:cs="仿宋_GB2312"/>
                <w:sz w:val="20"/>
                <w:szCs w:val="20"/>
              </w:rPr>
            </w:pPr>
          </w:p>
        </w:tc>
      </w:tr>
      <w:tr w14:paraId="0ECA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5A67E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112</w:t>
            </w:r>
          </w:p>
        </w:tc>
        <w:tc>
          <w:tcPr>
            <w:tcW w:w="555" w:type="dxa"/>
            <w:vAlign w:val="center"/>
          </w:tcPr>
          <w:p w14:paraId="3523C7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F3B55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1A791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DDC885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对未经批准发掘古生物化石行为的处罚</w:t>
            </w:r>
          </w:p>
        </w:tc>
        <w:tc>
          <w:tcPr>
            <w:tcW w:w="660" w:type="dxa"/>
            <w:vAlign w:val="center"/>
          </w:tcPr>
          <w:p w14:paraId="6C7034F8">
            <w:pPr>
              <w:snapToGrid w:val="0"/>
              <w:spacing w:line="240" w:lineRule="atLeast"/>
              <w:jc w:val="center"/>
              <w:rPr>
                <w:rFonts w:ascii="仿宋_GB2312" w:hAnsi="仿宋_GB2312" w:eastAsia="仿宋_GB2312" w:cs="仿宋_GB2312"/>
                <w:sz w:val="20"/>
                <w:szCs w:val="20"/>
              </w:rPr>
            </w:pPr>
          </w:p>
        </w:tc>
        <w:tc>
          <w:tcPr>
            <w:tcW w:w="615" w:type="dxa"/>
            <w:vAlign w:val="center"/>
          </w:tcPr>
          <w:p w14:paraId="0F8F6B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8D2F0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94541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三十六条：单位或者个人有下列行为之一的，由县级以上人民政府自然资源主管部门责令停止发掘，限期改正，没收发掘的古生物化石，并处20万元以上50万元以下的罚款，构成违反治安管理行为的，由公安机关依法给予治安管理处罚；构成犯罪的，依法追究刑事责任：（一）未经批准发掘古生物化石的。</w:t>
            </w:r>
          </w:p>
          <w:p w14:paraId="00576C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条：未经批准发掘古生物化石或者未按照批准的发掘方案发掘古生物化石的，县级以上人民政府自然资源主管部门责令停止发掘，限期改正，没收发掘的古生物化石，并处罚款。在国家级古生物化石自然保护区、国家地质公园和重点保护古生物化石集中产地内违法发掘的，处30万元以上50万元以下罚款；在其他区域内违法发掘的，处20万元以上30万元以下罚款。</w:t>
            </w:r>
          </w:p>
          <w:p w14:paraId="7D978B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未经批准或者未按照批准的发掘方案发掘古生物化石，构成违反治安管理行为的，由公安机关依法给予治安管理处罚；构成犯罪的，依法追究刑事责任。</w:t>
            </w:r>
          </w:p>
          <w:p w14:paraId="03353E8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未按照批准的发掘方案发掘古生物化石，情节严重的，由批准古生物化石发掘的自然资源主管部门撤销批准发掘的决定。</w:t>
            </w:r>
          </w:p>
        </w:tc>
        <w:tc>
          <w:tcPr>
            <w:tcW w:w="3585" w:type="dxa"/>
            <w:vAlign w:val="center"/>
          </w:tcPr>
          <w:p w14:paraId="4546C4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F8F5E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606DC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84829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37728F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F92EC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192D95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B30E70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672688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D10982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0CC7A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798D9D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9029B7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AC55F7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B42A16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7E1EFC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C990F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87B35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3A97F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2BB96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C9910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EE93E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D3E3A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CCF7F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0D42C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03B8C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F22F3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DF3F57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2E5800D">
            <w:pPr>
              <w:snapToGrid w:val="0"/>
              <w:spacing w:line="240" w:lineRule="atLeast"/>
              <w:jc w:val="center"/>
              <w:rPr>
                <w:rFonts w:ascii="仿宋_GB2312" w:hAnsi="仿宋_GB2312" w:eastAsia="仿宋_GB2312" w:cs="仿宋_GB2312"/>
                <w:sz w:val="20"/>
                <w:szCs w:val="20"/>
              </w:rPr>
            </w:pPr>
          </w:p>
        </w:tc>
      </w:tr>
    </w:tbl>
    <w:p w14:paraId="21430F28"/>
    <w:p w14:paraId="51012E0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362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9B2EBF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BD84632">
            <w:pPr>
              <w:spacing w:line="240" w:lineRule="atLeast"/>
              <w:rPr>
                <w:rFonts w:asciiTheme="majorEastAsia" w:hAnsiTheme="majorEastAsia" w:eastAsiaTheme="majorEastAsia" w:cstheme="majorEastAsia"/>
                <w:spacing w:val="-20"/>
                <w:sz w:val="20"/>
                <w:szCs w:val="20"/>
              </w:rPr>
            </w:pPr>
          </w:p>
          <w:p w14:paraId="6EF5AE0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20A3B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EEDBCD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72C806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EBA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6E54E4F">
            <w:pPr>
              <w:spacing w:line="240" w:lineRule="atLeast"/>
              <w:jc w:val="left"/>
              <w:rPr>
                <w:rFonts w:ascii="仿宋_GB2312" w:hAnsi="仿宋_GB2312" w:eastAsia="仿宋_GB2312" w:cs="仿宋_GB2312"/>
                <w:sz w:val="20"/>
                <w:szCs w:val="20"/>
              </w:rPr>
            </w:pPr>
          </w:p>
        </w:tc>
        <w:tc>
          <w:tcPr>
            <w:tcW w:w="555" w:type="dxa"/>
            <w:vMerge w:val="continue"/>
          </w:tcPr>
          <w:p w14:paraId="483FE4BE">
            <w:pPr>
              <w:spacing w:line="240" w:lineRule="atLeast"/>
              <w:jc w:val="left"/>
              <w:rPr>
                <w:rFonts w:ascii="仿宋_GB2312" w:hAnsi="仿宋_GB2312" w:eastAsia="仿宋_GB2312" w:cs="仿宋_GB2312"/>
                <w:sz w:val="20"/>
                <w:szCs w:val="20"/>
              </w:rPr>
            </w:pPr>
          </w:p>
        </w:tc>
        <w:tc>
          <w:tcPr>
            <w:tcW w:w="784" w:type="dxa"/>
            <w:vAlign w:val="center"/>
          </w:tcPr>
          <w:p w14:paraId="3ACF333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14E665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F79DCA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5B947B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448780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03BF06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B29DFB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F23A64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D733D9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3BA10BC">
            <w:pPr>
              <w:spacing w:line="240" w:lineRule="atLeast"/>
              <w:jc w:val="left"/>
              <w:rPr>
                <w:rFonts w:ascii="仿宋_GB2312" w:hAnsi="仿宋_GB2312" w:eastAsia="仿宋_GB2312" w:cs="仿宋_GB2312"/>
                <w:sz w:val="20"/>
                <w:szCs w:val="20"/>
              </w:rPr>
            </w:pPr>
          </w:p>
        </w:tc>
      </w:tr>
      <w:tr w14:paraId="3933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3A699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113</w:t>
            </w:r>
          </w:p>
        </w:tc>
        <w:tc>
          <w:tcPr>
            <w:tcW w:w="555" w:type="dxa"/>
            <w:vAlign w:val="center"/>
          </w:tcPr>
          <w:p w14:paraId="5CC7A7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F4559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EFC10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6B94CC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对未按照批准的发掘方案发掘古生物化石行为的处罚</w:t>
            </w:r>
          </w:p>
        </w:tc>
        <w:tc>
          <w:tcPr>
            <w:tcW w:w="660" w:type="dxa"/>
            <w:vAlign w:val="center"/>
          </w:tcPr>
          <w:p w14:paraId="0646AC68">
            <w:pPr>
              <w:snapToGrid w:val="0"/>
              <w:spacing w:line="240" w:lineRule="atLeast"/>
              <w:jc w:val="center"/>
              <w:rPr>
                <w:rFonts w:ascii="仿宋_GB2312" w:hAnsi="仿宋_GB2312" w:eastAsia="仿宋_GB2312" w:cs="仿宋_GB2312"/>
                <w:sz w:val="20"/>
                <w:szCs w:val="20"/>
              </w:rPr>
            </w:pPr>
          </w:p>
        </w:tc>
        <w:tc>
          <w:tcPr>
            <w:tcW w:w="615" w:type="dxa"/>
            <w:vAlign w:val="center"/>
          </w:tcPr>
          <w:p w14:paraId="5600C8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EFA1C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265C2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三十六条：单位或者个人有下列行为之一的，由县级以上人民政府自然资源主管部门责令停止发掘，限期改正，没收发掘的古生物化石，并处20万元以上50万元以下的罚款，构成违反治安管理行为的，由公安机关依法给予治安管理处罚；构成犯罪的，依法追究刑事责任：</w:t>
            </w:r>
          </w:p>
          <w:p w14:paraId="1A5EE3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（二）未按照批准的发掘方案发掘古生物化石的。</w:t>
            </w:r>
          </w:p>
          <w:p w14:paraId="341DCA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有前款第（二）项行为，情节严重的，由批准古生物化石发掘的自然资源主管部门撤销批准发掘的决定。</w:t>
            </w:r>
          </w:p>
          <w:p w14:paraId="79E7658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条：未经批准发掘古生物化石或者未按照批准的发掘方案发掘古生物化石的，县级以上人民政府自然资源主管部门责令停止发掘，限期改正，没收发掘的古生物化石，并处罚款。在国家级古生物化石自然保护区、国家地质公园和重点保护古生物化石集中产地内违法发掘的，处30万元以上50万元以下罚款；在其他区域内违法发掘的，处20万元以上30万元以下罚款。</w:t>
            </w:r>
          </w:p>
          <w:p w14:paraId="169424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未经批准或者未按照批准的发掘方案发掘古生物化石，构成违反治安管理行为的，由公安机关依法给予治安管理处罚；构成犯罪的，依法追究刑事责任。</w:t>
            </w:r>
          </w:p>
          <w:p w14:paraId="563102B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未按照批准的发掘方案发掘古生物化石，情节严重的，由批准古生物化石发掘的自然资源主管部门撤销批准发掘的决定。</w:t>
            </w:r>
          </w:p>
        </w:tc>
        <w:tc>
          <w:tcPr>
            <w:tcW w:w="3585" w:type="dxa"/>
            <w:vAlign w:val="center"/>
          </w:tcPr>
          <w:p w14:paraId="7B20EED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46D4D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0F970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7CA4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A8870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7A8F0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0BC317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5B2150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74D12B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D190AA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740A5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BE3EB2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D145D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877C88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7DA3A2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84AE1E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919AD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94022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A7CA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71AC8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2917B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3F085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0A414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EEA4F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DBEA9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F795C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8512A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664DFD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375E126">
            <w:pPr>
              <w:snapToGrid w:val="0"/>
              <w:spacing w:line="240" w:lineRule="atLeast"/>
              <w:jc w:val="center"/>
              <w:rPr>
                <w:rFonts w:ascii="仿宋_GB2312" w:hAnsi="仿宋_GB2312" w:eastAsia="仿宋_GB2312" w:cs="仿宋_GB2312"/>
                <w:sz w:val="20"/>
                <w:szCs w:val="20"/>
              </w:rPr>
            </w:pPr>
          </w:p>
        </w:tc>
      </w:tr>
    </w:tbl>
    <w:p w14:paraId="3A7B5CBE"/>
    <w:p w14:paraId="0897E4F8"/>
    <w:p w14:paraId="6646868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BC2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AEACCA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9D7755A">
            <w:pPr>
              <w:spacing w:line="240" w:lineRule="atLeast"/>
              <w:rPr>
                <w:rFonts w:asciiTheme="majorEastAsia" w:hAnsiTheme="majorEastAsia" w:eastAsiaTheme="majorEastAsia" w:cstheme="majorEastAsia"/>
                <w:spacing w:val="-20"/>
                <w:sz w:val="20"/>
                <w:szCs w:val="20"/>
              </w:rPr>
            </w:pPr>
          </w:p>
          <w:p w14:paraId="0BB9BA1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DB295D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E25B7F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26243B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128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2E45F69">
            <w:pPr>
              <w:spacing w:line="240" w:lineRule="atLeast"/>
              <w:jc w:val="left"/>
              <w:rPr>
                <w:rFonts w:ascii="仿宋_GB2312" w:hAnsi="仿宋_GB2312" w:eastAsia="仿宋_GB2312" w:cs="仿宋_GB2312"/>
                <w:sz w:val="20"/>
                <w:szCs w:val="20"/>
              </w:rPr>
            </w:pPr>
          </w:p>
        </w:tc>
        <w:tc>
          <w:tcPr>
            <w:tcW w:w="555" w:type="dxa"/>
            <w:vMerge w:val="continue"/>
          </w:tcPr>
          <w:p w14:paraId="3ED90BEE">
            <w:pPr>
              <w:spacing w:line="240" w:lineRule="atLeast"/>
              <w:jc w:val="left"/>
              <w:rPr>
                <w:rFonts w:ascii="仿宋_GB2312" w:hAnsi="仿宋_GB2312" w:eastAsia="仿宋_GB2312" w:cs="仿宋_GB2312"/>
                <w:sz w:val="20"/>
                <w:szCs w:val="20"/>
              </w:rPr>
            </w:pPr>
          </w:p>
        </w:tc>
        <w:tc>
          <w:tcPr>
            <w:tcW w:w="784" w:type="dxa"/>
            <w:vAlign w:val="center"/>
          </w:tcPr>
          <w:p w14:paraId="1C69FC9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0D80B1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763446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121E57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BFF7BA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097D7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9808D5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35C3D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81716B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93A0617">
            <w:pPr>
              <w:spacing w:line="240" w:lineRule="atLeast"/>
              <w:jc w:val="left"/>
              <w:rPr>
                <w:rFonts w:ascii="仿宋_GB2312" w:hAnsi="仿宋_GB2312" w:eastAsia="仿宋_GB2312" w:cs="仿宋_GB2312"/>
                <w:sz w:val="20"/>
                <w:szCs w:val="20"/>
              </w:rPr>
            </w:pPr>
          </w:p>
        </w:tc>
      </w:tr>
      <w:tr w14:paraId="5F27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77DA0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114</w:t>
            </w:r>
          </w:p>
        </w:tc>
        <w:tc>
          <w:tcPr>
            <w:tcW w:w="555" w:type="dxa"/>
            <w:vAlign w:val="center"/>
          </w:tcPr>
          <w:p w14:paraId="2FF1C8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CED43E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8C8D1C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62EC82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对古生物化石发掘单位未按照规定移交发掘的古生物化石行为的处罚</w:t>
            </w:r>
          </w:p>
        </w:tc>
        <w:tc>
          <w:tcPr>
            <w:tcW w:w="660" w:type="dxa"/>
            <w:vAlign w:val="center"/>
          </w:tcPr>
          <w:p w14:paraId="7F492D34">
            <w:pPr>
              <w:snapToGrid w:val="0"/>
              <w:spacing w:line="240" w:lineRule="atLeast"/>
              <w:jc w:val="center"/>
              <w:rPr>
                <w:rFonts w:ascii="仿宋_GB2312" w:hAnsi="仿宋_GB2312" w:eastAsia="仿宋_GB2312" w:cs="仿宋_GB2312"/>
                <w:sz w:val="20"/>
                <w:szCs w:val="20"/>
              </w:rPr>
            </w:pPr>
          </w:p>
        </w:tc>
        <w:tc>
          <w:tcPr>
            <w:tcW w:w="615" w:type="dxa"/>
            <w:vAlign w:val="center"/>
          </w:tcPr>
          <w:p w14:paraId="14F5AD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C453B5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C6A86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五条第一款：国务院自然资源主管部门主管全国古生物化石保护工作。县级以上地方人民政府自然资源主管部门主管本行政区域古生物化石保护工作。</w:t>
            </w:r>
          </w:p>
          <w:p w14:paraId="13079C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七条：古生物化石发掘单位未按照规定移交发掘的古生物化石的，由批准古生物化石发掘的自然资源主管部门责令限期改正;逾期不改正，或者造成古生物化石损毁的，处10万元以上50万元以下的罚款;直接负责的主管人员和其他直接责任人员构成犯罪的，依法追究刑事责任。</w:t>
            </w:r>
          </w:p>
          <w:p w14:paraId="2B2BCB7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二条：古生物化石发掘单位未按照规定移交古生物化石的，由批准发掘的自然资源主管部门责令限期改正；逾期不改正，或者造成古生物化石损毁的，涉及一般保护古生物化石的，处10万元以上20万元以下罚款；涉及重点保护古生物化石的，处20万元以上50万元以下罚款；直接负责的主管人员和其他直接责任人员构成犯罪的，依法追究刑事责任。</w:t>
            </w:r>
          </w:p>
        </w:tc>
        <w:tc>
          <w:tcPr>
            <w:tcW w:w="3585" w:type="dxa"/>
            <w:vAlign w:val="center"/>
          </w:tcPr>
          <w:p w14:paraId="054B20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D9C31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26D10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947D79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1E830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F2B92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20243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615A1E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033458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CBC053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C3F0A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37DACD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A75E29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8DA7A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A13409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094904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FB2A7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B9A48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BDD88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8A302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178C2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5B5C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312E6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0C4BB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EBD6F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6258D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4525F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3464D8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31E2B81">
            <w:pPr>
              <w:snapToGrid w:val="0"/>
              <w:spacing w:line="240" w:lineRule="atLeast"/>
              <w:jc w:val="center"/>
              <w:rPr>
                <w:rFonts w:ascii="仿宋_GB2312" w:hAnsi="仿宋_GB2312" w:eastAsia="仿宋_GB2312" w:cs="仿宋_GB2312"/>
                <w:sz w:val="20"/>
                <w:szCs w:val="20"/>
              </w:rPr>
            </w:pPr>
          </w:p>
        </w:tc>
      </w:tr>
    </w:tbl>
    <w:p w14:paraId="5CDC9B1A"/>
    <w:p w14:paraId="647F986A"/>
    <w:p w14:paraId="0ECBF75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263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E2BED3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69CFAEE">
            <w:pPr>
              <w:spacing w:line="240" w:lineRule="atLeast"/>
              <w:rPr>
                <w:rFonts w:asciiTheme="majorEastAsia" w:hAnsiTheme="majorEastAsia" w:eastAsiaTheme="majorEastAsia" w:cstheme="majorEastAsia"/>
                <w:spacing w:val="-20"/>
                <w:sz w:val="20"/>
                <w:szCs w:val="20"/>
              </w:rPr>
            </w:pPr>
          </w:p>
          <w:p w14:paraId="5B75A5C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9A0DD8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E8A9D0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36294A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FEC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66D4719">
            <w:pPr>
              <w:spacing w:line="240" w:lineRule="atLeast"/>
              <w:jc w:val="left"/>
              <w:rPr>
                <w:rFonts w:ascii="仿宋_GB2312" w:hAnsi="仿宋_GB2312" w:eastAsia="仿宋_GB2312" w:cs="仿宋_GB2312"/>
                <w:sz w:val="20"/>
                <w:szCs w:val="20"/>
              </w:rPr>
            </w:pPr>
          </w:p>
        </w:tc>
        <w:tc>
          <w:tcPr>
            <w:tcW w:w="555" w:type="dxa"/>
            <w:vMerge w:val="continue"/>
          </w:tcPr>
          <w:p w14:paraId="6CB8EF11">
            <w:pPr>
              <w:spacing w:line="240" w:lineRule="atLeast"/>
              <w:jc w:val="left"/>
              <w:rPr>
                <w:rFonts w:ascii="仿宋_GB2312" w:hAnsi="仿宋_GB2312" w:eastAsia="仿宋_GB2312" w:cs="仿宋_GB2312"/>
                <w:sz w:val="20"/>
                <w:szCs w:val="20"/>
              </w:rPr>
            </w:pPr>
          </w:p>
        </w:tc>
        <w:tc>
          <w:tcPr>
            <w:tcW w:w="784" w:type="dxa"/>
            <w:vAlign w:val="center"/>
          </w:tcPr>
          <w:p w14:paraId="32B4870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624386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F0D202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763E24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0E8FF6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522801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2FBB5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CCBAF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1192C4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6DB387B">
            <w:pPr>
              <w:spacing w:line="240" w:lineRule="atLeast"/>
              <w:jc w:val="left"/>
              <w:rPr>
                <w:rFonts w:ascii="仿宋_GB2312" w:hAnsi="仿宋_GB2312" w:eastAsia="仿宋_GB2312" w:cs="仿宋_GB2312"/>
                <w:sz w:val="20"/>
                <w:szCs w:val="20"/>
              </w:rPr>
            </w:pPr>
          </w:p>
        </w:tc>
      </w:tr>
      <w:tr w14:paraId="71F0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5CE26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115</w:t>
            </w:r>
          </w:p>
        </w:tc>
        <w:tc>
          <w:tcPr>
            <w:tcW w:w="555" w:type="dxa"/>
            <w:vAlign w:val="center"/>
          </w:tcPr>
          <w:p w14:paraId="3BD3C1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AADE8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A6E25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8464FF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对古生物化石收藏单位不符合收藏条件收藏古生物化石行为的处罚</w:t>
            </w:r>
          </w:p>
        </w:tc>
        <w:tc>
          <w:tcPr>
            <w:tcW w:w="660" w:type="dxa"/>
            <w:vAlign w:val="center"/>
          </w:tcPr>
          <w:p w14:paraId="7D3A2896">
            <w:pPr>
              <w:snapToGrid w:val="0"/>
              <w:spacing w:line="240" w:lineRule="atLeast"/>
              <w:jc w:val="center"/>
              <w:rPr>
                <w:rFonts w:ascii="仿宋_GB2312" w:hAnsi="仿宋_GB2312" w:eastAsia="仿宋_GB2312" w:cs="仿宋_GB2312"/>
                <w:sz w:val="20"/>
                <w:szCs w:val="20"/>
              </w:rPr>
            </w:pPr>
          </w:p>
        </w:tc>
        <w:tc>
          <w:tcPr>
            <w:tcW w:w="615" w:type="dxa"/>
            <w:vAlign w:val="center"/>
          </w:tcPr>
          <w:p w14:paraId="75E73E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5B990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BCFCC6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1.【行政法规】《古生物化石保护条例》（2010年国务院令第580号公布，2019年国务院令第709号修订））第三十八条：古生物化石收藏单位不符合收藏条件收藏古生物化石的，由县级以上</w:t>
            </w:r>
          </w:p>
          <w:p w14:paraId="2639ACF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第五条第一款：国务院自然资源主管部门主管全国古生物化石保护工作。县级以上地方人民政府自然资源主管部门主管本行政区域古生物化石保护工作。</w:t>
            </w:r>
          </w:p>
          <w:p w14:paraId="7313D2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人民政府自然资源主管部门责令限期改正;逾期不改正的，处5万元以上10万元以下的罚款;已严重影响其收藏的重点保护古生物化石安全的，由国务院自然资源主管部门指定符合条件的收藏单位代为收藏，代为收藏的费用由原收藏单位承担。</w:t>
            </w:r>
          </w:p>
          <w:p w14:paraId="10F3F09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三条：收藏单位不符合本办法规定的收藏条件收藏古生物化石的，由县级以上人民政府自然资源主管部门责令限期改正；逾期不改正的，处5万元以上10万元以下的罚款；已严重影响其收藏的重点保护古生物化石安全的，由自然资源部指定符合本办法规定的收藏条件的收藏单位代为收藏，代为收藏的费用由原收藏单位承担。</w:t>
            </w:r>
          </w:p>
        </w:tc>
        <w:tc>
          <w:tcPr>
            <w:tcW w:w="3585" w:type="dxa"/>
            <w:vAlign w:val="center"/>
          </w:tcPr>
          <w:p w14:paraId="371BBA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88768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2A9BF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F56CD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B3D76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3782B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21BE1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7A9477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CA54FF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92E577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D036E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97485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542D5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AC9B8A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78611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B0A74D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CDD1E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59A7E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CC440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CE57D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34F31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A3E1B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F9FC6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579D6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4CE0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522B9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ECD6B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694A3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8DA0A23">
            <w:pPr>
              <w:snapToGrid w:val="0"/>
              <w:spacing w:line="240" w:lineRule="atLeast"/>
              <w:jc w:val="center"/>
              <w:rPr>
                <w:rFonts w:ascii="仿宋_GB2312" w:hAnsi="仿宋_GB2312" w:eastAsia="仿宋_GB2312" w:cs="仿宋_GB2312"/>
                <w:sz w:val="20"/>
                <w:szCs w:val="20"/>
              </w:rPr>
            </w:pPr>
          </w:p>
        </w:tc>
      </w:tr>
    </w:tbl>
    <w:p w14:paraId="0EAB6B7E"/>
    <w:p w14:paraId="3525C7DD"/>
    <w:p w14:paraId="42CAB12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162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C39661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B67B191">
            <w:pPr>
              <w:spacing w:line="240" w:lineRule="atLeast"/>
              <w:rPr>
                <w:rFonts w:asciiTheme="majorEastAsia" w:hAnsiTheme="majorEastAsia" w:eastAsiaTheme="majorEastAsia" w:cstheme="majorEastAsia"/>
                <w:spacing w:val="-20"/>
                <w:sz w:val="20"/>
                <w:szCs w:val="20"/>
              </w:rPr>
            </w:pPr>
          </w:p>
          <w:p w14:paraId="5F0966C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D7AD04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A1E27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FAA8FD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D6B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A566C72">
            <w:pPr>
              <w:spacing w:line="240" w:lineRule="atLeast"/>
              <w:jc w:val="left"/>
              <w:rPr>
                <w:rFonts w:ascii="仿宋_GB2312" w:hAnsi="仿宋_GB2312" w:eastAsia="仿宋_GB2312" w:cs="仿宋_GB2312"/>
                <w:sz w:val="20"/>
                <w:szCs w:val="20"/>
              </w:rPr>
            </w:pPr>
          </w:p>
        </w:tc>
        <w:tc>
          <w:tcPr>
            <w:tcW w:w="555" w:type="dxa"/>
            <w:vMerge w:val="continue"/>
          </w:tcPr>
          <w:p w14:paraId="28F66AA9">
            <w:pPr>
              <w:spacing w:line="240" w:lineRule="atLeast"/>
              <w:jc w:val="left"/>
              <w:rPr>
                <w:rFonts w:ascii="仿宋_GB2312" w:hAnsi="仿宋_GB2312" w:eastAsia="仿宋_GB2312" w:cs="仿宋_GB2312"/>
                <w:sz w:val="20"/>
                <w:szCs w:val="20"/>
              </w:rPr>
            </w:pPr>
          </w:p>
        </w:tc>
        <w:tc>
          <w:tcPr>
            <w:tcW w:w="784" w:type="dxa"/>
            <w:vAlign w:val="center"/>
          </w:tcPr>
          <w:p w14:paraId="4B21841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856731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038194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3241DB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ABFAB6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3B0407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4818D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96D5E9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24ABD2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6D311AF">
            <w:pPr>
              <w:spacing w:line="240" w:lineRule="atLeast"/>
              <w:jc w:val="left"/>
              <w:rPr>
                <w:rFonts w:ascii="仿宋_GB2312" w:hAnsi="仿宋_GB2312" w:eastAsia="仿宋_GB2312" w:cs="仿宋_GB2312"/>
                <w:sz w:val="20"/>
                <w:szCs w:val="20"/>
              </w:rPr>
            </w:pPr>
          </w:p>
        </w:tc>
      </w:tr>
      <w:tr w14:paraId="429D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CB3FF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116</w:t>
            </w:r>
          </w:p>
        </w:tc>
        <w:tc>
          <w:tcPr>
            <w:tcW w:w="555" w:type="dxa"/>
            <w:vAlign w:val="center"/>
          </w:tcPr>
          <w:p w14:paraId="1D69AC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E63F1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ABB5D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793DDC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对古生物化石收藏单位未按照规定建立本单位收藏的古生物化石档案行为的处罚</w:t>
            </w:r>
          </w:p>
        </w:tc>
        <w:tc>
          <w:tcPr>
            <w:tcW w:w="660" w:type="dxa"/>
            <w:vAlign w:val="center"/>
          </w:tcPr>
          <w:p w14:paraId="136E1CAD">
            <w:pPr>
              <w:snapToGrid w:val="0"/>
              <w:spacing w:line="240" w:lineRule="atLeast"/>
              <w:jc w:val="center"/>
              <w:rPr>
                <w:rFonts w:ascii="仿宋_GB2312" w:hAnsi="仿宋_GB2312" w:eastAsia="仿宋_GB2312" w:cs="仿宋_GB2312"/>
                <w:sz w:val="20"/>
                <w:szCs w:val="20"/>
              </w:rPr>
            </w:pPr>
          </w:p>
        </w:tc>
        <w:tc>
          <w:tcPr>
            <w:tcW w:w="615" w:type="dxa"/>
            <w:vAlign w:val="center"/>
          </w:tcPr>
          <w:p w14:paraId="12A965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1E0AB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96F1B9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古生物化石保护条例》（2010年国务院令第580号公布，2019年国务院令第709号修订））第三十九条：古生物化石收藏单位未按照规定建立本单位收藏的古生物化石档案的，由县级以上人民政府自然资源主管部门责令限期改正；逾期不改正的，没收有关古生物化石，并处2万元的罚款。</w:t>
            </w:r>
          </w:p>
        </w:tc>
        <w:tc>
          <w:tcPr>
            <w:tcW w:w="3585" w:type="dxa"/>
            <w:vAlign w:val="center"/>
          </w:tcPr>
          <w:p w14:paraId="30C76B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FE91B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F1231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239A9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A9020F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21496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4457E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D03E0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9ABB12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73F81A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9FF01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FEBC7B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C7462B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A8FF70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98B7DE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2A4D9D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DF833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8A069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48B90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427EF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0BB6A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9E1FD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8BC93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E1860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4D743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FD2A7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72B15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907BDF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767D0BA">
            <w:pPr>
              <w:snapToGrid w:val="0"/>
              <w:spacing w:line="240" w:lineRule="atLeast"/>
              <w:jc w:val="center"/>
              <w:rPr>
                <w:rFonts w:ascii="仿宋_GB2312" w:hAnsi="仿宋_GB2312" w:eastAsia="仿宋_GB2312" w:cs="仿宋_GB2312"/>
                <w:sz w:val="20"/>
                <w:szCs w:val="20"/>
              </w:rPr>
            </w:pPr>
          </w:p>
        </w:tc>
      </w:tr>
    </w:tbl>
    <w:p w14:paraId="17A281A5"/>
    <w:p w14:paraId="3033D6AB"/>
    <w:p w14:paraId="482A1FA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44C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E1E6A6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3D8BE2F">
            <w:pPr>
              <w:spacing w:line="240" w:lineRule="atLeast"/>
              <w:rPr>
                <w:rFonts w:asciiTheme="majorEastAsia" w:hAnsiTheme="majorEastAsia" w:eastAsiaTheme="majorEastAsia" w:cstheme="majorEastAsia"/>
                <w:spacing w:val="-20"/>
                <w:sz w:val="20"/>
                <w:szCs w:val="20"/>
              </w:rPr>
            </w:pPr>
          </w:p>
          <w:p w14:paraId="3CF05AE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BDC124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027E1A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006F9D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97D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6ACD5D5">
            <w:pPr>
              <w:spacing w:line="240" w:lineRule="atLeast"/>
              <w:jc w:val="left"/>
              <w:rPr>
                <w:rFonts w:ascii="仿宋_GB2312" w:hAnsi="仿宋_GB2312" w:eastAsia="仿宋_GB2312" w:cs="仿宋_GB2312"/>
                <w:sz w:val="20"/>
                <w:szCs w:val="20"/>
              </w:rPr>
            </w:pPr>
          </w:p>
        </w:tc>
        <w:tc>
          <w:tcPr>
            <w:tcW w:w="555" w:type="dxa"/>
            <w:vMerge w:val="continue"/>
          </w:tcPr>
          <w:p w14:paraId="2C54E6FD">
            <w:pPr>
              <w:spacing w:line="240" w:lineRule="atLeast"/>
              <w:jc w:val="left"/>
              <w:rPr>
                <w:rFonts w:ascii="仿宋_GB2312" w:hAnsi="仿宋_GB2312" w:eastAsia="仿宋_GB2312" w:cs="仿宋_GB2312"/>
                <w:sz w:val="20"/>
                <w:szCs w:val="20"/>
              </w:rPr>
            </w:pPr>
          </w:p>
        </w:tc>
        <w:tc>
          <w:tcPr>
            <w:tcW w:w="784" w:type="dxa"/>
            <w:vAlign w:val="center"/>
          </w:tcPr>
          <w:p w14:paraId="26B6ECF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75B35A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6CA332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0B6E3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9ECE1E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358B6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6A57C7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FD630C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7A6C37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9E50035">
            <w:pPr>
              <w:spacing w:line="240" w:lineRule="atLeast"/>
              <w:jc w:val="left"/>
              <w:rPr>
                <w:rFonts w:ascii="仿宋_GB2312" w:hAnsi="仿宋_GB2312" w:eastAsia="仿宋_GB2312" w:cs="仿宋_GB2312"/>
                <w:sz w:val="20"/>
                <w:szCs w:val="20"/>
              </w:rPr>
            </w:pPr>
          </w:p>
        </w:tc>
      </w:tr>
      <w:tr w14:paraId="5422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E2177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117</w:t>
            </w:r>
          </w:p>
        </w:tc>
        <w:tc>
          <w:tcPr>
            <w:tcW w:w="555" w:type="dxa"/>
            <w:vAlign w:val="center"/>
          </w:tcPr>
          <w:p w14:paraId="0B707D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9AC6F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E43BE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86D2B0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对国有收藏单位将其收藏的重点保护古生物化石违法转让、交换、赠与给非国有收藏单位或者个人行为的处罚</w:t>
            </w:r>
          </w:p>
        </w:tc>
        <w:tc>
          <w:tcPr>
            <w:tcW w:w="660" w:type="dxa"/>
            <w:vAlign w:val="center"/>
          </w:tcPr>
          <w:p w14:paraId="48405791">
            <w:pPr>
              <w:snapToGrid w:val="0"/>
              <w:spacing w:line="240" w:lineRule="atLeast"/>
              <w:jc w:val="center"/>
              <w:rPr>
                <w:rFonts w:ascii="仿宋_GB2312" w:hAnsi="仿宋_GB2312" w:eastAsia="仿宋_GB2312" w:cs="仿宋_GB2312"/>
                <w:sz w:val="20"/>
                <w:szCs w:val="20"/>
              </w:rPr>
            </w:pPr>
          </w:p>
        </w:tc>
        <w:tc>
          <w:tcPr>
            <w:tcW w:w="615" w:type="dxa"/>
            <w:vAlign w:val="center"/>
          </w:tcPr>
          <w:p w14:paraId="720DE3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D0EEF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26D7D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四十一条：国有收藏单位将其收藏的重点保护古生物化石违法转让、交换、赠与给非国有收藏单位或者个人的，由县级以上人民政府自然资源主管部门对国有收藏单位处20万元以上50万元以下的罚款，对直接负责的主管人员和其他直接责任人员依法给予处分；构成犯罪的，依法追究刑事责任。</w:t>
            </w:r>
          </w:p>
          <w:p w14:paraId="2E8C82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五条：国有收藏单位将其收藏的重点保护古生物化石违法转让、交换、赠与给非国有收藏单位或者个人的，由县级以上人民政府自然资源主管部门责令限期改正；逾期不改正的，涉及三级重点保护古生物化石的，对国有收藏单位处20万元以上30万元以下罚款；涉及二级重点保护古生物化石的，对国有收藏单位处30万元以上40万元以下罚款；涉及一级重点保护古生物化石的，对国有收藏单位处40万元以上50万元以下罚款，对直接负责的主管人员和其他直接责任人员依法给予处分；构成犯罪的，依法追究刑事责任。</w:t>
            </w:r>
          </w:p>
        </w:tc>
        <w:tc>
          <w:tcPr>
            <w:tcW w:w="3585" w:type="dxa"/>
            <w:vAlign w:val="center"/>
          </w:tcPr>
          <w:p w14:paraId="412610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635A9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2A8FBD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F23932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8BEA7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661F8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7FB8F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5FA99B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2DCF88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C74748">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258D5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A2E8D4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D71A4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37E213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2B54B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66C38A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0BADD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8C285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0A0CB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61048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62041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7029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3B42A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B3F7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31A1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E3C74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65C4C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C12A56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28163AB">
            <w:pPr>
              <w:snapToGrid w:val="0"/>
              <w:spacing w:line="240" w:lineRule="atLeast"/>
              <w:jc w:val="center"/>
              <w:rPr>
                <w:rFonts w:ascii="仿宋_GB2312" w:hAnsi="仿宋_GB2312" w:eastAsia="仿宋_GB2312" w:cs="仿宋_GB2312"/>
                <w:sz w:val="20"/>
                <w:szCs w:val="20"/>
              </w:rPr>
            </w:pPr>
          </w:p>
        </w:tc>
      </w:tr>
    </w:tbl>
    <w:p w14:paraId="058AC0BB"/>
    <w:p w14:paraId="07284729"/>
    <w:p w14:paraId="2873232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467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04CB84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4D461AE">
            <w:pPr>
              <w:spacing w:line="240" w:lineRule="atLeast"/>
              <w:rPr>
                <w:rFonts w:asciiTheme="majorEastAsia" w:hAnsiTheme="majorEastAsia" w:eastAsiaTheme="majorEastAsia" w:cstheme="majorEastAsia"/>
                <w:spacing w:val="-20"/>
                <w:sz w:val="20"/>
                <w:szCs w:val="20"/>
              </w:rPr>
            </w:pPr>
          </w:p>
          <w:p w14:paraId="0132338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89E369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561789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F2A1A6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098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5E70EEB">
            <w:pPr>
              <w:spacing w:line="240" w:lineRule="atLeast"/>
              <w:jc w:val="left"/>
              <w:rPr>
                <w:rFonts w:ascii="仿宋_GB2312" w:hAnsi="仿宋_GB2312" w:eastAsia="仿宋_GB2312" w:cs="仿宋_GB2312"/>
                <w:sz w:val="20"/>
                <w:szCs w:val="20"/>
              </w:rPr>
            </w:pPr>
          </w:p>
        </w:tc>
        <w:tc>
          <w:tcPr>
            <w:tcW w:w="555" w:type="dxa"/>
            <w:vMerge w:val="continue"/>
          </w:tcPr>
          <w:p w14:paraId="25AC6FF4">
            <w:pPr>
              <w:spacing w:line="240" w:lineRule="atLeast"/>
              <w:jc w:val="left"/>
              <w:rPr>
                <w:rFonts w:ascii="仿宋_GB2312" w:hAnsi="仿宋_GB2312" w:eastAsia="仿宋_GB2312" w:cs="仿宋_GB2312"/>
                <w:sz w:val="20"/>
                <w:szCs w:val="20"/>
              </w:rPr>
            </w:pPr>
          </w:p>
        </w:tc>
        <w:tc>
          <w:tcPr>
            <w:tcW w:w="784" w:type="dxa"/>
            <w:vAlign w:val="center"/>
          </w:tcPr>
          <w:p w14:paraId="3CB5F4F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DEDFBD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64EF0F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6D2521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566E18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C28AA7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447075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3D71A4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DDD87B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5878D0D">
            <w:pPr>
              <w:spacing w:line="240" w:lineRule="atLeast"/>
              <w:jc w:val="left"/>
              <w:rPr>
                <w:rFonts w:ascii="仿宋_GB2312" w:hAnsi="仿宋_GB2312" w:eastAsia="仿宋_GB2312" w:cs="仿宋_GB2312"/>
                <w:sz w:val="20"/>
                <w:szCs w:val="20"/>
              </w:rPr>
            </w:pPr>
          </w:p>
        </w:tc>
      </w:tr>
      <w:tr w14:paraId="4052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4B984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118</w:t>
            </w:r>
          </w:p>
        </w:tc>
        <w:tc>
          <w:tcPr>
            <w:tcW w:w="555" w:type="dxa"/>
            <w:vAlign w:val="center"/>
          </w:tcPr>
          <w:p w14:paraId="18C1C1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427A5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9052D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C534C8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对单位或者个人将其收藏的重点保护古生物化石转让、交换、赠与、质押给外国人或者外国组织行为的处罚</w:t>
            </w:r>
          </w:p>
        </w:tc>
        <w:tc>
          <w:tcPr>
            <w:tcW w:w="660" w:type="dxa"/>
            <w:vAlign w:val="center"/>
          </w:tcPr>
          <w:p w14:paraId="056D5B86">
            <w:pPr>
              <w:snapToGrid w:val="0"/>
              <w:spacing w:line="240" w:lineRule="atLeast"/>
              <w:jc w:val="center"/>
              <w:rPr>
                <w:rFonts w:ascii="仿宋_GB2312" w:hAnsi="仿宋_GB2312" w:eastAsia="仿宋_GB2312" w:cs="仿宋_GB2312"/>
                <w:sz w:val="20"/>
                <w:szCs w:val="20"/>
              </w:rPr>
            </w:pPr>
          </w:p>
        </w:tc>
        <w:tc>
          <w:tcPr>
            <w:tcW w:w="615" w:type="dxa"/>
            <w:vAlign w:val="center"/>
          </w:tcPr>
          <w:p w14:paraId="4D2F7B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A958E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74DA7D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古生物化石保护条例》（2010年国务院令第580号公布，2019年国务院令第709号修订））第四十二条：单位或者个人将其收藏的重点保护古生物化石转让、交换、赠与、质押给外国人或者外国组织的，由县级以上人民政府自然资源主管部门责令限期追回，对个人处2万元以上10万元以下的罚款，对单位处10万元以上50万元以下的罚款;有违法所得的，没收违法所得;构成犯罪的，依法追究刑事责任。</w:t>
            </w:r>
          </w:p>
          <w:p w14:paraId="451E3B1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古生物化石保护条例实施办法》（2012年国土资源部令第57号公布，2019年自然资源部令第5号修正）第五十六条：单位或者个人将其收藏的重点保护古生物化石转让、交换、赠与、质押给外国人或者外国组织的，由县级以上人民政府自然资源主管部门责令限期追回，涉及三级重点保护古生物化石的，对单位处10万元以上30万元以下罚款，对个人处2万元以上3万元以下罚款；涉及二级重点保护古生物化石的，对单位处30万元以上40万元以下罚款，对个人处3万元以上5万元以下罚款；涉及一级重点保护古生物化石的，对单位处40万元以上50万元以下罚款，对个人处5万元以上10万元以下罚款；有违法所得的，没收违法所得；构成犯罪的，依法追究刑事责任。</w:t>
            </w:r>
          </w:p>
        </w:tc>
        <w:tc>
          <w:tcPr>
            <w:tcW w:w="3585" w:type="dxa"/>
            <w:vAlign w:val="center"/>
          </w:tcPr>
          <w:p w14:paraId="09236F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6B56D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0CFC0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AB890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ED4FA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640487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4FEB5B8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F33AD6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D48A92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9731DF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6B810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816B47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3ED8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5EDF38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CE8B68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94E15E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6B513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700C1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214B2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EB2E0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1FAB6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4EA5A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5F9CC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E8B83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1B093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D9235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D9668E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0AED2B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10565D0">
            <w:pPr>
              <w:snapToGrid w:val="0"/>
              <w:spacing w:line="240" w:lineRule="atLeast"/>
              <w:jc w:val="center"/>
              <w:rPr>
                <w:rFonts w:ascii="仿宋_GB2312" w:hAnsi="仿宋_GB2312" w:eastAsia="仿宋_GB2312" w:cs="仿宋_GB2312"/>
                <w:sz w:val="20"/>
                <w:szCs w:val="20"/>
              </w:rPr>
            </w:pPr>
          </w:p>
        </w:tc>
      </w:tr>
    </w:tbl>
    <w:p w14:paraId="74070652"/>
    <w:p w14:paraId="4C8CA414"/>
    <w:p w14:paraId="62DAEA7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DE5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2EC220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61D5E8D">
            <w:pPr>
              <w:spacing w:line="240" w:lineRule="atLeast"/>
              <w:rPr>
                <w:rFonts w:asciiTheme="majorEastAsia" w:hAnsiTheme="majorEastAsia" w:eastAsiaTheme="majorEastAsia" w:cstheme="majorEastAsia"/>
                <w:spacing w:val="-20"/>
                <w:sz w:val="20"/>
                <w:szCs w:val="20"/>
              </w:rPr>
            </w:pPr>
          </w:p>
          <w:p w14:paraId="416D4CC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180381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668FC2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D5D22F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CC4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98CA9E">
            <w:pPr>
              <w:spacing w:line="240" w:lineRule="atLeast"/>
              <w:jc w:val="left"/>
              <w:rPr>
                <w:rFonts w:ascii="仿宋_GB2312" w:hAnsi="仿宋_GB2312" w:eastAsia="仿宋_GB2312" w:cs="仿宋_GB2312"/>
                <w:sz w:val="20"/>
                <w:szCs w:val="20"/>
              </w:rPr>
            </w:pPr>
          </w:p>
        </w:tc>
        <w:tc>
          <w:tcPr>
            <w:tcW w:w="555" w:type="dxa"/>
            <w:vMerge w:val="continue"/>
          </w:tcPr>
          <w:p w14:paraId="0BB1E8F4">
            <w:pPr>
              <w:spacing w:line="240" w:lineRule="atLeast"/>
              <w:jc w:val="left"/>
              <w:rPr>
                <w:rFonts w:ascii="仿宋_GB2312" w:hAnsi="仿宋_GB2312" w:eastAsia="仿宋_GB2312" w:cs="仿宋_GB2312"/>
                <w:sz w:val="20"/>
                <w:szCs w:val="20"/>
              </w:rPr>
            </w:pPr>
          </w:p>
        </w:tc>
        <w:tc>
          <w:tcPr>
            <w:tcW w:w="784" w:type="dxa"/>
            <w:vAlign w:val="center"/>
          </w:tcPr>
          <w:p w14:paraId="68ECAFE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E55A0B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3D8FE6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4AB7AA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142720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47C75C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8B81E8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14E4F6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A07E2C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BE3B167">
            <w:pPr>
              <w:spacing w:line="240" w:lineRule="atLeast"/>
              <w:jc w:val="left"/>
              <w:rPr>
                <w:rFonts w:ascii="仿宋_GB2312" w:hAnsi="仿宋_GB2312" w:eastAsia="仿宋_GB2312" w:cs="仿宋_GB2312"/>
                <w:sz w:val="20"/>
                <w:szCs w:val="20"/>
              </w:rPr>
            </w:pPr>
          </w:p>
        </w:tc>
      </w:tr>
      <w:tr w14:paraId="7869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2E55DA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119</w:t>
            </w:r>
          </w:p>
        </w:tc>
        <w:tc>
          <w:tcPr>
            <w:tcW w:w="555" w:type="dxa"/>
            <w:vAlign w:val="center"/>
          </w:tcPr>
          <w:p w14:paraId="69E4DF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0C2A8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265CE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2E5B45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对有关单位和工作人员利用职务上的便利，将国有古生物化石非法占为己有的，有违法所得行为的处罚</w:t>
            </w:r>
          </w:p>
        </w:tc>
        <w:tc>
          <w:tcPr>
            <w:tcW w:w="660" w:type="dxa"/>
            <w:vAlign w:val="center"/>
          </w:tcPr>
          <w:p w14:paraId="3A3C2807">
            <w:pPr>
              <w:snapToGrid w:val="0"/>
              <w:spacing w:line="240" w:lineRule="atLeast"/>
              <w:jc w:val="center"/>
              <w:rPr>
                <w:rFonts w:ascii="仿宋_GB2312" w:hAnsi="仿宋_GB2312" w:eastAsia="仿宋_GB2312" w:cs="仿宋_GB2312"/>
                <w:sz w:val="20"/>
                <w:szCs w:val="20"/>
              </w:rPr>
            </w:pPr>
          </w:p>
        </w:tc>
        <w:tc>
          <w:tcPr>
            <w:tcW w:w="615" w:type="dxa"/>
            <w:vAlign w:val="center"/>
          </w:tcPr>
          <w:p w14:paraId="451BEB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276CA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E17CA2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古生物化石保护条例》（2010年国务院令第580号公布，2019年国务院令第709号修订））第四十四条：县级以上人民政府自然资源主管部门、其他有关部门的工作人员，或者国有的博物馆、科学研究单位、高等院校、其他收藏单位以及发掘单位的工作人员，利用职务上的便利，将国有古生物化石非法占为己有的，依法给予处分，由县级以上人民政府自然资源主管部门追回非法占有的古生物化石；有违法所得的，没收违法所得；构成犯罪的，依法追究刑事责任。</w:t>
            </w:r>
          </w:p>
        </w:tc>
        <w:tc>
          <w:tcPr>
            <w:tcW w:w="3585" w:type="dxa"/>
            <w:vAlign w:val="center"/>
          </w:tcPr>
          <w:p w14:paraId="71404F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A61DB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FB165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A8B40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1B8763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ACCE4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A8436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63B888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1B07D1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BFD016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C23BF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846A0B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8C6004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17650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89E3B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BF32DF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5192D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44CB5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071BB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8B486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93969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41A84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9497B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B7629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20F3A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5F55E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4D684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0A2CCB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E59F051">
            <w:pPr>
              <w:snapToGrid w:val="0"/>
              <w:spacing w:line="240" w:lineRule="atLeast"/>
              <w:jc w:val="center"/>
              <w:rPr>
                <w:rFonts w:ascii="仿宋_GB2312" w:hAnsi="仿宋_GB2312" w:eastAsia="仿宋_GB2312" w:cs="仿宋_GB2312"/>
                <w:sz w:val="20"/>
                <w:szCs w:val="20"/>
              </w:rPr>
            </w:pPr>
          </w:p>
        </w:tc>
      </w:tr>
    </w:tbl>
    <w:p w14:paraId="1DC58A95"/>
    <w:p w14:paraId="50521EC2"/>
    <w:p w14:paraId="30DCC91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01A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72CA1F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9BC787A">
            <w:pPr>
              <w:spacing w:line="240" w:lineRule="atLeast"/>
              <w:rPr>
                <w:rFonts w:asciiTheme="majorEastAsia" w:hAnsiTheme="majorEastAsia" w:eastAsiaTheme="majorEastAsia" w:cstheme="majorEastAsia"/>
                <w:spacing w:val="-20"/>
                <w:sz w:val="20"/>
                <w:szCs w:val="20"/>
              </w:rPr>
            </w:pPr>
          </w:p>
          <w:p w14:paraId="297F9E0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C3C756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78B030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25FB86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0F7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7E7561C">
            <w:pPr>
              <w:spacing w:line="240" w:lineRule="atLeast"/>
              <w:jc w:val="left"/>
              <w:rPr>
                <w:rFonts w:ascii="仿宋_GB2312" w:hAnsi="仿宋_GB2312" w:eastAsia="仿宋_GB2312" w:cs="仿宋_GB2312"/>
                <w:sz w:val="20"/>
                <w:szCs w:val="20"/>
              </w:rPr>
            </w:pPr>
          </w:p>
        </w:tc>
        <w:tc>
          <w:tcPr>
            <w:tcW w:w="555" w:type="dxa"/>
            <w:vMerge w:val="continue"/>
          </w:tcPr>
          <w:p w14:paraId="40A2D783">
            <w:pPr>
              <w:spacing w:line="240" w:lineRule="atLeast"/>
              <w:jc w:val="left"/>
              <w:rPr>
                <w:rFonts w:ascii="仿宋_GB2312" w:hAnsi="仿宋_GB2312" w:eastAsia="仿宋_GB2312" w:cs="仿宋_GB2312"/>
                <w:sz w:val="20"/>
                <w:szCs w:val="20"/>
              </w:rPr>
            </w:pPr>
          </w:p>
        </w:tc>
        <w:tc>
          <w:tcPr>
            <w:tcW w:w="784" w:type="dxa"/>
            <w:vAlign w:val="center"/>
          </w:tcPr>
          <w:p w14:paraId="17FA710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F53D0A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175728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45833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EAECF1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6B8793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814908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20E1FF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1270F9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CDB40A5">
            <w:pPr>
              <w:spacing w:line="240" w:lineRule="atLeast"/>
              <w:jc w:val="left"/>
              <w:rPr>
                <w:rFonts w:ascii="仿宋_GB2312" w:hAnsi="仿宋_GB2312" w:eastAsia="仿宋_GB2312" w:cs="仿宋_GB2312"/>
                <w:sz w:val="20"/>
                <w:szCs w:val="20"/>
              </w:rPr>
            </w:pPr>
          </w:p>
        </w:tc>
      </w:tr>
      <w:tr w14:paraId="48A6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CA6669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120</w:t>
            </w:r>
          </w:p>
        </w:tc>
        <w:tc>
          <w:tcPr>
            <w:tcW w:w="555" w:type="dxa"/>
            <w:vAlign w:val="center"/>
          </w:tcPr>
          <w:p w14:paraId="4868A3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48E20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4C577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95C824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对单位或者个人违反《古生物化石保护条例实施办法》的规定，收藏违法获得或者不能证明合法来源的重点保护古生物化石行为的处罚</w:t>
            </w:r>
          </w:p>
        </w:tc>
        <w:tc>
          <w:tcPr>
            <w:tcW w:w="660" w:type="dxa"/>
            <w:vAlign w:val="center"/>
          </w:tcPr>
          <w:p w14:paraId="3388516C">
            <w:pPr>
              <w:snapToGrid w:val="0"/>
              <w:spacing w:line="240" w:lineRule="atLeast"/>
              <w:jc w:val="center"/>
              <w:rPr>
                <w:rFonts w:ascii="仿宋_GB2312" w:hAnsi="仿宋_GB2312" w:eastAsia="仿宋_GB2312" w:cs="仿宋_GB2312"/>
                <w:sz w:val="20"/>
                <w:szCs w:val="20"/>
              </w:rPr>
            </w:pPr>
          </w:p>
        </w:tc>
        <w:tc>
          <w:tcPr>
            <w:tcW w:w="615" w:type="dxa"/>
            <w:vAlign w:val="center"/>
          </w:tcPr>
          <w:p w14:paraId="10343C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D8BB0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AD3D28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古生物化石保护条例实施办法》（2012年国土资源部令第57号公布，2019年自然资源部令第5号修正）第五十四条：单位或者个人违反本办法的规定，收藏违法获得或者不能证明合法来源的重点保护古生物化石的，由县级以上人民政府自然资源主管部门依法没收有关古生物化石，并处3万元以下罚款。</w:t>
            </w:r>
          </w:p>
        </w:tc>
        <w:tc>
          <w:tcPr>
            <w:tcW w:w="3585" w:type="dxa"/>
            <w:vAlign w:val="center"/>
          </w:tcPr>
          <w:p w14:paraId="45AB81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037E7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77E7F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C37B9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75802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4297D5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5597B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4775CA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BD8A4B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A36832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902BA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E4A3AE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B5B05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C2D77B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6C5B09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A5B10E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091EA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F6849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95447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340FC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07E3C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A3B23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8DC51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F7467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AA749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7DE46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EE3F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2D27DC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DBBD23A">
            <w:pPr>
              <w:snapToGrid w:val="0"/>
              <w:spacing w:line="240" w:lineRule="atLeast"/>
              <w:jc w:val="center"/>
              <w:rPr>
                <w:rFonts w:ascii="仿宋_GB2312" w:hAnsi="仿宋_GB2312" w:eastAsia="仿宋_GB2312" w:cs="仿宋_GB2312"/>
                <w:sz w:val="20"/>
                <w:szCs w:val="20"/>
              </w:rPr>
            </w:pPr>
          </w:p>
        </w:tc>
      </w:tr>
    </w:tbl>
    <w:p w14:paraId="1C474B92"/>
    <w:p w14:paraId="304BDE36"/>
    <w:p w14:paraId="11C4E89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B16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3F67A6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9EBC46B">
            <w:pPr>
              <w:spacing w:line="240" w:lineRule="atLeast"/>
              <w:rPr>
                <w:rFonts w:asciiTheme="majorEastAsia" w:hAnsiTheme="majorEastAsia" w:eastAsiaTheme="majorEastAsia" w:cstheme="majorEastAsia"/>
                <w:spacing w:val="-20"/>
                <w:sz w:val="20"/>
                <w:szCs w:val="20"/>
              </w:rPr>
            </w:pPr>
          </w:p>
          <w:p w14:paraId="1AD7821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54BB01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E9DE37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0498F1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3B4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217A400">
            <w:pPr>
              <w:spacing w:line="240" w:lineRule="atLeast"/>
              <w:jc w:val="left"/>
              <w:rPr>
                <w:rFonts w:ascii="仿宋_GB2312" w:hAnsi="仿宋_GB2312" w:eastAsia="仿宋_GB2312" w:cs="仿宋_GB2312"/>
                <w:sz w:val="20"/>
                <w:szCs w:val="20"/>
              </w:rPr>
            </w:pPr>
          </w:p>
        </w:tc>
        <w:tc>
          <w:tcPr>
            <w:tcW w:w="555" w:type="dxa"/>
            <w:vMerge w:val="continue"/>
          </w:tcPr>
          <w:p w14:paraId="2A68F713">
            <w:pPr>
              <w:spacing w:line="240" w:lineRule="atLeast"/>
              <w:jc w:val="left"/>
              <w:rPr>
                <w:rFonts w:ascii="仿宋_GB2312" w:hAnsi="仿宋_GB2312" w:eastAsia="仿宋_GB2312" w:cs="仿宋_GB2312"/>
                <w:sz w:val="20"/>
                <w:szCs w:val="20"/>
              </w:rPr>
            </w:pPr>
          </w:p>
        </w:tc>
        <w:tc>
          <w:tcPr>
            <w:tcW w:w="784" w:type="dxa"/>
            <w:vAlign w:val="center"/>
          </w:tcPr>
          <w:p w14:paraId="1638B62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203669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3A1241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33B25E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4E1616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FA8C8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C5957F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787E56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796E83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2CC6743">
            <w:pPr>
              <w:spacing w:line="240" w:lineRule="atLeast"/>
              <w:jc w:val="left"/>
              <w:rPr>
                <w:rFonts w:ascii="仿宋_GB2312" w:hAnsi="仿宋_GB2312" w:eastAsia="仿宋_GB2312" w:cs="仿宋_GB2312"/>
                <w:sz w:val="20"/>
                <w:szCs w:val="20"/>
              </w:rPr>
            </w:pPr>
          </w:p>
        </w:tc>
      </w:tr>
      <w:tr w14:paraId="638A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00A5E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121</w:t>
            </w:r>
          </w:p>
        </w:tc>
        <w:tc>
          <w:tcPr>
            <w:tcW w:w="555" w:type="dxa"/>
            <w:vAlign w:val="center"/>
          </w:tcPr>
          <w:p w14:paraId="406F5E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24932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A79E2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5BBA63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对单位或者个人在生产、建设活动中发现古生物化石不报告行为的处罚</w:t>
            </w:r>
          </w:p>
        </w:tc>
        <w:tc>
          <w:tcPr>
            <w:tcW w:w="660" w:type="dxa"/>
            <w:vAlign w:val="center"/>
          </w:tcPr>
          <w:p w14:paraId="3AA7A3C5">
            <w:pPr>
              <w:snapToGrid w:val="0"/>
              <w:spacing w:line="240" w:lineRule="atLeast"/>
              <w:jc w:val="center"/>
              <w:rPr>
                <w:rFonts w:ascii="仿宋_GB2312" w:hAnsi="仿宋_GB2312" w:eastAsia="仿宋_GB2312" w:cs="仿宋_GB2312"/>
                <w:sz w:val="20"/>
                <w:szCs w:val="20"/>
              </w:rPr>
            </w:pPr>
          </w:p>
        </w:tc>
        <w:tc>
          <w:tcPr>
            <w:tcW w:w="615" w:type="dxa"/>
            <w:vAlign w:val="center"/>
          </w:tcPr>
          <w:p w14:paraId="18CA26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E55A4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678598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古生物化石保护条例实施办法》（2012年国土资源部令第57号公布，2019年自然资源部令第5号修正）第五十一条：单位或者个人在生产、建设活动中发现古生物化石不报告的，由县级以上人民政府自然资源主管部门对建设工程实施单位处1万元以下罚款；造成古生物化石损毁的，依法承担相应的法律责任。</w:t>
            </w:r>
          </w:p>
        </w:tc>
        <w:tc>
          <w:tcPr>
            <w:tcW w:w="3585" w:type="dxa"/>
            <w:vAlign w:val="center"/>
          </w:tcPr>
          <w:p w14:paraId="101438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A32F9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13147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41E43A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195E8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24C6B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04F28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6F57C1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E68C63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571F22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4AE6E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0B1CC0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6132BD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6EA7FD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7319E0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9104FE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139256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9B91E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37AC1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8B80A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D8DCE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47126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CCC43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4C0E5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673F5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98EDE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8D003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982D0B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A4E0B64">
            <w:pPr>
              <w:snapToGrid w:val="0"/>
              <w:spacing w:line="240" w:lineRule="atLeast"/>
              <w:jc w:val="center"/>
              <w:rPr>
                <w:rFonts w:ascii="仿宋_GB2312" w:hAnsi="仿宋_GB2312" w:eastAsia="仿宋_GB2312" w:cs="仿宋_GB2312"/>
                <w:sz w:val="20"/>
                <w:szCs w:val="20"/>
              </w:rPr>
            </w:pPr>
          </w:p>
        </w:tc>
      </w:tr>
    </w:tbl>
    <w:p w14:paraId="15155A51"/>
    <w:p w14:paraId="175B34E7"/>
    <w:p w14:paraId="6826176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E55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037081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3E8B665">
            <w:pPr>
              <w:spacing w:line="240" w:lineRule="atLeast"/>
              <w:rPr>
                <w:rFonts w:asciiTheme="majorEastAsia" w:hAnsiTheme="majorEastAsia" w:eastAsiaTheme="majorEastAsia" w:cstheme="majorEastAsia"/>
                <w:spacing w:val="-20"/>
                <w:sz w:val="20"/>
                <w:szCs w:val="20"/>
              </w:rPr>
            </w:pPr>
          </w:p>
          <w:p w14:paraId="48C76B6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A062A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EE98A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6327B1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831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AE8D7D0">
            <w:pPr>
              <w:spacing w:line="240" w:lineRule="atLeast"/>
              <w:jc w:val="left"/>
              <w:rPr>
                <w:rFonts w:ascii="仿宋_GB2312" w:hAnsi="仿宋_GB2312" w:eastAsia="仿宋_GB2312" w:cs="仿宋_GB2312"/>
                <w:sz w:val="20"/>
                <w:szCs w:val="20"/>
              </w:rPr>
            </w:pPr>
          </w:p>
        </w:tc>
        <w:tc>
          <w:tcPr>
            <w:tcW w:w="555" w:type="dxa"/>
            <w:vMerge w:val="continue"/>
          </w:tcPr>
          <w:p w14:paraId="16AF24E3">
            <w:pPr>
              <w:spacing w:line="240" w:lineRule="atLeast"/>
              <w:jc w:val="left"/>
              <w:rPr>
                <w:rFonts w:ascii="仿宋_GB2312" w:hAnsi="仿宋_GB2312" w:eastAsia="仿宋_GB2312" w:cs="仿宋_GB2312"/>
                <w:sz w:val="20"/>
                <w:szCs w:val="20"/>
              </w:rPr>
            </w:pPr>
          </w:p>
        </w:tc>
        <w:tc>
          <w:tcPr>
            <w:tcW w:w="784" w:type="dxa"/>
            <w:vAlign w:val="center"/>
          </w:tcPr>
          <w:p w14:paraId="1358A40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BCAF0C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FC7271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2AA592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984AE4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5EAF03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2E282A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347C60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8F2A71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B0693DC">
            <w:pPr>
              <w:spacing w:line="240" w:lineRule="atLeast"/>
              <w:jc w:val="left"/>
              <w:rPr>
                <w:rFonts w:ascii="仿宋_GB2312" w:hAnsi="仿宋_GB2312" w:eastAsia="仿宋_GB2312" w:cs="仿宋_GB2312"/>
                <w:sz w:val="20"/>
                <w:szCs w:val="20"/>
              </w:rPr>
            </w:pPr>
          </w:p>
        </w:tc>
      </w:tr>
      <w:tr w14:paraId="4186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928DCB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122</w:t>
            </w:r>
          </w:p>
        </w:tc>
        <w:tc>
          <w:tcPr>
            <w:tcW w:w="555" w:type="dxa"/>
            <w:vAlign w:val="center"/>
          </w:tcPr>
          <w:p w14:paraId="50D461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BA8C6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A5ACD5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3E615E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对矿山企业未达到经依法审查确定的开采回采率、采矿贫化率、选矿回收率、矿山水循环利用率和土地复垦等指标行为的处罚</w:t>
            </w:r>
          </w:p>
        </w:tc>
        <w:tc>
          <w:tcPr>
            <w:tcW w:w="660" w:type="dxa"/>
            <w:vAlign w:val="center"/>
          </w:tcPr>
          <w:p w14:paraId="2D9D2541">
            <w:pPr>
              <w:snapToGrid w:val="0"/>
              <w:spacing w:line="240" w:lineRule="atLeast"/>
              <w:jc w:val="center"/>
              <w:rPr>
                <w:rFonts w:ascii="仿宋_GB2312" w:hAnsi="仿宋_GB2312" w:eastAsia="仿宋_GB2312" w:cs="仿宋_GB2312"/>
                <w:sz w:val="20"/>
                <w:szCs w:val="20"/>
              </w:rPr>
            </w:pPr>
          </w:p>
        </w:tc>
        <w:tc>
          <w:tcPr>
            <w:tcW w:w="615" w:type="dxa"/>
            <w:vAlign w:val="center"/>
          </w:tcPr>
          <w:p w14:paraId="2010A7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CD8FB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EE1F2A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循环经济促进法》第五十三条：违反本法规定，矿山企业未达到经依法审查确定的开采回采率、采矿贫化率、选矿回收率、矿山水循环利用率和土地复垦率等指标的，由县级以上人民政府地质矿产主管部门责令限期改正，处五万元以上五十万元以下的罚款；逾期不改正的，由采矿许可证颁发机关依法吊销采矿许可证。</w:t>
            </w:r>
          </w:p>
        </w:tc>
        <w:tc>
          <w:tcPr>
            <w:tcW w:w="3585" w:type="dxa"/>
            <w:vAlign w:val="center"/>
          </w:tcPr>
          <w:p w14:paraId="6C2810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4029B2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5C4190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5450B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2BDF5F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09B980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42577F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2212A4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C5D8C0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FC2EF0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D2916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3A9E5B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71E911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CFBD02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2C262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C3783D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CEAD8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32C3E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5C026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960F9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A86AB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7CE5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3A736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34425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EF0CE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E4CEB5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142CB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9A19A9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119872F">
            <w:pPr>
              <w:snapToGrid w:val="0"/>
              <w:spacing w:line="240" w:lineRule="atLeast"/>
              <w:jc w:val="center"/>
              <w:rPr>
                <w:rFonts w:ascii="仿宋_GB2312" w:hAnsi="仿宋_GB2312" w:eastAsia="仿宋_GB2312" w:cs="仿宋_GB2312"/>
                <w:sz w:val="20"/>
                <w:szCs w:val="20"/>
              </w:rPr>
            </w:pPr>
          </w:p>
        </w:tc>
      </w:tr>
    </w:tbl>
    <w:p w14:paraId="73983564"/>
    <w:p w14:paraId="771ED789"/>
    <w:p w14:paraId="20C0AA0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C86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059D23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958E34D">
            <w:pPr>
              <w:spacing w:line="240" w:lineRule="atLeast"/>
              <w:rPr>
                <w:rFonts w:asciiTheme="majorEastAsia" w:hAnsiTheme="majorEastAsia" w:eastAsiaTheme="majorEastAsia" w:cstheme="majorEastAsia"/>
                <w:spacing w:val="-20"/>
                <w:sz w:val="20"/>
                <w:szCs w:val="20"/>
              </w:rPr>
            </w:pPr>
          </w:p>
          <w:p w14:paraId="4016068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EE73EF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044A95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15761E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189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0268540">
            <w:pPr>
              <w:spacing w:line="240" w:lineRule="atLeast"/>
              <w:jc w:val="left"/>
              <w:rPr>
                <w:rFonts w:ascii="仿宋_GB2312" w:hAnsi="仿宋_GB2312" w:eastAsia="仿宋_GB2312" w:cs="仿宋_GB2312"/>
                <w:sz w:val="20"/>
                <w:szCs w:val="20"/>
              </w:rPr>
            </w:pPr>
          </w:p>
        </w:tc>
        <w:tc>
          <w:tcPr>
            <w:tcW w:w="555" w:type="dxa"/>
            <w:vMerge w:val="continue"/>
          </w:tcPr>
          <w:p w14:paraId="67A2BD07">
            <w:pPr>
              <w:spacing w:line="240" w:lineRule="atLeast"/>
              <w:jc w:val="left"/>
              <w:rPr>
                <w:rFonts w:ascii="仿宋_GB2312" w:hAnsi="仿宋_GB2312" w:eastAsia="仿宋_GB2312" w:cs="仿宋_GB2312"/>
                <w:sz w:val="20"/>
                <w:szCs w:val="20"/>
              </w:rPr>
            </w:pPr>
          </w:p>
        </w:tc>
        <w:tc>
          <w:tcPr>
            <w:tcW w:w="784" w:type="dxa"/>
            <w:vAlign w:val="center"/>
          </w:tcPr>
          <w:p w14:paraId="69B97E1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C6EFE7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1C14DB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659969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96351D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368FC1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3AD6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099F3F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5950CA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2355A99">
            <w:pPr>
              <w:spacing w:line="240" w:lineRule="atLeast"/>
              <w:jc w:val="left"/>
              <w:rPr>
                <w:rFonts w:ascii="仿宋_GB2312" w:hAnsi="仿宋_GB2312" w:eastAsia="仿宋_GB2312" w:cs="仿宋_GB2312"/>
                <w:sz w:val="20"/>
                <w:szCs w:val="20"/>
              </w:rPr>
            </w:pPr>
          </w:p>
        </w:tc>
      </w:tr>
      <w:tr w14:paraId="0257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60683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123</w:t>
            </w:r>
          </w:p>
        </w:tc>
        <w:tc>
          <w:tcPr>
            <w:tcW w:w="555" w:type="dxa"/>
            <w:vAlign w:val="center"/>
          </w:tcPr>
          <w:p w14:paraId="5B5ACD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4ABF4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82CA16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B18602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对因开采设计、采掘计划的决策错误，开采回采率、</w:t>
            </w:r>
            <w:r>
              <w:rPr>
                <w:rFonts w:hint="eastAsia" w:eastAsia="仿宋_GB2312"/>
                <w:snapToGrid w:val="0"/>
                <w:color w:val="000000"/>
                <w:sz w:val="20"/>
                <w:szCs w:val="20"/>
              </w:rPr>
              <w:t xml:space="preserve"> </w:t>
            </w:r>
            <w:r>
              <w:rPr>
                <w:rFonts w:hint="eastAsia" w:eastAsia="仿宋_GB2312" w:cs="宋体"/>
                <w:snapToGrid w:val="0"/>
                <w:color w:val="000000"/>
                <w:sz w:val="20"/>
                <w:szCs w:val="20"/>
              </w:rPr>
              <w:t>采矿贫化率和选矿回收率长期达不到设计要求，造成资源损失行为的处罚</w:t>
            </w:r>
          </w:p>
        </w:tc>
        <w:tc>
          <w:tcPr>
            <w:tcW w:w="660" w:type="dxa"/>
            <w:vAlign w:val="center"/>
          </w:tcPr>
          <w:p w14:paraId="0BF38AF0">
            <w:pPr>
              <w:snapToGrid w:val="0"/>
              <w:spacing w:line="240" w:lineRule="atLeast"/>
              <w:jc w:val="center"/>
              <w:rPr>
                <w:rFonts w:ascii="仿宋_GB2312" w:hAnsi="仿宋_GB2312" w:eastAsia="仿宋_GB2312" w:cs="仿宋_GB2312"/>
                <w:sz w:val="20"/>
                <w:szCs w:val="20"/>
              </w:rPr>
            </w:pPr>
          </w:p>
        </w:tc>
        <w:tc>
          <w:tcPr>
            <w:tcW w:w="615" w:type="dxa"/>
            <w:vAlign w:val="center"/>
          </w:tcPr>
          <w:p w14:paraId="7088ED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F8717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110B9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074CB8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一、因开采设计、采掘计划的决策错误，造成资源损失的；</w:t>
            </w:r>
          </w:p>
          <w:p w14:paraId="0A388E3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二、开采回采率、采矿贫化率和选矿回收率长期达不到设计要求，造成资源破坏损失的；</w:t>
            </w:r>
          </w:p>
        </w:tc>
        <w:tc>
          <w:tcPr>
            <w:tcW w:w="3585" w:type="dxa"/>
            <w:vAlign w:val="center"/>
          </w:tcPr>
          <w:p w14:paraId="51B790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438A2F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48D23A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8DE31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17D9268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0DAC75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0DDB4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6FF4DC8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AC6884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1FDBF3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B3F27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5060CB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914EF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B00DA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1BFD3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57CBAA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35D1E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0595D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EED8B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0942D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B0D4A6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DD73C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80185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F700E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F4491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ED7F0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3BCF2D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87FFB1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AA98EAC">
            <w:pPr>
              <w:snapToGrid w:val="0"/>
              <w:spacing w:line="240" w:lineRule="atLeast"/>
              <w:jc w:val="center"/>
              <w:rPr>
                <w:rFonts w:ascii="仿宋_GB2312" w:hAnsi="仿宋_GB2312" w:eastAsia="仿宋_GB2312" w:cs="仿宋_GB2312"/>
                <w:sz w:val="20"/>
                <w:szCs w:val="20"/>
              </w:rPr>
            </w:pPr>
          </w:p>
        </w:tc>
      </w:tr>
    </w:tbl>
    <w:p w14:paraId="6D26A92E"/>
    <w:p w14:paraId="512419DC"/>
    <w:p w14:paraId="5D251D3A"/>
    <w:p w14:paraId="1D8F2ED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E05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72A384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DFDD773">
            <w:pPr>
              <w:spacing w:line="240" w:lineRule="atLeast"/>
              <w:rPr>
                <w:rFonts w:asciiTheme="majorEastAsia" w:hAnsiTheme="majorEastAsia" w:eastAsiaTheme="majorEastAsia" w:cstheme="majorEastAsia"/>
                <w:spacing w:val="-20"/>
                <w:sz w:val="20"/>
                <w:szCs w:val="20"/>
              </w:rPr>
            </w:pPr>
          </w:p>
          <w:p w14:paraId="2ABD473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8AF9D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EC7A2C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C6F217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0FE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AA2C903">
            <w:pPr>
              <w:spacing w:line="240" w:lineRule="atLeast"/>
              <w:jc w:val="left"/>
              <w:rPr>
                <w:rFonts w:ascii="仿宋_GB2312" w:hAnsi="仿宋_GB2312" w:eastAsia="仿宋_GB2312" w:cs="仿宋_GB2312"/>
                <w:sz w:val="20"/>
                <w:szCs w:val="20"/>
              </w:rPr>
            </w:pPr>
          </w:p>
        </w:tc>
        <w:tc>
          <w:tcPr>
            <w:tcW w:w="555" w:type="dxa"/>
            <w:vMerge w:val="continue"/>
          </w:tcPr>
          <w:p w14:paraId="4194F415">
            <w:pPr>
              <w:spacing w:line="240" w:lineRule="atLeast"/>
              <w:jc w:val="left"/>
              <w:rPr>
                <w:rFonts w:ascii="仿宋_GB2312" w:hAnsi="仿宋_GB2312" w:eastAsia="仿宋_GB2312" w:cs="仿宋_GB2312"/>
                <w:sz w:val="20"/>
                <w:szCs w:val="20"/>
              </w:rPr>
            </w:pPr>
          </w:p>
        </w:tc>
        <w:tc>
          <w:tcPr>
            <w:tcW w:w="784" w:type="dxa"/>
            <w:vAlign w:val="center"/>
          </w:tcPr>
          <w:p w14:paraId="2A7B073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25D01B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262104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FBC6D5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C75376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68F18E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0A1F46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AD700B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7BA57A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8D9964C">
            <w:pPr>
              <w:spacing w:line="240" w:lineRule="atLeast"/>
              <w:jc w:val="left"/>
              <w:rPr>
                <w:rFonts w:ascii="仿宋_GB2312" w:hAnsi="仿宋_GB2312" w:eastAsia="仿宋_GB2312" w:cs="仿宋_GB2312"/>
                <w:sz w:val="20"/>
                <w:szCs w:val="20"/>
              </w:rPr>
            </w:pPr>
          </w:p>
        </w:tc>
      </w:tr>
      <w:tr w14:paraId="050C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0003C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124</w:t>
            </w:r>
          </w:p>
        </w:tc>
        <w:tc>
          <w:tcPr>
            <w:tcW w:w="555" w:type="dxa"/>
            <w:vAlign w:val="center"/>
          </w:tcPr>
          <w:p w14:paraId="3B32426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3194C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4AF14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D82032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对矿山的开拓、采准及采矿工程不按照开采设计进行施工，造成资源破坏损失行为的处罚</w:t>
            </w:r>
          </w:p>
        </w:tc>
        <w:tc>
          <w:tcPr>
            <w:tcW w:w="660" w:type="dxa"/>
            <w:vAlign w:val="center"/>
          </w:tcPr>
          <w:p w14:paraId="13B3098E">
            <w:pPr>
              <w:snapToGrid w:val="0"/>
              <w:spacing w:line="240" w:lineRule="atLeast"/>
              <w:jc w:val="center"/>
              <w:rPr>
                <w:rFonts w:ascii="仿宋_GB2312" w:hAnsi="仿宋_GB2312" w:eastAsia="仿宋_GB2312" w:cs="仿宋_GB2312"/>
                <w:sz w:val="20"/>
                <w:szCs w:val="20"/>
              </w:rPr>
            </w:pPr>
          </w:p>
        </w:tc>
        <w:tc>
          <w:tcPr>
            <w:tcW w:w="615" w:type="dxa"/>
            <w:vAlign w:val="center"/>
          </w:tcPr>
          <w:p w14:paraId="24883C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C3CDA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AA4F70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17D210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10129D3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第十三条：矿山的开拓、采准及采矿工程，必须按照开采设计进行施工。应当建立严格的施工验收制度，防止资源丢失。</w:t>
            </w:r>
          </w:p>
        </w:tc>
        <w:tc>
          <w:tcPr>
            <w:tcW w:w="3585" w:type="dxa"/>
            <w:vAlign w:val="center"/>
          </w:tcPr>
          <w:p w14:paraId="7412E9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41D6E1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16436E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63E1DF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0F26507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4224814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4C84D5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57A45A4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BF2F99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10DAEC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915BF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ED50C7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058D10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110BE5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A2DC6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1ADFBF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6AB9B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B107A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5AE56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552CD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64CC2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5BA8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BF769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CD935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994F8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AE5F0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6BBC0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FCF653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16DE3E1">
            <w:pPr>
              <w:snapToGrid w:val="0"/>
              <w:spacing w:line="240" w:lineRule="atLeast"/>
              <w:jc w:val="center"/>
              <w:rPr>
                <w:rFonts w:ascii="仿宋_GB2312" w:hAnsi="仿宋_GB2312" w:eastAsia="仿宋_GB2312" w:cs="仿宋_GB2312"/>
                <w:sz w:val="20"/>
                <w:szCs w:val="20"/>
              </w:rPr>
            </w:pPr>
          </w:p>
        </w:tc>
      </w:tr>
    </w:tbl>
    <w:p w14:paraId="09919CED"/>
    <w:p w14:paraId="75AAA049"/>
    <w:p w14:paraId="67B94FA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5D3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6019BB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17DBE3E">
            <w:pPr>
              <w:spacing w:line="240" w:lineRule="atLeast"/>
              <w:rPr>
                <w:rFonts w:asciiTheme="majorEastAsia" w:hAnsiTheme="majorEastAsia" w:eastAsiaTheme="majorEastAsia" w:cstheme="majorEastAsia"/>
                <w:spacing w:val="-20"/>
                <w:sz w:val="20"/>
                <w:szCs w:val="20"/>
              </w:rPr>
            </w:pPr>
          </w:p>
          <w:p w14:paraId="6ED9612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094921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51ED8A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A3C9BD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3C5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6A8BE84">
            <w:pPr>
              <w:spacing w:line="240" w:lineRule="atLeast"/>
              <w:jc w:val="left"/>
              <w:rPr>
                <w:rFonts w:ascii="仿宋_GB2312" w:hAnsi="仿宋_GB2312" w:eastAsia="仿宋_GB2312" w:cs="仿宋_GB2312"/>
                <w:sz w:val="20"/>
                <w:szCs w:val="20"/>
              </w:rPr>
            </w:pPr>
          </w:p>
        </w:tc>
        <w:tc>
          <w:tcPr>
            <w:tcW w:w="555" w:type="dxa"/>
            <w:vMerge w:val="continue"/>
          </w:tcPr>
          <w:p w14:paraId="6160CCBE">
            <w:pPr>
              <w:spacing w:line="240" w:lineRule="atLeast"/>
              <w:jc w:val="left"/>
              <w:rPr>
                <w:rFonts w:ascii="仿宋_GB2312" w:hAnsi="仿宋_GB2312" w:eastAsia="仿宋_GB2312" w:cs="仿宋_GB2312"/>
                <w:sz w:val="20"/>
                <w:szCs w:val="20"/>
              </w:rPr>
            </w:pPr>
          </w:p>
        </w:tc>
        <w:tc>
          <w:tcPr>
            <w:tcW w:w="784" w:type="dxa"/>
            <w:vAlign w:val="center"/>
          </w:tcPr>
          <w:p w14:paraId="699E186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43B6D7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EC7316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8EBBA5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7D9F53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6FFEAF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AE86B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0D3257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C69D7D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BBDC7C8">
            <w:pPr>
              <w:spacing w:line="240" w:lineRule="atLeast"/>
              <w:jc w:val="left"/>
              <w:rPr>
                <w:rFonts w:ascii="仿宋_GB2312" w:hAnsi="仿宋_GB2312" w:eastAsia="仿宋_GB2312" w:cs="仿宋_GB2312"/>
                <w:sz w:val="20"/>
                <w:szCs w:val="20"/>
              </w:rPr>
            </w:pPr>
          </w:p>
        </w:tc>
      </w:tr>
      <w:tr w14:paraId="55E0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6E0B4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125</w:t>
            </w:r>
          </w:p>
        </w:tc>
        <w:tc>
          <w:tcPr>
            <w:tcW w:w="555" w:type="dxa"/>
            <w:vAlign w:val="center"/>
          </w:tcPr>
          <w:p w14:paraId="6FAF8A5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4D471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BA32D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DD5EFA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对矿山企业不按照设计进行开采，任意丢掉矿体，造成资源破坏损失行为的处罚</w:t>
            </w:r>
          </w:p>
        </w:tc>
        <w:tc>
          <w:tcPr>
            <w:tcW w:w="660" w:type="dxa"/>
            <w:vAlign w:val="center"/>
          </w:tcPr>
          <w:p w14:paraId="6013551D">
            <w:pPr>
              <w:snapToGrid w:val="0"/>
              <w:spacing w:line="240" w:lineRule="atLeast"/>
              <w:jc w:val="center"/>
              <w:rPr>
                <w:rFonts w:ascii="仿宋_GB2312" w:hAnsi="仿宋_GB2312" w:eastAsia="仿宋_GB2312" w:cs="仿宋_GB2312"/>
                <w:sz w:val="20"/>
                <w:szCs w:val="20"/>
              </w:rPr>
            </w:pPr>
          </w:p>
        </w:tc>
        <w:tc>
          <w:tcPr>
            <w:tcW w:w="615" w:type="dxa"/>
            <w:vAlign w:val="center"/>
          </w:tcPr>
          <w:p w14:paraId="1DA46D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9533C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98F03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16C119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7BE0DD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第十四条：矿山企业必须按照设计进行开采，不准任意丢掉矿体。对开采应当加强监督检查，严防不应有的开采损失。</w:t>
            </w:r>
          </w:p>
        </w:tc>
        <w:tc>
          <w:tcPr>
            <w:tcW w:w="3585" w:type="dxa"/>
            <w:vAlign w:val="center"/>
          </w:tcPr>
          <w:p w14:paraId="5CBC97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5B4D0DA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43817B7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E4A24A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33B2D0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2641FC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203DAD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1589612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EE09AD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85A45E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18D4B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3FA6B4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78DE8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3F5E45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85944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5EE57F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1FCA8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A5858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7C031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DF574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C24E1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71E18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B0612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1EEBC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9E1E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90AE4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31EB4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1A7A37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11ADEF6">
            <w:pPr>
              <w:snapToGrid w:val="0"/>
              <w:spacing w:line="240" w:lineRule="atLeast"/>
              <w:jc w:val="center"/>
              <w:rPr>
                <w:rFonts w:ascii="仿宋_GB2312" w:hAnsi="仿宋_GB2312" w:eastAsia="仿宋_GB2312" w:cs="仿宋_GB2312"/>
                <w:sz w:val="20"/>
                <w:szCs w:val="20"/>
              </w:rPr>
            </w:pPr>
          </w:p>
        </w:tc>
      </w:tr>
    </w:tbl>
    <w:p w14:paraId="29C910B6"/>
    <w:p w14:paraId="067D9E9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D03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D36F38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83FBD5F">
            <w:pPr>
              <w:spacing w:line="240" w:lineRule="atLeast"/>
              <w:rPr>
                <w:rFonts w:asciiTheme="majorEastAsia" w:hAnsiTheme="majorEastAsia" w:eastAsiaTheme="majorEastAsia" w:cstheme="majorEastAsia"/>
                <w:spacing w:val="-20"/>
                <w:sz w:val="20"/>
                <w:szCs w:val="20"/>
              </w:rPr>
            </w:pPr>
          </w:p>
          <w:p w14:paraId="367FFEB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7BCF33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366488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BB1F2C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42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18BC23B">
            <w:pPr>
              <w:spacing w:line="240" w:lineRule="atLeast"/>
              <w:jc w:val="left"/>
              <w:rPr>
                <w:rFonts w:ascii="仿宋_GB2312" w:hAnsi="仿宋_GB2312" w:eastAsia="仿宋_GB2312" w:cs="仿宋_GB2312"/>
                <w:sz w:val="20"/>
                <w:szCs w:val="20"/>
              </w:rPr>
            </w:pPr>
          </w:p>
        </w:tc>
        <w:tc>
          <w:tcPr>
            <w:tcW w:w="555" w:type="dxa"/>
            <w:vMerge w:val="continue"/>
          </w:tcPr>
          <w:p w14:paraId="348B6719">
            <w:pPr>
              <w:spacing w:line="240" w:lineRule="atLeast"/>
              <w:jc w:val="left"/>
              <w:rPr>
                <w:rFonts w:ascii="仿宋_GB2312" w:hAnsi="仿宋_GB2312" w:eastAsia="仿宋_GB2312" w:cs="仿宋_GB2312"/>
                <w:sz w:val="20"/>
                <w:szCs w:val="20"/>
              </w:rPr>
            </w:pPr>
          </w:p>
        </w:tc>
        <w:tc>
          <w:tcPr>
            <w:tcW w:w="784" w:type="dxa"/>
            <w:vAlign w:val="center"/>
          </w:tcPr>
          <w:p w14:paraId="491CC87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623F1A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281CA6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2FA4B2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7FB45E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69BFE8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74C2C3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9D14F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9815C3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116CF33">
            <w:pPr>
              <w:spacing w:line="240" w:lineRule="atLeast"/>
              <w:jc w:val="left"/>
              <w:rPr>
                <w:rFonts w:ascii="仿宋_GB2312" w:hAnsi="仿宋_GB2312" w:eastAsia="仿宋_GB2312" w:cs="仿宋_GB2312"/>
                <w:sz w:val="20"/>
                <w:szCs w:val="20"/>
              </w:rPr>
            </w:pPr>
          </w:p>
        </w:tc>
      </w:tr>
      <w:tr w14:paraId="0EB8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A36F8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126</w:t>
            </w:r>
          </w:p>
        </w:tc>
        <w:tc>
          <w:tcPr>
            <w:tcW w:w="555" w:type="dxa"/>
            <w:vAlign w:val="center"/>
          </w:tcPr>
          <w:p w14:paraId="2B8434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E5247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B79391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7DB2CA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对在采、选主要矿产的同时，未对具有工业价值的共生、伴生矿产在技术可行、经济合理的条件下未进行综合回收或者对暂时不能综合回收利用的矿产，未采取有效的保护措施，造成资源破坏损失行为的处罚</w:t>
            </w:r>
          </w:p>
        </w:tc>
        <w:tc>
          <w:tcPr>
            <w:tcW w:w="660" w:type="dxa"/>
            <w:vAlign w:val="center"/>
          </w:tcPr>
          <w:p w14:paraId="590BE67C">
            <w:pPr>
              <w:snapToGrid w:val="0"/>
              <w:spacing w:line="240" w:lineRule="atLeast"/>
              <w:jc w:val="center"/>
              <w:rPr>
                <w:rFonts w:ascii="仿宋_GB2312" w:hAnsi="仿宋_GB2312" w:eastAsia="仿宋_GB2312" w:cs="仿宋_GB2312"/>
                <w:sz w:val="20"/>
                <w:szCs w:val="20"/>
              </w:rPr>
            </w:pPr>
          </w:p>
        </w:tc>
        <w:tc>
          <w:tcPr>
            <w:tcW w:w="615" w:type="dxa"/>
            <w:vAlign w:val="center"/>
          </w:tcPr>
          <w:p w14:paraId="468D44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5D24A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72923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476A0A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64AD2AB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第十七条：在采、选主要矿产的同时，对具有工业价值的共生、伴生矿产，在技术可行、经济合理的条件下，必须综合回收；对暂时不能综合回收利用的矿产，应当采取有效的保护措施。</w:t>
            </w:r>
          </w:p>
        </w:tc>
        <w:tc>
          <w:tcPr>
            <w:tcW w:w="3585" w:type="dxa"/>
            <w:vAlign w:val="center"/>
          </w:tcPr>
          <w:p w14:paraId="739193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6F5592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3128C06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6ACE4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5708F04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674358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5AF5E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69B18E0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FE5EB8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0906CD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7DBB2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10E0F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419A8C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9AE7E3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65898E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7B75F7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8B0E3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BBB02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7D873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3566EB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79DE5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F6EC5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03C29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AC84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3A4C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C38D7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8B347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FB10F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FA2A86A">
            <w:pPr>
              <w:snapToGrid w:val="0"/>
              <w:spacing w:line="240" w:lineRule="atLeast"/>
              <w:jc w:val="center"/>
              <w:rPr>
                <w:rFonts w:ascii="仿宋_GB2312" w:hAnsi="仿宋_GB2312" w:eastAsia="仿宋_GB2312" w:cs="仿宋_GB2312"/>
                <w:sz w:val="20"/>
                <w:szCs w:val="20"/>
              </w:rPr>
            </w:pPr>
          </w:p>
        </w:tc>
      </w:tr>
    </w:tbl>
    <w:p w14:paraId="2EF21965"/>
    <w:p w14:paraId="348C72C7"/>
    <w:p w14:paraId="3DBDB6C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4A6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0CDDA3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27CBA6F">
            <w:pPr>
              <w:spacing w:line="240" w:lineRule="atLeast"/>
              <w:rPr>
                <w:rFonts w:asciiTheme="majorEastAsia" w:hAnsiTheme="majorEastAsia" w:eastAsiaTheme="majorEastAsia" w:cstheme="majorEastAsia"/>
                <w:spacing w:val="-20"/>
                <w:sz w:val="20"/>
                <w:szCs w:val="20"/>
              </w:rPr>
            </w:pPr>
          </w:p>
          <w:p w14:paraId="219800E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95D75B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B0551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EA28F4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6A9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DFDB936">
            <w:pPr>
              <w:spacing w:line="240" w:lineRule="atLeast"/>
              <w:jc w:val="left"/>
              <w:rPr>
                <w:rFonts w:ascii="仿宋_GB2312" w:hAnsi="仿宋_GB2312" w:eastAsia="仿宋_GB2312" w:cs="仿宋_GB2312"/>
                <w:sz w:val="20"/>
                <w:szCs w:val="20"/>
              </w:rPr>
            </w:pPr>
          </w:p>
        </w:tc>
        <w:tc>
          <w:tcPr>
            <w:tcW w:w="555" w:type="dxa"/>
            <w:vMerge w:val="continue"/>
          </w:tcPr>
          <w:p w14:paraId="22F372F6">
            <w:pPr>
              <w:spacing w:line="240" w:lineRule="atLeast"/>
              <w:jc w:val="left"/>
              <w:rPr>
                <w:rFonts w:ascii="仿宋_GB2312" w:hAnsi="仿宋_GB2312" w:eastAsia="仿宋_GB2312" w:cs="仿宋_GB2312"/>
                <w:sz w:val="20"/>
                <w:szCs w:val="20"/>
              </w:rPr>
            </w:pPr>
          </w:p>
        </w:tc>
        <w:tc>
          <w:tcPr>
            <w:tcW w:w="784" w:type="dxa"/>
            <w:vAlign w:val="center"/>
          </w:tcPr>
          <w:p w14:paraId="7187A9D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0B9772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9368FD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624AB8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312610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D46670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EF899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2533C7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F17B61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3E19132">
            <w:pPr>
              <w:spacing w:line="240" w:lineRule="atLeast"/>
              <w:jc w:val="left"/>
              <w:rPr>
                <w:rFonts w:ascii="仿宋_GB2312" w:hAnsi="仿宋_GB2312" w:eastAsia="仿宋_GB2312" w:cs="仿宋_GB2312"/>
                <w:sz w:val="20"/>
                <w:szCs w:val="20"/>
              </w:rPr>
            </w:pPr>
          </w:p>
        </w:tc>
      </w:tr>
      <w:tr w14:paraId="3957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5C103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127</w:t>
            </w:r>
          </w:p>
        </w:tc>
        <w:tc>
          <w:tcPr>
            <w:tcW w:w="555" w:type="dxa"/>
            <w:vAlign w:val="center"/>
          </w:tcPr>
          <w:p w14:paraId="65E418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F57F4B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1ADEB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515FB6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对矿山企业随意变动批准的计算矿产储量的工业指标进行矿产储量的圈定、计算及开采，造成资源破坏损失行为的处罚</w:t>
            </w:r>
          </w:p>
        </w:tc>
        <w:tc>
          <w:tcPr>
            <w:tcW w:w="660" w:type="dxa"/>
            <w:vAlign w:val="center"/>
          </w:tcPr>
          <w:p w14:paraId="1070BC4B">
            <w:pPr>
              <w:snapToGrid w:val="0"/>
              <w:spacing w:line="240" w:lineRule="atLeast"/>
              <w:jc w:val="center"/>
              <w:rPr>
                <w:rFonts w:ascii="仿宋_GB2312" w:hAnsi="仿宋_GB2312" w:eastAsia="仿宋_GB2312" w:cs="仿宋_GB2312"/>
                <w:sz w:val="20"/>
                <w:szCs w:val="20"/>
              </w:rPr>
            </w:pPr>
          </w:p>
        </w:tc>
        <w:tc>
          <w:tcPr>
            <w:tcW w:w="615" w:type="dxa"/>
            <w:vAlign w:val="center"/>
          </w:tcPr>
          <w:p w14:paraId="0149A3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44ACE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07DDC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1FADD3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02458DC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第十九条：矿山企业对矿产储量的圈定、计算及开采，必须以批准的计算矿产储量的工业指标为依据，不得随意变动。需要变动的，应当上报实际资料，经主管部门审核同意后，报原审批单位批准。</w:t>
            </w:r>
          </w:p>
        </w:tc>
        <w:tc>
          <w:tcPr>
            <w:tcW w:w="3585" w:type="dxa"/>
            <w:vAlign w:val="center"/>
          </w:tcPr>
          <w:p w14:paraId="585320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080110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3F3E37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3989C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75AF96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6ADDEB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87E610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178987E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AD46EE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C2992D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05E295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AEA85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A41190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022511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8ADCFB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896AF4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15F46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6DA79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497EB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9A80A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CDD19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D8C12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B288A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D117C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DAB8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E5383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781F9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36CA5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921CD6C">
            <w:pPr>
              <w:snapToGrid w:val="0"/>
              <w:spacing w:line="240" w:lineRule="atLeast"/>
              <w:jc w:val="center"/>
              <w:rPr>
                <w:rFonts w:ascii="仿宋_GB2312" w:hAnsi="仿宋_GB2312" w:eastAsia="仿宋_GB2312" w:cs="仿宋_GB2312"/>
                <w:sz w:val="20"/>
                <w:szCs w:val="20"/>
              </w:rPr>
            </w:pPr>
          </w:p>
        </w:tc>
      </w:tr>
    </w:tbl>
    <w:p w14:paraId="462F50DA"/>
    <w:p w14:paraId="58CEF74B"/>
    <w:p w14:paraId="254505F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E68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FCDEC1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42CC8B3">
            <w:pPr>
              <w:spacing w:line="240" w:lineRule="atLeast"/>
              <w:rPr>
                <w:rFonts w:asciiTheme="majorEastAsia" w:hAnsiTheme="majorEastAsia" w:eastAsiaTheme="majorEastAsia" w:cstheme="majorEastAsia"/>
                <w:spacing w:val="-20"/>
                <w:sz w:val="20"/>
                <w:szCs w:val="20"/>
              </w:rPr>
            </w:pPr>
          </w:p>
          <w:p w14:paraId="04A274E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753E9A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7758E6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C086D0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093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BC3BFDF">
            <w:pPr>
              <w:spacing w:line="240" w:lineRule="atLeast"/>
              <w:jc w:val="left"/>
              <w:rPr>
                <w:rFonts w:ascii="仿宋_GB2312" w:hAnsi="仿宋_GB2312" w:eastAsia="仿宋_GB2312" w:cs="仿宋_GB2312"/>
                <w:sz w:val="20"/>
                <w:szCs w:val="20"/>
              </w:rPr>
            </w:pPr>
          </w:p>
        </w:tc>
        <w:tc>
          <w:tcPr>
            <w:tcW w:w="555" w:type="dxa"/>
            <w:vMerge w:val="continue"/>
          </w:tcPr>
          <w:p w14:paraId="43879EF1">
            <w:pPr>
              <w:spacing w:line="240" w:lineRule="atLeast"/>
              <w:jc w:val="left"/>
              <w:rPr>
                <w:rFonts w:ascii="仿宋_GB2312" w:hAnsi="仿宋_GB2312" w:eastAsia="仿宋_GB2312" w:cs="仿宋_GB2312"/>
                <w:sz w:val="20"/>
                <w:szCs w:val="20"/>
              </w:rPr>
            </w:pPr>
          </w:p>
        </w:tc>
        <w:tc>
          <w:tcPr>
            <w:tcW w:w="784" w:type="dxa"/>
            <w:vAlign w:val="center"/>
          </w:tcPr>
          <w:p w14:paraId="58E5221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C6748C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869474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EFFF09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547137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F2D6ED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83497B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BA2367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7FE7D8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24B447C">
            <w:pPr>
              <w:spacing w:line="240" w:lineRule="atLeast"/>
              <w:jc w:val="left"/>
              <w:rPr>
                <w:rFonts w:ascii="仿宋_GB2312" w:hAnsi="仿宋_GB2312" w:eastAsia="仿宋_GB2312" w:cs="仿宋_GB2312"/>
                <w:sz w:val="20"/>
                <w:szCs w:val="20"/>
              </w:rPr>
            </w:pPr>
          </w:p>
        </w:tc>
      </w:tr>
      <w:tr w14:paraId="4979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CB503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128</w:t>
            </w:r>
          </w:p>
        </w:tc>
        <w:tc>
          <w:tcPr>
            <w:tcW w:w="555" w:type="dxa"/>
            <w:vAlign w:val="center"/>
          </w:tcPr>
          <w:p w14:paraId="6BAFCA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8E5F6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74096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D3D904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对擅自废除坑道和其他工程，造成资源破坏损失行为的处罚</w:t>
            </w:r>
          </w:p>
        </w:tc>
        <w:tc>
          <w:tcPr>
            <w:tcW w:w="660" w:type="dxa"/>
            <w:vAlign w:val="center"/>
          </w:tcPr>
          <w:p w14:paraId="4A5CFDF2">
            <w:pPr>
              <w:snapToGrid w:val="0"/>
              <w:spacing w:line="240" w:lineRule="atLeast"/>
              <w:jc w:val="center"/>
              <w:rPr>
                <w:rFonts w:ascii="仿宋_GB2312" w:hAnsi="仿宋_GB2312" w:eastAsia="仿宋_GB2312" w:cs="仿宋_GB2312"/>
                <w:sz w:val="20"/>
                <w:szCs w:val="20"/>
              </w:rPr>
            </w:pPr>
          </w:p>
        </w:tc>
        <w:tc>
          <w:tcPr>
            <w:tcW w:w="615" w:type="dxa"/>
            <w:vAlign w:val="center"/>
          </w:tcPr>
          <w:p w14:paraId="215912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CF63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D463F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矿产资源监督管理暂行办法》（1987年国务院发布）第二十三条：矿山企业有下列情形之一的，应当追究有关人员的责任，或者由地质矿产主管部门责令其限期改正，并可处以相当于矿石损失50％以下的罚款，情节严重的，应当责令停产整顿或者吊销采矿许可证：</w:t>
            </w:r>
          </w:p>
          <w:p w14:paraId="6BC4F1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三、违反本办法第十三条、第十四条、第十七条、第十九条、第二十一条的规定，造成资源破坏损失的。</w:t>
            </w:r>
          </w:p>
          <w:p w14:paraId="45A65F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第二十一条：地下开采的中段（水平）或露天采矿场内尚有未采完的保有矿产储量，未经地质测量机构检查验收和报销申请尚未批准之前，不准擅自废除坑道和其他工程。</w:t>
            </w:r>
          </w:p>
        </w:tc>
        <w:tc>
          <w:tcPr>
            <w:tcW w:w="3585" w:type="dxa"/>
            <w:vAlign w:val="center"/>
          </w:tcPr>
          <w:p w14:paraId="758B3B7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1.立案责任：接到举报或相关部门转送、巡查发现违法行为，及时予以审查，决定是否立案。下达《责令停止违法行为通知书》。</w:t>
            </w:r>
          </w:p>
          <w:p w14:paraId="214666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2.调查责任：对立案的案件，指定专人负责，及时组织调查取证，与当事人有直接利害关系的应当回避。执法人员不得少于两人，调查时应出示执法证件，听取当事人辩解陈述。执法人员应保守有关秘密。</w:t>
            </w:r>
          </w:p>
          <w:p w14:paraId="6678B5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7D1227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4.告知责任：作出行政处罚决定前，应制作《行政处罚告知书》送达当事人，告知违法事实及其享有的陈述、申辩等权利。符合听证规定的，制作并送达《行政处罚听证告知书》。</w:t>
            </w:r>
          </w:p>
          <w:p w14:paraId="3D5A8A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5.决定责任：制作行政处罚决定书，载明行政处罚告知、当事人陈述申辩或者听证情况等内容。符合刑事案件移送条件的，及时移送。</w:t>
            </w:r>
          </w:p>
          <w:p w14:paraId="11BA4F8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D0F0B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7.执行责任：当事人履行处罚决定的，及时结案；未履行处罚决定，依照生效的行政处罚决定，按程序下达催缴（告）通知书和申请人民法院强制执行。</w:t>
            </w:r>
          </w:p>
          <w:p w14:paraId="286F10E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5D401E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7A0847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AC8FC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FA20CF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4F13E8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E1F62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54AA3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A698AE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E66FE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1879F9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2EA3B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95576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E1E56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09D1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25134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066A1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F55A3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E8AC2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6CF126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6F5AD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0A8E622">
            <w:pPr>
              <w:snapToGrid w:val="0"/>
              <w:spacing w:line="240" w:lineRule="atLeast"/>
              <w:jc w:val="center"/>
              <w:rPr>
                <w:rFonts w:ascii="仿宋_GB2312" w:hAnsi="仿宋_GB2312" w:eastAsia="仿宋_GB2312" w:cs="仿宋_GB2312"/>
                <w:sz w:val="20"/>
                <w:szCs w:val="20"/>
              </w:rPr>
            </w:pPr>
          </w:p>
        </w:tc>
      </w:tr>
    </w:tbl>
    <w:p w14:paraId="026F776D"/>
    <w:p w14:paraId="5DB003A9"/>
    <w:p w14:paraId="23538E3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002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C25E61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9825B43">
            <w:pPr>
              <w:spacing w:line="240" w:lineRule="atLeast"/>
              <w:rPr>
                <w:rFonts w:asciiTheme="majorEastAsia" w:hAnsiTheme="majorEastAsia" w:eastAsiaTheme="majorEastAsia" w:cstheme="majorEastAsia"/>
                <w:spacing w:val="-20"/>
                <w:sz w:val="20"/>
                <w:szCs w:val="20"/>
              </w:rPr>
            </w:pPr>
          </w:p>
          <w:p w14:paraId="14BB01C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9DB5A9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BF2CC9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C95A4B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A4A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BD16CE8">
            <w:pPr>
              <w:spacing w:line="240" w:lineRule="atLeast"/>
              <w:jc w:val="left"/>
              <w:rPr>
                <w:rFonts w:ascii="仿宋_GB2312" w:hAnsi="仿宋_GB2312" w:eastAsia="仿宋_GB2312" w:cs="仿宋_GB2312"/>
                <w:sz w:val="20"/>
                <w:szCs w:val="20"/>
              </w:rPr>
            </w:pPr>
          </w:p>
        </w:tc>
        <w:tc>
          <w:tcPr>
            <w:tcW w:w="555" w:type="dxa"/>
            <w:vMerge w:val="continue"/>
          </w:tcPr>
          <w:p w14:paraId="585DF83D">
            <w:pPr>
              <w:spacing w:line="240" w:lineRule="atLeast"/>
              <w:jc w:val="left"/>
              <w:rPr>
                <w:rFonts w:ascii="仿宋_GB2312" w:hAnsi="仿宋_GB2312" w:eastAsia="仿宋_GB2312" w:cs="仿宋_GB2312"/>
                <w:sz w:val="20"/>
                <w:szCs w:val="20"/>
              </w:rPr>
            </w:pPr>
          </w:p>
        </w:tc>
        <w:tc>
          <w:tcPr>
            <w:tcW w:w="784" w:type="dxa"/>
            <w:vAlign w:val="center"/>
          </w:tcPr>
          <w:p w14:paraId="4392508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87ABE7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175FBB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09A976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2AE8A8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6B7C30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E0EB6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86293F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A27D91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72C8607">
            <w:pPr>
              <w:spacing w:line="240" w:lineRule="atLeast"/>
              <w:jc w:val="left"/>
              <w:rPr>
                <w:rFonts w:ascii="仿宋_GB2312" w:hAnsi="仿宋_GB2312" w:eastAsia="仿宋_GB2312" w:cs="仿宋_GB2312"/>
                <w:sz w:val="20"/>
                <w:szCs w:val="20"/>
              </w:rPr>
            </w:pPr>
          </w:p>
        </w:tc>
      </w:tr>
      <w:tr w14:paraId="18A8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0265B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129</w:t>
            </w:r>
          </w:p>
        </w:tc>
        <w:tc>
          <w:tcPr>
            <w:tcW w:w="555" w:type="dxa"/>
            <w:vAlign w:val="center"/>
          </w:tcPr>
          <w:p w14:paraId="7DA03A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FED9B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C8CF4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C55B7A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对城乡规划编制单位以欺骗、贿赂等不正当手段取得城乡规划编制单位资质证书行为的处罚</w:t>
            </w:r>
          </w:p>
        </w:tc>
        <w:tc>
          <w:tcPr>
            <w:tcW w:w="660" w:type="dxa"/>
            <w:vAlign w:val="center"/>
          </w:tcPr>
          <w:p w14:paraId="49EF31D9">
            <w:pPr>
              <w:snapToGrid w:val="0"/>
              <w:spacing w:line="240" w:lineRule="atLeast"/>
              <w:jc w:val="center"/>
              <w:rPr>
                <w:rFonts w:ascii="仿宋_GB2312" w:hAnsi="仿宋_GB2312" w:eastAsia="仿宋_GB2312" w:cs="仿宋_GB2312"/>
                <w:sz w:val="20"/>
                <w:szCs w:val="20"/>
              </w:rPr>
            </w:pPr>
          </w:p>
        </w:tc>
        <w:tc>
          <w:tcPr>
            <w:tcW w:w="615" w:type="dxa"/>
            <w:vAlign w:val="center"/>
          </w:tcPr>
          <w:p w14:paraId="1D5E1E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31185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D9EF7F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城乡规划编制单位资质管理规定》（2012年住房和城乡建设部令第12号发布，2016年住房和城乡建设部令第28号修改）第三十七条第二款：以欺骗、贿赂等不正当手段取得城乡规划编制单位资质证书的，由县级以上地方人民政府城乡规划主管部门处3万元罚款，申请人在3年内不得再次申请城乡规划编制单位资质。</w:t>
            </w:r>
          </w:p>
        </w:tc>
        <w:tc>
          <w:tcPr>
            <w:tcW w:w="3585" w:type="dxa"/>
            <w:vAlign w:val="center"/>
          </w:tcPr>
          <w:p w14:paraId="51CABB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3956581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5BEEC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AF43C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5E4740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D73EA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E0C99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762ADE0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F0948EF">
            <w:pPr>
              <w:widowControl/>
              <w:adjustRightInd w:val="0"/>
              <w:snapToGrid w:val="0"/>
              <w:spacing w:line="240"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AD1A63A">
            <w:pPr>
              <w:widowControl/>
              <w:adjustRightInd w:val="0"/>
              <w:snapToGrid w:val="0"/>
              <w:spacing w:line="240"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CA569A">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2ACDB3A">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741D2F6">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BC87D8C">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F07E5AF">
            <w:pPr>
              <w:widowControl/>
              <w:adjustRightInd w:val="0"/>
              <w:snapToGrid w:val="0"/>
              <w:spacing w:line="24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5AE0811">
            <w:pPr>
              <w:widowControl/>
              <w:adjustRightInd w:val="0"/>
              <w:snapToGrid w:val="0"/>
              <w:spacing w:line="240"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B7B246D">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7894314">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74B6F3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2DD179D">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5E7D5F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FEE9D3">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A8271F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198DB58">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D9A353F">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35940F2">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C6B7EC1">
            <w:pPr>
              <w:widowControl/>
              <w:adjustRightInd w:val="0"/>
              <w:snapToGrid w:val="0"/>
              <w:spacing w:line="24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C6560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D082BD1">
            <w:pPr>
              <w:snapToGrid w:val="0"/>
              <w:spacing w:line="240" w:lineRule="atLeast"/>
              <w:jc w:val="center"/>
              <w:rPr>
                <w:rFonts w:ascii="仿宋_GB2312" w:hAnsi="仿宋_GB2312" w:eastAsia="仿宋_GB2312" w:cs="仿宋_GB2312"/>
                <w:sz w:val="20"/>
                <w:szCs w:val="20"/>
              </w:rPr>
            </w:pPr>
          </w:p>
        </w:tc>
      </w:tr>
    </w:tbl>
    <w:p w14:paraId="0BB908B0"/>
    <w:p w14:paraId="7CAB7DAC"/>
    <w:p w14:paraId="381C6BB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5F1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301470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AEF08A9">
            <w:pPr>
              <w:spacing w:line="240" w:lineRule="atLeast"/>
              <w:rPr>
                <w:rFonts w:asciiTheme="majorEastAsia" w:hAnsiTheme="majorEastAsia" w:eastAsiaTheme="majorEastAsia" w:cstheme="majorEastAsia"/>
                <w:spacing w:val="-20"/>
                <w:sz w:val="20"/>
                <w:szCs w:val="20"/>
              </w:rPr>
            </w:pPr>
          </w:p>
          <w:p w14:paraId="4D5FAB9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FAABCE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71BAA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0197B5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99E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B3B0EE2">
            <w:pPr>
              <w:spacing w:line="240" w:lineRule="atLeast"/>
              <w:jc w:val="left"/>
              <w:rPr>
                <w:rFonts w:ascii="仿宋_GB2312" w:hAnsi="仿宋_GB2312" w:eastAsia="仿宋_GB2312" w:cs="仿宋_GB2312"/>
                <w:sz w:val="20"/>
                <w:szCs w:val="20"/>
              </w:rPr>
            </w:pPr>
          </w:p>
        </w:tc>
        <w:tc>
          <w:tcPr>
            <w:tcW w:w="555" w:type="dxa"/>
            <w:vMerge w:val="continue"/>
          </w:tcPr>
          <w:p w14:paraId="55299D93">
            <w:pPr>
              <w:spacing w:line="240" w:lineRule="atLeast"/>
              <w:jc w:val="left"/>
              <w:rPr>
                <w:rFonts w:ascii="仿宋_GB2312" w:hAnsi="仿宋_GB2312" w:eastAsia="仿宋_GB2312" w:cs="仿宋_GB2312"/>
                <w:sz w:val="20"/>
                <w:szCs w:val="20"/>
              </w:rPr>
            </w:pPr>
          </w:p>
        </w:tc>
        <w:tc>
          <w:tcPr>
            <w:tcW w:w="784" w:type="dxa"/>
            <w:vAlign w:val="center"/>
          </w:tcPr>
          <w:p w14:paraId="6C538C7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1497EC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721AD0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EF7FA0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1F6283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28E872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3D5A9E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6A1C17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CD9F54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CCFABC6">
            <w:pPr>
              <w:spacing w:line="240" w:lineRule="atLeast"/>
              <w:jc w:val="left"/>
              <w:rPr>
                <w:rFonts w:ascii="仿宋_GB2312" w:hAnsi="仿宋_GB2312" w:eastAsia="仿宋_GB2312" w:cs="仿宋_GB2312"/>
                <w:sz w:val="20"/>
                <w:szCs w:val="20"/>
              </w:rPr>
            </w:pPr>
          </w:p>
        </w:tc>
      </w:tr>
      <w:tr w14:paraId="6645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A71267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130</w:t>
            </w:r>
          </w:p>
        </w:tc>
        <w:tc>
          <w:tcPr>
            <w:tcW w:w="555" w:type="dxa"/>
            <w:vAlign w:val="center"/>
          </w:tcPr>
          <w:p w14:paraId="64E149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7F44E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38A33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E1D5EE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对城乡规划编制单位涂改、倒卖、出租、出借或者以其他形式非法转让资质证书行为的处罚</w:t>
            </w:r>
          </w:p>
        </w:tc>
        <w:tc>
          <w:tcPr>
            <w:tcW w:w="660" w:type="dxa"/>
            <w:vAlign w:val="center"/>
          </w:tcPr>
          <w:p w14:paraId="780B7695">
            <w:pPr>
              <w:snapToGrid w:val="0"/>
              <w:spacing w:line="240" w:lineRule="atLeast"/>
              <w:jc w:val="center"/>
              <w:rPr>
                <w:rFonts w:ascii="仿宋_GB2312" w:hAnsi="仿宋_GB2312" w:eastAsia="仿宋_GB2312" w:cs="仿宋_GB2312"/>
                <w:sz w:val="20"/>
                <w:szCs w:val="20"/>
              </w:rPr>
            </w:pPr>
          </w:p>
        </w:tc>
        <w:tc>
          <w:tcPr>
            <w:tcW w:w="615" w:type="dxa"/>
            <w:vAlign w:val="center"/>
          </w:tcPr>
          <w:p w14:paraId="63ECA5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50BB9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F0653F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城乡规划编制单位资质管理规定》（2012年住房和城乡建设部令第12号发布，2016年住房和城乡建设部令第28号修改）第三十八条：涂改、倒卖、出租、出借或者以其他形式非法转让资质证书的，由县级以上地方人民政府城乡规划主管部门给予警告，责令限期改正，并处3万元罚款；造成损失的，依法承担赔偿责任；构成犯罪的，依法追究刑事责任。</w:t>
            </w:r>
          </w:p>
        </w:tc>
        <w:tc>
          <w:tcPr>
            <w:tcW w:w="3585" w:type="dxa"/>
            <w:vAlign w:val="center"/>
          </w:tcPr>
          <w:p w14:paraId="778D55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473C7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C64E9C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5BDED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275B3E1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26909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058596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B9F8C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5BB767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02CE69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D58F3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2DC4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185893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9395E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2C333D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A58BC4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E4D4F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26213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81728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97585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8B2F4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EE0C8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29E3B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17751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866BD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974A1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ADD7B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27308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9F146EC">
            <w:pPr>
              <w:snapToGrid w:val="0"/>
              <w:spacing w:line="240" w:lineRule="atLeast"/>
              <w:jc w:val="center"/>
              <w:rPr>
                <w:rFonts w:ascii="仿宋_GB2312" w:hAnsi="仿宋_GB2312" w:eastAsia="仿宋_GB2312" w:cs="仿宋_GB2312"/>
                <w:sz w:val="20"/>
                <w:szCs w:val="20"/>
              </w:rPr>
            </w:pPr>
          </w:p>
        </w:tc>
      </w:tr>
    </w:tbl>
    <w:p w14:paraId="31627F02"/>
    <w:p w14:paraId="0AD9D97D"/>
    <w:p w14:paraId="5D7C821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A9B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C021F3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54DC867">
            <w:pPr>
              <w:spacing w:line="240" w:lineRule="atLeast"/>
              <w:rPr>
                <w:rFonts w:asciiTheme="majorEastAsia" w:hAnsiTheme="majorEastAsia" w:eastAsiaTheme="majorEastAsia" w:cstheme="majorEastAsia"/>
                <w:spacing w:val="-20"/>
                <w:sz w:val="20"/>
                <w:szCs w:val="20"/>
              </w:rPr>
            </w:pPr>
          </w:p>
          <w:p w14:paraId="3E1F762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D4BC0D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E13726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1C6471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BA9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3E27D51">
            <w:pPr>
              <w:spacing w:line="240" w:lineRule="atLeast"/>
              <w:jc w:val="left"/>
              <w:rPr>
                <w:rFonts w:ascii="仿宋_GB2312" w:hAnsi="仿宋_GB2312" w:eastAsia="仿宋_GB2312" w:cs="仿宋_GB2312"/>
                <w:sz w:val="20"/>
                <w:szCs w:val="20"/>
              </w:rPr>
            </w:pPr>
          </w:p>
        </w:tc>
        <w:tc>
          <w:tcPr>
            <w:tcW w:w="555" w:type="dxa"/>
            <w:vMerge w:val="continue"/>
          </w:tcPr>
          <w:p w14:paraId="28C2CDEE">
            <w:pPr>
              <w:spacing w:line="240" w:lineRule="atLeast"/>
              <w:jc w:val="left"/>
              <w:rPr>
                <w:rFonts w:ascii="仿宋_GB2312" w:hAnsi="仿宋_GB2312" w:eastAsia="仿宋_GB2312" w:cs="仿宋_GB2312"/>
                <w:sz w:val="20"/>
                <w:szCs w:val="20"/>
              </w:rPr>
            </w:pPr>
          </w:p>
        </w:tc>
        <w:tc>
          <w:tcPr>
            <w:tcW w:w="784" w:type="dxa"/>
            <w:vAlign w:val="center"/>
          </w:tcPr>
          <w:p w14:paraId="5AF263F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BF5B30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E9755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28FD9D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CEF8BD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2210C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58A87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F74DCE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B09FC1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C90F211">
            <w:pPr>
              <w:spacing w:line="240" w:lineRule="atLeast"/>
              <w:jc w:val="left"/>
              <w:rPr>
                <w:rFonts w:ascii="仿宋_GB2312" w:hAnsi="仿宋_GB2312" w:eastAsia="仿宋_GB2312" w:cs="仿宋_GB2312"/>
                <w:sz w:val="20"/>
                <w:szCs w:val="20"/>
              </w:rPr>
            </w:pPr>
          </w:p>
        </w:tc>
      </w:tr>
      <w:tr w14:paraId="3442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D449A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131</w:t>
            </w:r>
          </w:p>
        </w:tc>
        <w:tc>
          <w:tcPr>
            <w:tcW w:w="555" w:type="dxa"/>
            <w:vAlign w:val="center"/>
          </w:tcPr>
          <w:p w14:paraId="6D2E69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9064B9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7558E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3F2988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对城乡规划编制单位超越资质等级许可的范围承揽城乡规划编制工作行为的处罚</w:t>
            </w:r>
          </w:p>
        </w:tc>
        <w:tc>
          <w:tcPr>
            <w:tcW w:w="660" w:type="dxa"/>
            <w:vAlign w:val="center"/>
          </w:tcPr>
          <w:p w14:paraId="06CAAC0B">
            <w:pPr>
              <w:snapToGrid w:val="0"/>
              <w:spacing w:line="240" w:lineRule="atLeast"/>
              <w:jc w:val="center"/>
              <w:rPr>
                <w:rFonts w:ascii="仿宋_GB2312" w:hAnsi="仿宋_GB2312" w:eastAsia="仿宋_GB2312" w:cs="仿宋_GB2312"/>
                <w:sz w:val="20"/>
                <w:szCs w:val="20"/>
              </w:rPr>
            </w:pPr>
          </w:p>
        </w:tc>
        <w:tc>
          <w:tcPr>
            <w:tcW w:w="615" w:type="dxa"/>
            <w:vAlign w:val="center"/>
          </w:tcPr>
          <w:p w14:paraId="35C312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1E01B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82445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397E1A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（一）超越资质等级许可的范围承揽城乡规划编制工作的。</w:t>
            </w:r>
          </w:p>
          <w:p w14:paraId="71A1DB9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2604A3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686C6A2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3E569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BAED12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5E454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B15622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B5BBE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C317F6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67B9F1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8F3A76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BB682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B4890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EDE0F5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F4635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D7C7D4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8C1F37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89295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85E28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B2154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8B257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7881F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C55725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3A1E97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D171C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A577A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F0267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5A09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5A1094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26F8FF7">
            <w:pPr>
              <w:snapToGrid w:val="0"/>
              <w:spacing w:line="240" w:lineRule="atLeast"/>
              <w:jc w:val="center"/>
              <w:rPr>
                <w:rFonts w:ascii="仿宋_GB2312" w:hAnsi="仿宋_GB2312" w:eastAsia="仿宋_GB2312" w:cs="仿宋_GB2312"/>
                <w:sz w:val="20"/>
                <w:szCs w:val="20"/>
              </w:rPr>
            </w:pPr>
          </w:p>
        </w:tc>
      </w:tr>
    </w:tbl>
    <w:p w14:paraId="6D542980"/>
    <w:p w14:paraId="43E9692A"/>
    <w:p w14:paraId="10F802C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A2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540AF5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C325A9E">
            <w:pPr>
              <w:spacing w:line="240" w:lineRule="atLeast"/>
              <w:rPr>
                <w:rFonts w:asciiTheme="majorEastAsia" w:hAnsiTheme="majorEastAsia" w:eastAsiaTheme="majorEastAsia" w:cstheme="majorEastAsia"/>
                <w:spacing w:val="-20"/>
                <w:sz w:val="20"/>
                <w:szCs w:val="20"/>
              </w:rPr>
            </w:pPr>
          </w:p>
          <w:p w14:paraId="0A05E2E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607FFA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6C8880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A951BC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30B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5A22A66">
            <w:pPr>
              <w:spacing w:line="240" w:lineRule="atLeast"/>
              <w:jc w:val="left"/>
              <w:rPr>
                <w:rFonts w:ascii="仿宋_GB2312" w:hAnsi="仿宋_GB2312" w:eastAsia="仿宋_GB2312" w:cs="仿宋_GB2312"/>
                <w:sz w:val="20"/>
                <w:szCs w:val="20"/>
              </w:rPr>
            </w:pPr>
          </w:p>
        </w:tc>
        <w:tc>
          <w:tcPr>
            <w:tcW w:w="555" w:type="dxa"/>
            <w:vMerge w:val="continue"/>
          </w:tcPr>
          <w:p w14:paraId="4F281EBD">
            <w:pPr>
              <w:spacing w:line="240" w:lineRule="atLeast"/>
              <w:jc w:val="left"/>
              <w:rPr>
                <w:rFonts w:ascii="仿宋_GB2312" w:hAnsi="仿宋_GB2312" w:eastAsia="仿宋_GB2312" w:cs="仿宋_GB2312"/>
                <w:sz w:val="20"/>
                <w:szCs w:val="20"/>
              </w:rPr>
            </w:pPr>
          </w:p>
        </w:tc>
        <w:tc>
          <w:tcPr>
            <w:tcW w:w="784" w:type="dxa"/>
            <w:vAlign w:val="center"/>
          </w:tcPr>
          <w:p w14:paraId="4EC7415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91DB1C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E29FF7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61ED08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99F8A9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59893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6928BD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9F4B6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ADF7D3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CED6E53">
            <w:pPr>
              <w:spacing w:line="240" w:lineRule="atLeast"/>
              <w:jc w:val="left"/>
              <w:rPr>
                <w:rFonts w:ascii="仿宋_GB2312" w:hAnsi="仿宋_GB2312" w:eastAsia="仿宋_GB2312" w:cs="仿宋_GB2312"/>
                <w:sz w:val="20"/>
                <w:szCs w:val="20"/>
              </w:rPr>
            </w:pPr>
          </w:p>
        </w:tc>
      </w:tr>
      <w:tr w14:paraId="2924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F3392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132</w:t>
            </w:r>
          </w:p>
        </w:tc>
        <w:tc>
          <w:tcPr>
            <w:tcW w:w="555" w:type="dxa"/>
            <w:vAlign w:val="center"/>
          </w:tcPr>
          <w:p w14:paraId="17C490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188D1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5CC18A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9F0CBF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对城乡规划编制单位违反国家有关标准编制城乡规划行为的处罚</w:t>
            </w:r>
          </w:p>
        </w:tc>
        <w:tc>
          <w:tcPr>
            <w:tcW w:w="660" w:type="dxa"/>
            <w:vAlign w:val="center"/>
          </w:tcPr>
          <w:p w14:paraId="7EC7B447">
            <w:pPr>
              <w:snapToGrid w:val="0"/>
              <w:spacing w:line="240" w:lineRule="atLeast"/>
              <w:jc w:val="center"/>
              <w:rPr>
                <w:rFonts w:ascii="仿宋_GB2312" w:hAnsi="仿宋_GB2312" w:eastAsia="仿宋_GB2312" w:cs="仿宋_GB2312"/>
                <w:sz w:val="20"/>
                <w:szCs w:val="20"/>
              </w:rPr>
            </w:pPr>
          </w:p>
        </w:tc>
        <w:tc>
          <w:tcPr>
            <w:tcW w:w="615" w:type="dxa"/>
            <w:vAlign w:val="center"/>
          </w:tcPr>
          <w:p w14:paraId="320738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7D978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4D8FC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5698E9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（二）违反国家有关标准编制城乡规划的。</w:t>
            </w:r>
          </w:p>
          <w:p w14:paraId="67D7EB5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2B6E5FE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CD6EA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546247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1F0E3F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4AFCC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46D34B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E4CF7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314B51D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F4905B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C66E18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913D8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3043C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62792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7556AC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497567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BDA685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34382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DDE71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A83AF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2E813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9BF51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AD11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704A54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E3BAB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70CD0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B835A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B6BEDF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7DC9BB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D45BC6C">
            <w:pPr>
              <w:snapToGrid w:val="0"/>
              <w:spacing w:line="240" w:lineRule="atLeast"/>
              <w:jc w:val="center"/>
              <w:rPr>
                <w:rFonts w:ascii="仿宋_GB2312" w:hAnsi="仿宋_GB2312" w:eastAsia="仿宋_GB2312" w:cs="仿宋_GB2312"/>
                <w:sz w:val="20"/>
                <w:szCs w:val="20"/>
              </w:rPr>
            </w:pPr>
          </w:p>
        </w:tc>
      </w:tr>
    </w:tbl>
    <w:p w14:paraId="738D1E7A"/>
    <w:p w14:paraId="5F0E9879"/>
    <w:p w14:paraId="0057E91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C43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BE0EAC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CE973E0">
            <w:pPr>
              <w:spacing w:line="240" w:lineRule="atLeast"/>
              <w:rPr>
                <w:rFonts w:asciiTheme="majorEastAsia" w:hAnsiTheme="majorEastAsia" w:eastAsiaTheme="majorEastAsia" w:cstheme="majorEastAsia"/>
                <w:spacing w:val="-20"/>
                <w:sz w:val="20"/>
                <w:szCs w:val="20"/>
              </w:rPr>
            </w:pPr>
          </w:p>
          <w:p w14:paraId="42F4A2C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23C480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AD1E25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F85F88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E64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7494360">
            <w:pPr>
              <w:spacing w:line="240" w:lineRule="atLeast"/>
              <w:jc w:val="left"/>
              <w:rPr>
                <w:rFonts w:ascii="仿宋_GB2312" w:hAnsi="仿宋_GB2312" w:eastAsia="仿宋_GB2312" w:cs="仿宋_GB2312"/>
                <w:sz w:val="20"/>
                <w:szCs w:val="20"/>
              </w:rPr>
            </w:pPr>
          </w:p>
        </w:tc>
        <w:tc>
          <w:tcPr>
            <w:tcW w:w="555" w:type="dxa"/>
            <w:vMerge w:val="continue"/>
          </w:tcPr>
          <w:p w14:paraId="00246999">
            <w:pPr>
              <w:spacing w:line="240" w:lineRule="atLeast"/>
              <w:jc w:val="left"/>
              <w:rPr>
                <w:rFonts w:ascii="仿宋_GB2312" w:hAnsi="仿宋_GB2312" w:eastAsia="仿宋_GB2312" w:cs="仿宋_GB2312"/>
                <w:sz w:val="20"/>
                <w:szCs w:val="20"/>
              </w:rPr>
            </w:pPr>
          </w:p>
        </w:tc>
        <w:tc>
          <w:tcPr>
            <w:tcW w:w="784" w:type="dxa"/>
            <w:vAlign w:val="center"/>
          </w:tcPr>
          <w:p w14:paraId="2997CFA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F7B86E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BE38D3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02D0DE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F77088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2A4B51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D0A5D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9FAEBD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8C3411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A23D8C3">
            <w:pPr>
              <w:spacing w:line="240" w:lineRule="atLeast"/>
              <w:jc w:val="left"/>
              <w:rPr>
                <w:rFonts w:ascii="仿宋_GB2312" w:hAnsi="仿宋_GB2312" w:eastAsia="仿宋_GB2312" w:cs="仿宋_GB2312"/>
                <w:sz w:val="20"/>
                <w:szCs w:val="20"/>
              </w:rPr>
            </w:pPr>
          </w:p>
        </w:tc>
      </w:tr>
      <w:tr w14:paraId="7BD4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33C8F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133</w:t>
            </w:r>
          </w:p>
        </w:tc>
        <w:tc>
          <w:tcPr>
            <w:tcW w:w="555" w:type="dxa"/>
            <w:vAlign w:val="center"/>
          </w:tcPr>
          <w:p w14:paraId="6F0EEA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06E9C1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7C66A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6D5C61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对城乡规划编制单位未依法取得资质证书承揽城乡规划编制工作行为的处罚</w:t>
            </w:r>
          </w:p>
        </w:tc>
        <w:tc>
          <w:tcPr>
            <w:tcW w:w="660" w:type="dxa"/>
            <w:vAlign w:val="center"/>
          </w:tcPr>
          <w:p w14:paraId="35AC1D1D">
            <w:pPr>
              <w:snapToGrid w:val="0"/>
              <w:spacing w:line="240" w:lineRule="atLeast"/>
              <w:jc w:val="center"/>
              <w:rPr>
                <w:rFonts w:ascii="仿宋_GB2312" w:hAnsi="仿宋_GB2312" w:eastAsia="仿宋_GB2312" w:cs="仿宋_GB2312"/>
                <w:sz w:val="20"/>
                <w:szCs w:val="20"/>
              </w:rPr>
            </w:pPr>
          </w:p>
        </w:tc>
        <w:tc>
          <w:tcPr>
            <w:tcW w:w="615" w:type="dxa"/>
            <w:vAlign w:val="center"/>
          </w:tcPr>
          <w:p w14:paraId="339A07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B4113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D9150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6652F0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未依法取得资质证书承揽城乡规划编制工作的，由县级以上地方人民政府城乡规划主管部门责令停止违法行为，依照前款规定处以罚款；造成损失的，依法承担赔偿责任。</w:t>
            </w:r>
          </w:p>
          <w:p w14:paraId="596B835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042EFE1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84EF5C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1B15C4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71F12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10E12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58BF424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40AC8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595A1B2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888015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EFC474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F1A1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ADBC3F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287CB4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528925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BD4824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EA91C5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6A425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9497D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5D6F1C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BB7B3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9E2C9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CC3CF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CDB74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320AD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D61C3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F098E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2092D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304FD8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AA305B4">
            <w:pPr>
              <w:snapToGrid w:val="0"/>
              <w:spacing w:line="240" w:lineRule="atLeast"/>
              <w:jc w:val="center"/>
              <w:rPr>
                <w:rFonts w:ascii="仿宋_GB2312" w:hAnsi="仿宋_GB2312" w:eastAsia="仿宋_GB2312" w:cs="仿宋_GB2312"/>
                <w:sz w:val="20"/>
                <w:szCs w:val="20"/>
              </w:rPr>
            </w:pPr>
          </w:p>
        </w:tc>
      </w:tr>
    </w:tbl>
    <w:p w14:paraId="6236C375"/>
    <w:p w14:paraId="60053E7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734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672B27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5FDCDE6">
            <w:pPr>
              <w:spacing w:line="240" w:lineRule="atLeast"/>
              <w:rPr>
                <w:rFonts w:asciiTheme="majorEastAsia" w:hAnsiTheme="majorEastAsia" w:eastAsiaTheme="majorEastAsia" w:cstheme="majorEastAsia"/>
                <w:spacing w:val="-20"/>
                <w:sz w:val="20"/>
                <w:szCs w:val="20"/>
              </w:rPr>
            </w:pPr>
          </w:p>
          <w:p w14:paraId="7BEC6F2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FFE2F9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055E7B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AB9A69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EC7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C03092E">
            <w:pPr>
              <w:spacing w:line="240" w:lineRule="atLeast"/>
              <w:jc w:val="left"/>
              <w:rPr>
                <w:rFonts w:ascii="仿宋_GB2312" w:hAnsi="仿宋_GB2312" w:eastAsia="仿宋_GB2312" w:cs="仿宋_GB2312"/>
                <w:sz w:val="20"/>
                <w:szCs w:val="20"/>
              </w:rPr>
            </w:pPr>
          </w:p>
        </w:tc>
        <w:tc>
          <w:tcPr>
            <w:tcW w:w="555" w:type="dxa"/>
            <w:vMerge w:val="continue"/>
          </w:tcPr>
          <w:p w14:paraId="69F7376C">
            <w:pPr>
              <w:spacing w:line="240" w:lineRule="atLeast"/>
              <w:jc w:val="left"/>
              <w:rPr>
                <w:rFonts w:ascii="仿宋_GB2312" w:hAnsi="仿宋_GB2312" w:eastAsia="仿宋_GB2312" w:cs="仿宋_GB2312"/>
                <w:sz w:val="20"/>
                <w:szCs w:val="20"/>
              </w:rPr>
            </w:pPr>
          </w:p>
        </w:tc>
        <w:tc>
          <w:tcPr>
            <w:tcW w:w="784" w:type="dxa"/>
            <w:vAlign w:val="center"/>
          </w:tcPr>
          <w:p w14:paraId="0FD1805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F4749D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219DA6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4A937A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063008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AE25EE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F4BD6F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FC9093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635477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1067B6A">
            <w:pPr>
              <w:spacing w:line="240" w:lineRule="atLeast"/>
              <w:jc w:val="left"/>
              <w:rPr>
                <w:rFonts w:ascii="仿宋_GB2312" w:hAnsi="仿宋_GB2312" w:eastAsia="仿宋_GB2312" w:cs="仿宋_GB2312"/>
                <w:sz w:val="20"/>
                <w:szCs w:val="20"/>
              </w:rPr>
            </w:pPr>
          </w:p>
        </w:tc>
      </w:tr>
      <w:tr w14:paraId="7A9E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9B834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134</w:t>
            </w:r>
          </w:p>
        </w:tc>
        <w:tc>
          <w:tcPr>
            <w:tcW w:w="555" w:type="dxa"/>
            <w:vAlign w:val="center"/>
          </w:tcPr>
          <w:p w14:paraId="61D956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688FC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FF8E0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8BA533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对城乡规划编制单位以欺骗手段取得资质证书承揽城乡规划编制工作行为的处罚</w:t>
            </w:r>
          </w:p>
        </w:tc>
        <w:tc>
          <w:tcPr>
            <w:tcW w:w="660" w:type="dxa"/>
            <w:vAlign w:val="center"/>
          </w:tcPr>
          <w:p w14:paraId="7FEEA5EA">
            <w:pPr>
              <w:snapToGrid w:val="0"/>
              <w:spacing w:line="240" w:lineRule="atLeast"/>
              <w:jc w:val="center"/>
              <w:rPr>
                <w:rFonts w:ascii="仿宋_GB2312" w:hAnsi="仿宋_GB2312" w:eastAsia="仿宋_GB2312" w:cs="仿宋_GB2312"/>
                <w:sz w:val="20"/>
                <w:szCs w:val="20"/>
              </w:rPr>
            </w:pPr>
          </w:p>
        </w:tc>
        <w:tc>
          <w:tcPr>
            <w:tcW w:w="615" w:type="dxa"/>
            <w:vAlign w:val="center"/>
          </w:tcPr>
          <w:p w14:paraId="6912F95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82111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76609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六十二条：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14:paraId="342AD7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w:t>
            </w:r>
          </w:p>
          <w:p w14:paraId="38736D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以欺骗手段取得资质证书承揽城乡规划编制工作的，由原发证机关吊销资质证书，依照本条第一款规定处以罚款;造成损失的，依法承担赔偿责任。</w:t>
            </w:r>
          </w:p>
          <w:p w14:paraId="112FC2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部门规章】《城乡规划编制单位资质管理规定》（2012年住房和城乡建设部令第12号发布，2016年住房和城乡建设部令第28号修改）第三十二条：城乡规划编制单位违法从事城乡规划编制活动的，违法行为发生地的县级以上地方人民政府城乡规划主管部门应当依法查处，并将违法事实、处理结果或者处理建议及时告知该城乡规划编制单位的资质许可机关。</w:t>
            </w:r>
          </w:p>
        </w:tc>
        <w:tc>
          <w:tcPr>
            <w:tcW w:w="3585" w:type="dxa"/>
            <w:vAlign w:val="center"/>
          </w:tcPr>
          <w:p w14:paraId="642560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5731D8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74E3E8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3C246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7D5DF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092A1C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7735D2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277217B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BB14E0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5E073C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8E60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6162A8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9950E3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A8888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EACF0F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97815B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934BC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4BBC6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1E49F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8F738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7CF5F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4E66C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7A3BC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47F0A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3395A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D33AE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8A0E1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B234EA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58B3BB3">
            <w:pPr>
              <w:snapToGrid w:val="0"/>
              <w:spacing w:line="240" w:lineRule="atLeast"/>
              <w:jc w:val="center"/>
              <w:rPr>
                <w:rFonts w:ascii="仿宋_GB2312" w:hAnsi="仿宋_GB2312" w:eastAsia="仿宋_GB2312" w:cs="仿宋_GB2312"/>
                <w:sz w:val="20"/>
                <w:szCs w:val="20"/>
              </w:rPr>
            </w:pPr>
          </w:p>
        </w:tc>
      </w:tr>
    </w:tbl>
    <w:p w14:paraId="67BA49C7"/>
    <w:p w14:paraId="24232200"/>
    <w:p w14:paraId="39D7206E"/>
    <w:p w14:paraId="31D2D23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D4E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0BE031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3A6C0C1">
            <w:pPr>
              <w:spacing w:line="240" w:lineRule="atLeast"/>
              <w:rPr>
                <w:rFonts w:asciiTheme="majorEastAsia" w:hAnsiTheme="majorEastAsia" w:eastAsiaTheme="majorEastAsia" w:cstheme="majorEastAsia"/>
                <w:spacing w:val="-20"/>
                <w:sz w:val="20"/>
                <w:szCs w:val="20"/>
              </w:rPr>
            </w:pPr>
          </w:p>
          <w:p w14:paraId="663F4AE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2967FA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976499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60B187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5FB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95D2BC6">
            <w:pPr>
              <w:spacing w:line="240" w:lineRule="atLeast"/>
              <w:jc w:val="left"/>
              <w:rPr>
                <w:rFonts w:ascii="仿宋_GB2312" w:hAnsi="仿宋_GB2312" w:eastAsia="仿宋_GB2312" w:cs="仿宋_GB2312"/>
                <w:sz w:val="20"/>
                <w:szCs w:val="20"/>
              </w:rPr>
            </w:pPr>
          </w:p>
        </w:tc>
        <w:tc>
          <w:tcPr>
            <w:tcW w:w="555" w:type="dxa"/>
            <w:vMerge w:val="continue"/>
          </w:tcPr>
          <w:p w14:paraId="3B6DFA17">
            <w:pPr>
              <w:spacing w:line="240" w:lineRule="atLeast"/>
              <w:jc w:val="left"/>
              <w:rPr>
                <w:rFonts w:ascii="仿宋_GB2312" w:hAnsi="仿宋_GB2312" w:eastAsia="仿宋_GB2312" w:cs="仿宋_GB2312"/>
                <w:sz w:val="20"/>
                <w:szCs w:val="20"/>
              </w:rPr>
            </w:pPr>
          </w:p>
        </w:tc>
        <w:tc>
          <w:tcPr>
            <w:tcW w:w="784" w:type="dxa"/>
            <w:vAlign w:val="center"/>
          </w:tcPr>
          <w:p w14:paraId="560DDC0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7D76A8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B42D69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3C0524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374489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8129A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FB2A5B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F80577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DB882F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317C7CF">
            <w:pPr>
              <w:spacing w:line="240" w:lineRule="atLeast"/>
              <w:jc w:val="left"/>
              <w:rPr>
                <w:rFonts w:ascii="仿宋_GB2312" w:hAnsi="仿宋_GB2312" w:eastAsia="仿宋_GB2312" w:cs="仿宋_GB2312"/>
                <w:sz w:val="20"/>
                <w:szCs w:val="20"/>
              </w:rPr>
            </w:pPr>
          </w:p>
        </w:tc>
      </w:tr>
      <w:tr w14:paraId="0185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84E23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135</w:t>
            </w:r>
          </w:p>
        </w:tc>
        <w:tc>
          <w:tcPr>
            <w:tcW w:w="555" w:type="dxa"/>
            <w:vAlign w:val="center"/>
          </w:tcPr>
          <w:p w14:paraId="44C00C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1EF7F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7B1F4F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7999CE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对城乡规划编制单位未按照要求提供信用档案信息行为的处罚</w:t>
            </w:r>
          </w:p>
        </w:tc>
        <w:tc>
          <w:tcPr>
            <w:tcW w:w="660" w:type="dxa"/>
            <w:vAlign w:val="center"/>
          </w:tcPr>
          <w:p w14:paraId="56D34C25">
            <w:pPr>
              <w:snapToGrid w:val="0"/>
              <w:spacing w:line="240" w:lineRule="atLeast"/>
              <w:jc w:val="center"/>
              <w:rPr>
                <w:rFonts w:ascii="仿宋_GB2312" w:hAnsi="仿宋_GB2312" w:eastAsia="仿宋_GB2312" w:cs="仿宋_GB2312"/>
                <w:sz w:val="20"/>
                <w:szCs w:val="20"/>
              </w:rPr>
            </w:pPr>
          </w:p>
        </w:tc>
        <w:tc>
          <w:tcPr>
            <w:tcW w:w="615" w:type="dxa"/>
            <w:vAlign w:val="center"/>
          </w:tcPr>
          <w:p w14:paraId="2CF99B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558003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179DEE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城乡规划编制单位资质管理规定》（2012年住房和城乡建设部令第12号发布，2016年住房和城乡建设部令第28号修改）第四十条：城乡规划编制单位未按照本规定要求提供信用档案信息的，由县级以上地方人民政府城乡规划主管部门给予警告，责令限期改正；逾期未改正的，可处1000元以上1万元以下的罚款。</w:t>
            </w:r>
          </w:p>
        </w:tc>
        <w:tc>
          <w:tcPr>
            <w:tcW w:w="3585" w:type="dxa"/>
            <w:vAlign w:val="center"/>
          </w:tcPr>
          <w:p w14:paraId="2C48FB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A489C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FFA2B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18821E2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6C8C2B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35B82C9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69DACF1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E5B60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6FD0A5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3BAD2F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C4F9B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D80D8F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A1F405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0A87C9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438991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05E37C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A6A0D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263F0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EBD1D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4090FF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95461A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9503E5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163AC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DF5AC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0D7F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D304D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EA659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A49C4D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6CDA9A2">
            <w:pPr>
              <w:snapToGrid w:val="0"/>
              <w:spacing w:line="240" w:lineRule="atLeast"/>
              <w:jc w:val="center"/>
              <w:rPr>
                <w:rFonts w:ascii="仿宋_GB2312" w:hAnsi="仿宋_GB2312" w:eastAsia="仿宋_GB2312" w:cs="仿宋_GB2312"/>
                <w:sz w:val="20"/>
                <w:szCs w:val="20"/>
              </w:rPr>
            </w:pPr>
          </w:p>
        </w:tc>
      </w:tr>
    </w:tbl>
    <w:p w14:paraId="7F020146"/>
    <w:p w14:paraId="1699A4FE"/>
    <w:p w14:paraId="7533F25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D76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6D9ED3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E18C57A">
            <w:pPr>
              <w:spacing w:line="240" w:lineRule="atLeast"/>
              <w:rPr>
                <w:rFonts w:asciiTheme="majorEastAsia" w:hAnsiTheme="majorEastAsia" w:eastAsiaTheme="majorEastAsia" w:cstheme="majorEastAsia"/>
                <w:spacing w:val="-20"/>
                <w:sz w:val="20"/>
                <w:szCs w:val="20"/>
              </w:rPr>
            </w:pPr>
          </w:p>
          <w:p w14:paraId="37D8760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9256D4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F18C1B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AFDBAD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139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CC1AC0C">
            <w:pPr>
              <w:spacing w:line="240" w:lineRule="atLeast"/>
              <w:jc w:val="left"/>
              <w:rPr>
                <w:rFonts w:ascii="仿宋_GB2312" w:hAnsi="仿宋_GB2312" w:eastAsia="仿宋_GB2312" w:cs="仿宋_GB2312"/>
                <w:sz w:val="20"/>
                <w:szCs w:val="20"/>
              </w:rPr>
            </w:pPr>
          </w:p>
        </w:tc>
        <w:tc>
          <w:tcPr>
            <w:tcW w:w="555" w:type="dxa"/>
            <w:vMerge w:val="continue"/>
          </w:tcPr>
          <w:p w14:paraId="38EC9519">
            <w:pPr>
              <w:spacing w:line="240" w:lineRule="atLeast"/>
              <w:jc w:val="left"/>
              <w:rPr>
                <w:rFonts w:ascii="仿宋_GB2312" w:hAnsi="仿宋_GB2312" w:eastAsia="仿宋_GB2312" w:cs="仿宋_GB2312"/>
                <w:sz w:val="20"/>
                <w:szCs w:val="20"/>
              </w:rPr>
            </w:pPr>
          </w:p>
        </w:tc>
        <w:tc>
          <w:tcPr>
            <w:tcW w:w="784" w:type="dxa"/>
            <w:vAlign w:val="center"/>
          </w:tcPr>
          <w:p w14:paraId="798172D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6572CD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59EE2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DB82C4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BB8930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1632F0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B0CA32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57B606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358BE9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153FEB7">
            <w:pPr>
              <w:spacing w:line="240" w:lineRule="atLeast"/>
              <w:jc w:val="left"/>
              <w:rPr>
                <w:rFonts w:ascii="仿宋_GB2312" w:hAnsi="仿宋_GB2312" w:eastAsia="仿宋_GB2312" w:cs="仿宋_GB2312"/>
                <w:sz w:val="20"/>
                <w:szCs w:val="20"/>
              </w:rPr>
            </w:pPr>
          </w:p>
        </w:tc>
      </w:tr>
      <w:tr w14:paraId="0229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80F79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136</w:t>
            </w:r>
          </w:p>
        </w:tc>
        <w:tc>
          <w:tcPr>
            <w:tcW w:w="555" w:type="dxa"/>
            <w:vAlign w:val="center"/>
          </w:tcPr>
          <w:p w14:paraId="2FD2E6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38B6B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6462D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D26445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对建设单位或者个人未经批准进行临时建设行为的处罚</w:t>
            </w:r>
          </w:p>
        </w:tc>
        <w:tc>
          <w:tcPr>
            <w:tcW w:w="660" w:type="dxa"/>
            <w:vAlign w:val="center"/>
          </w:tcPr>
          <w:p w14:paraId="69A77ACA">
            <w:pPr>
              <w:snapToGrid w:val="0"/>
              <w:spacing w:line="240" w:lineRule="atLeast"/>
              <w:jc w:val="center"/>
              <w:rPr>
                <w:rFonts w:ascii="仿宋_GB2312" w:hAnsi="仿宋_GB2312" w:eastAsia="仿宋_GB2312" w:cs="仿宋_GB2312"/>
                <w:sz w:val="20"/>
                <w:szCs w:val="20"/>
              </w:rPr>
            </w:pPr>
          </w:p>
        </w:tc>
        <w:tc>
          <w:tcPr>
            <w:tcW w:w="615" w:type="dxa"/>
            <w:vAlign w:val="center"/>
          </w:tcPr>
          <w:p w14:paraId="35C916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1BD74E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DEEAE5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【法律】《中华人民共和国城乡规划法》第六十六条：建设单位或者个人有下列行为之一的，由所在地城市、县人民政府城乡规划主管部门责令限期拆除，可以并处临时建设工程造价一倍以下的罚款：</w:t>
            </w:r>
          </w:p>
          <w:p w14:paraId="1E8D2A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未经批准进行临时建设的。</w:t>
            </w:r>
          </w:p>
        </w:tc>
        <w:tc>
          <w:tcPr>
            <w:tcW w:w="3585" w:type="dxa"/>
            <w:vAlign w:val="center"/>
          </w:tcPr>
          <w:p w14:paraId="69E33B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7EC9C5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0801B0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554CB6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78EE1C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94E12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56F2E9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0B9CAA9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1EEE61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A1DB5D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0DA28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0AACAB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899E2A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5BA749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F3A63F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12DFBF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53D1C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0F13E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ECFB0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A4510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53950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6DF11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AE634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041D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9FB89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B52B4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1EA7B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2151B8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A66265B">
            <w:pPr>
              <w:snapToGrid w:val="0"/>
              <w:spacing w:line="240" w:lineRule="atLeast"/>
              <w:jc w:val="center"/>
              <w:rPr>
                <w:rFonts w:ascii="仿宋_GB2312" w:hAnsi="仿宋_GB2312" w:eastAsia="仿宋_GB2312" w:cs="仿宋_GB2312"/>
                <w:sz w:val="20"/>
                <w:szCs w:val="20"/>
              </w:rPr>
            </w:pPr>
          </w:p>
        </w:tc>
      </w:tr>
    </w:tbl>
    <w:p w14:paraId="1A47ACC1"/>
    <w:p w14:paraId="678D4B30"/>
    <w:p w14:paraId="6849C61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0FE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69E71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87AD558">
            <w:pPr>
              <w:spacing w:line="240" w:lineRule="atLeast"/>
              <w:rPr>
                <w:rFonts w:asciiTheme="majorEastAsia" w:hAnsiTheme="majorEastAsia" w:eastAsiaTheme="majorEastAsia" w:cstheme="majorEastAsia"/>
                <w:spacing w:val="-20"/>
                <w:sz w:val="20"/>
                <w:szCs w:val="20"/>
              </w:rPr>
            </w:pPr>
          </w:p>
          <w:p w14:paraId="1FB939D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EFE1D1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CE91D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933C89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F54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69785F5">
            <w:pPr>
              <w:spacing w:line="240" w:lineRule="atLeast"/>
              <w:jc w:val="left"/>
              <w:rPr>
                <w:rFonts w:ascii="仿宋_GB2312" w:hAnsi="仿宋_GB2312" w:eastAsia="仿宋_GB2312" w:cs="仿宋_GB2312"/>
                <w:sz w:val="20"/>
                <w:szCs w:val="20"/>
              </w:rPr>
            </w:pPr>
          </w:p>
        </w:tc>
        <w:tc>
          <w:tcPr>
            <w:tcW w:w="555" w:type="dxa"/>
            <w:vMerge w:val="continue"/>
          </w:tcPr>
          <w:p w14:paraId="5EEEE503">
            <w:pPr>
              <w:spacing w:line="240" w:lineRule="atLeast"/>
              <w:jc w:val="left"/>
              <w:rPr>
                <w:rFonts w:ascii="仿宋_GB2312" w:hAnsi="仿宋_GB2312" w:eastAsia="仿宋_GB2312" w:cs="仿宋_GB2312"/>
                <w:sz w:val="20"/>
                <w:szCs w:val="20"/>
              </w:rPr>
            </w:pPr>
          </w:p>
        </w:tc>
        <w:tc>
          <w:tcPr>
            <w:tcW w:w="784" w:type="dxa"/>
            <w:vAlign w:val="center"/>
          </w:tcPr>
          <w:p w14:paraId="03A6AE0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A2B3AF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7082AD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4FC635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47B2BF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80E54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D9AEC9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1915EB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6CA66D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BA2DA13">
            <w:pPr>
              <w:spacing w:line="240" w:lineRule="atLeast"/>
              <w:jc w:val="left"/>
              <w:rPr>
                <w:rFonts w:ascii="仿宋_GB2312" w:hAnsi="仿宋_GB2312" w:eastAsia="仿宋_GB2312" w:cs="仿宋_GB2312"/>
                <w:sz w:val="20"/>
                <w:szCs w:val="20"/>
              </w:rPr>
            </w:pPr>
          </w:p>
        </w:tc>
      </w:tr>
      <w:tr w14:paraId="310D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81A775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137</w:t>
            </w:r>
          </w:p>
        </w:tc>
        <w:tc>
          <w:tcPr>
            <w:tcW w:w="555" w:type="dxa"/>
            <w:vAlign w:val="center"/>
          </w:tcPr>
          <w:p w14:paraId="257A9D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96E17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03F31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15052F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对建设单位或者个人未按照批准内容进行临时建设行为的处罚</w:t>
            </w:r>
          </w:p>
        </w:tc>
        <w:tc>
          <w:tcPr>
            <w:tcW w:w="660" w:type="dxa"/>
            <w:vAlign w:val="center"/>
          </w:tcPr>
          <w:p w14:paraId="05649878">
            <w:pPr>
              <w:snapToGrid w:val="0"/>
              <w:spacing w:line="240" w:lineRule="atLeast"/>
              <w:jc w:val="center"/>
              <w:rPr>
                <w:rFonts w:ascii="仿宋_GB2312" w:hAnsi="仿宋_GB2312" w:eastAsia="仿宋_GB2312" w:cs="仿宋_GB2312"/>
                <w:sz w:val="20"/>
                <w:szCs w:val="20"/>
              </w:rPr>
            </w:pPr>
          </w:p>
        </w:tc>
        <w:tc>
          <w:tcPr>
            <w:tcW w:w="615" w:type="dxa"/>
            <w:vAlign w:val="center"/>
          </w:tcPr>
          <w:p w14:paraId="05B971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08921E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482050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【法律】《中华人民共和国城乡规划法》第六十六条：建设单位或者个人有下列行为之一的，由所在地城市、县人民政府城乡规划主管部门责令限期拆除，可以并处临时建设工程造价一倍以下的罚款：</w:t>
            </w:r>
          </w:p>
          <w:p w14:paraId="7F3A5F8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未按照批准内容进行临时建设的。</w:t>
            </w:r>
          </w:p>
        </w:tc>
        <w:tc>
          <w:tcPr>
            <w:tcW w:w="3585" w:type="dxa"/>
            <w:vAlign w:val="center"/>
          </w:tcPr>
          <w:p w14:paraId="6F78F2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0D8DFA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63A522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06AC4A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3F91CD7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76CB82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545D1C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14D5ED1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E86AD1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8CADD5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2560B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9F34C2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D05F1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5BC78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A629E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0CDACC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D0F63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543EE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EA6AF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D19C3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1BC78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8C06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2AAB9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8AC1B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29928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97DE44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3E948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FD5CB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5D9B91B">
            <w:pPr>
              <w:snapToGrid w:val="0"/>
              <w:spacing w:line="240" w:lineRule="atLeast"/>
              <w:jc w:val="center"/>
              <w:rPr>
                <w:rFonts w:ascii="仿宋_GB2312" w:hAnsi="仿宋_GB2312" w:eastAsia="仿宋_GB2312" w:cs="仿宋_GB2312"/>
                <w:sz w:val="20"/>
                <w:szCs w:val="20"/>
              </w:rPr>
            </w:pPr>
          </w:p>
        </w:tc>
      </w:tr>
    </w:tbl>
    <w:p w14:paraId="7196E226"/>
    <w:p w14:paraId="581DCB7A"/>
    <w:p w14:paraId="4948A630"/>
    <w:p w14:paraId="7CDC03B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2D9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6241F8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6C00B80">
            <w:pPr>
              <w:spacing w:line="240" w:lineRule="atLeast"/>
              <w:rPr>
                <w:rFonts w:asciiTheme="majorEastAsia" w:hAnsiTheme="majorEastAsia" w:eastAsiaTheme="majorEastAsia" w:cstheme="majorEastAsia"/>
                <w:spacing w:val="-20"/>
                <w:sz w:val="20"/>
                <w:szCs w:val="20"/>
              </w:rPr>
            </w:pPr>
          </w:p>
          <w:p w14:paraId="4DE4CCF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E6D16E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3710A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13D778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249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E6827FA">
            <w:pPr>
              <w:spacing w:line="240" w:lineRule="atLeast"/>
              <w:jc w:val="left"/>
              <w:rPr>
                <w:rFonts w:ascii="仿宋_GB2312" w:hAnsi="仿宋_GB2312" w:eastAsia="仿宋_GB2312" w:cs="仿宋_GB2312"/>
                <w:sz w:val="20"/>
                <w:szCs w:val="20"/>
              </w:rPr>
            </w:pPr>
          </w:p>
        </w:tc>
        <w:tc>
          <w:tcPr>
            <w:tcW w:w="555" w:type="dxa"/>
            <w:vMerge w:val="continue"/>
          </w:tcPr>
          <w:p w14:paraId="07327E62">
            <w:pPr>
              <w:spacing w:line="240" w:lineRule="atLeast"/>
              <w:jc w:val="left"/>
              <w:rPr>
                <w:rFonts w:ascii="仿宋_GB2312" w:hAnsi="仿宋_GB2312" w:eastAsia="仿宋_GB2312" w:cs="仿宋_GB2312"/>
                <w:sz w:val="20"/>
                <w:szCs w:val="20"/>
              </w:rPr>
            </w:pPr>
          </w:p>
        </w:tc>
        <w:tc>
          <w:tcPr>
            <w:tcW w:w="784" w:type="dxa"/>
            <w:vAlign w:val="center"/>
          </w:tcPr>
          <w:p w14:paraId="63BBBF2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06A6C1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0F5880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8D5A09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27AF4E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4135AA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D90789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B55C75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BB6DD1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BF2D668">
            <w:pPr>
              <w:spacing w:line="240" w:lineRule="atLeast"/>
              <w:jc w:val="left"/>
              <w:rPr>
                <w:rFonts w:ascii="仿宋_GB2312" w:hAnsi="仿宋_GB2312" w:eastAsia="仿宋_GB2312" w:cs="仿宋_GB2312"/>
                <w:sz w:val="20"/>
                <w:szCs w:val="20"/>
              </w:rPr>
            </w:pPr>
          </w:p>
        </w:tc>
      </w:tr>
      <w:tr w14:paraId="188D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98DF5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138</w:t>
            </w:r>
          </w:p>
        </w:tc>
        <w:tc>
          <w:tcPr>
            <w:tcW w:w="555" w:type="dxa"/>
            <w:vAlign w:val="center"/>
          </w:tcPr>
          <w:p w14:paraId="193DC7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1146C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33F67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ED34E4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对建设单位或者个人超过批准期限不拆除临时建筑物、构筑物行为的处罚</w:t>
            </w:r>
          </w:p>
        </w:tc>
        <w:tc>
          <w:tcPr>
            <w:tcW w:w="660" w:type="dxa"/>
            <w:vAlign w:val="center"/>
          </w:tcPr>
          <w:p w14:paraId="77B44287">
            <w:pPr>
              <w:snapToGrid w:val="0"/>
              <w:spacing w:line="240" w:lineRule="atLeast"/>
              <w:jc w:val="center"/>
              <w:rPr>
                <w:rFonts w:ascii="仿宋_GB2312" w:hAnsi="仿宋_GB2312" w:eastAsia="仿宋_GB2312" w:cs="仿宋_GB2312"/>
                <w:sz w:val="20"/>
                <w:szCs w:val="20"/>
              </w:rPr>
            </w:pPr>
          </w:p>
        </w:tc>
        <w:tc>
          <w:tcPr>
            <w:tcW w:w="615" w:type="dxa"/>
            <w:vAlign w:val="center"/>
          </w:tcPr>
          <w:p w14:paraId="709A830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A3AD9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C0826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【法律】《中华人民共和国城乡规划法》第六十六条：建设单位或者个人有下列行为之一的，由所在地城市、县人民政府城乡规划主管部门责令限期拆除，可以并处临时建设工程造价一倍以下的罚款：</w:t>
            </w:r>
          </w:p>
          <w:p w14:paraId="7B635EF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（三）临时建筑物、构筑物超过批准期限不拆除的。</w:t>
            </w:r>
          </w:p>
        </w:tc>
        <w:tc>
          <w:tcPr>
            <w:tcW w:w="3585" w:type="dxa"/>
            <w:vAlign w:val="center"/>
          </w:tcPr>
          <w:p w14:paraId="426504D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4ABDA5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414E25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6C0210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0FD35E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2D2DB08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2F6208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62B43D1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B6E738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38D620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5E68F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2CD106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31764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4D6224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98DEE7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2B0B26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E54E8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FE0A5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0427A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AFECB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A9563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D7E51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09EAE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663D5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69F34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B68D7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D6704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29EA1B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C3BA992">
            <w:pPr>
              <w:snapToGrid w:val="0"/>
              <w:spacing w:line="240" w:lineRule="atLeast"/>
              <w:jc w:val="center"/>
              <w:rPr>
                <w:rFonts w:ascii="仿宋_GB2312" w:hAnsi="仿宋_GB2312" w:eastAsia="仿宋_GB2312" w:cs="仿宋_GB2312"/>
                <w:sz w:val="20"/>
                <w:szCs w:val="20"/>
              </w:rPr>
            </w:pPr>
          </w:p>
        </w:tc>
      </w:tr>
    </w:tbl>
    <w:p w14:paraId="497EFD79"/>
    <w:p w14:paraId="27BEF1B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F4E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459571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D41EEA2">
            <w:pPr>
              <w:spacing w:line="240" w:lineRule="atLeast"/>
              <w:rPr>
                <w:rFonts w:asciiTheme="majorEastAsia" w:hAnsiTheme="majorEastAsia" w:eastAsiaTheme="majorEastAsia" w:cstheme="majorEastAsia"/>
                <w:spacing w:val="-20"/>
                <w:sz w:val="20"/>
                <w:szCs w:val="20"/>
              </w:rPr>
            </w:pPr>
          </w:p>
          <w:p w14:paraId="7038BBA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B6279A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D9E610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0F6120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EE5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167E657">
            <w:pPr>
              <w:spacing w:line="240" w:lineRule="atLeast"/>
              <w:jc w:val="left"/>
              <w:rPr>
                <w:rFonts w:ascii="仿宋_GB2312" w:hAnsi="仿宋_GB2312" w:eastAsia="仿宋_GB2312" w:cs="仿宋_GB2312"/>
                <w:sz w:val="20"/>
                <w:szCs w:val="20"/>
              </w:rPr>
            </w:pPr>
          </w:p>
        </w:tc>
        <w:tc>
          <w:tcPr>
            <w:tcW w:w="555" w:type="dxa"/>
            <w:vMerge w:val="continue"/>
          </w:tcPr>
          <w:p w14:paraId="0894F223">
            <w:pPr>
              <w:spacing w:line="240" w:lineRule="atLeast"/>
              <w:jc w:val="left"/>
              <w:rPr>
                <w:rFonts w:ascii="仿宋_GB2312" w:hAnsi="仿宋_GB2312" w:eastAsia="仿宋_GB2312" w:cs="仿宋_GB2312"/>
                <w:sz w:val="20"/>
                <w:szCs w:val="20"/>
              </w:rPr>
            </w:pPr>
          </w:p>
        </w:tc>
        <w:tc>
          <w:tcPr>
            <w:tcW w:w="784" w:type="dxa"/>
            <w:vAlign w:val="center"/>
          </w:tcPr>
          <w:p w14:paraId="0CD7BFD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94FFCF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AB2A97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DF7DE0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232ABD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C6E090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9B1078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21DDFB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DDC9E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C973687">
            <w:pPr>
              <w:spacing w:line="240" w:lineRule="atLeast"/>
              <w:jc w:val="left"/>
              <w:rPr>
                <w:rFonts w:ascii="仿宋_GB2312" w:hAnsi="仿宋_GB2312" w:eastAsia="仿宋_GB2312" w:cs="仿宋_GB2312"/>
                <w:sz w:val="20"/>
                <w:szCs w:val="20"/>
              </w:rPr>
            </w:pPr>
          </w:p>
        </w:tc>
      </w:tr>
      <w:tr w14:paraId="5F27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04E69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139</w:t>
            </w:r>
          </w:p>
        </w:tc>
        <w:tc>
          <w:tcPr>
            <w:tcW w:w="555" w:type="dxa"/>
            <w:vAlign w:val="center"/>
          </w:tcPr>
          <w:p w14:paraId="60EF1A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7E144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7A01D6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C0B765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对建设单位未在建设工程竣工验收后六个月内向城乡规划主管部门报送有关竣工验收资料行为的处罚</w:t>
            </w:r>
          </w:p>
        </w:tc>
        <w:tc>
          <w:tcPr>
            <w:tcW w:w="660" w:type="dxa"/>
            <w:vAlign w:val="center"/>
          </w:tcPr>
          <w:p w14:paraId="44A5037A">
            <w:pPr>
              <w:snapToGrid w:val="0"/>
              <w:spacing w:line="240" w:lineRule="atLeast"/>
              <w:jc w:val="center"/>
              <w:rPr>
                <w:rFonts w:ascii="仿宋_GB2312" w:hAnsi="仿宋_GB2312" w:eastAsia="仿宋_GB2312" w:cs="仿宋_GB2312"/>
                <w:sz w:val="20"/>
                <w:szCs w:val="20"/>
              </w:rPr>
            </w:pPr>
          </w:p>
        </w:tc>
        <w:tc>
          <w:tcPr>
            <w:tcW w:w="615" w:type="dxa"/>
            <w:vAlign w:val="center"/>
          </w:tcPr>
          <w:p w14:paraId="403F49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038DB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10860B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城乡规划法》第六十七条：建设单位未在建设工程竣工验收后六个月内向城乡规划主管部门报送有关竣工验收资料的，由所在地城市、县人民政府城乡规划主管部门责令限期补报；逾期不补报的，处一万元以上五万元以下的罚款。</w:t>
            </w:r>
          </w:p>
        </w:tc>
        <w:tc>
          <w:tcPr>
            <w:tcW w:w="3585" w:type="dxa"/>
            <w:vAlign w:val="center"/>
          </w:tcPr>
          <w:p w14:paraId="01B0DD3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1.立案阶段责任：接到举报或相关部门转送、巡查发现违法行为，及时予以审查，决定是否立案。下达《责令停止违法行为通知书》。</w:t>
            </w:r>
          </w:p>
          <w:p w14:paraId="2B7A074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2.调查阶段责任：对立案的案件，落实专人负责，及时组织调查取证，与当事人有直接利害关系的应当回避。执法人员不得少于两人，调查时应出示执法证件，允许当事人辩解陈述。执法人员应保守有关秘密。</w:t>
            </w:r>
          </w:p>
          <w:p w14:paraId="37BC55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阶段责任：审理案件调查报告，对案件违法事实、证据、调查取证程序、法律适用、处罚种类和幅度、当事人陈述和申辩理由等方面进行审查，提出初步处理意见（主要证据不足时，以适当的方式补充调查）；根据案件的情况按层级召开案件会审会进行审理。</w:t>
            </w:r>
          </w:p>
          <w:p w14:paraId="2ADA21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4．告知阶段责任：作出行政处罚决定前，应制作《行政处罚告知书》送达当事人，告知违法事实及其享有的陈述、申辩等权利。符合听证规定的，制作并送达《行政处罚听证告知书》。</w:t>
            </w:r>
          </w:p>
          <w:p w14:paraId="4AC9CED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5．决定阶段责任：制作行政处罚决定书，载明行政处罚告知、当事人陈述申辩或者听证情况等内容。符合刑事案件移送条件的，及时移送。</w:t>
            </w:r>
          </w:p>
          <w:p w14:paraId="7E54F3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6．送达阶段责任：行政处罚决定书按法律规定的方式送达当事人。</w:t>
            </w:r>
          </w:p>
          <w:p w14:paraId="32329A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7．执行阶段责任：当事人履行处罚决定的，及时结案；未履行处罚决定，依照生效的行政处罚决定，按程序下达催缴（告）通知书和申请人民法院强制执行。</w:t>
            </w:r>
          </w:p>
          <w:p w14:paraId="4795EE6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313DFC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03B4B1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6B8E4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8B7DBB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F72BD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A110C0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6C9367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D90E76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2542B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AB40F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ECCD0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79E94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868C2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2F60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B5BF9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651C8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7910C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36E86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99D46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E38DF9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1300788">
            <w:pPr>
              <w:snapToGrid w:val="0"/>
              <w:spacing w:line="240" w:lineRule="atLeast"/>
              <w:jc w:val="center"/>
              <w:rPr>
                <w:rFonts w:ascii="仿宋_GB2312" w:hAnsi="仿宋_GB2312" w:eastAsia="仿宋_GB2312" w:cs="仿宋_GB2312"/>
                <w:sz w:val="20"/>
                <w:szCs w:val="20"/>
              </w:rPr>
            </w:pPr>
          </w:p>
        </w:tc>
      </w:tr>
    </w:tbl>
    <w:p w14:paraId="3D8430F5"/>
    <w:p w14:paraId="2709AE5B"/>
    <w:p w14:paraId="6F1C0F8A"/>
    <w:p w14:paraId="18ACA76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2C5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14ADED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4AEE2C1">
            <w:pPr>
              <w:spacing w:line="240" w:lineRule="atLeast"/>
              <w:rPr>
                <w:rFonts w:asciiTheme="majorEastAsia" w:hAnsiTheme="majorEastAsia" w:eastAsiaTheme="majorEastAsia" w:cstheme="majorEastAsia"/>
                <w:spacing w:val="-20"/>
                <w:sz w:val="20"/>
                <w:szCs w:val="20"/>
              </w:rPr>
            </w:pPr>
          </w:p>
          <w:p w14:paraId="245C3D7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EE5C49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80BA56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3A3825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68F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C8AA33B">
            <w:pPr>
              <w:spacing w:line="240" w:lineRule="atLeast"/>
              <w:jc w:val="left"/>
              <w:rPr>
                <w:rFonts w:ascii="仿宋_GB2312" w:hAnsi="仿宋_GB2312" w:eastAsia="仿宋_GB2312" w:cs="仿宋_GB2312"/>
                <w:sz w:val="20"/>
                <w:szCs w:val="20"/>
              </w:rPr>
            </w:pPr>
          </w:p>
        </w:tc>
        <w:tc>
          <w:tcPr>
            <w:tcW w:w="555" w:type="dxa"/>
            <w:vMerge w:val="continue"/>
          </w:tcPr>
          <w:p w14:paraId="507FA0D2">
            <w:pPr>
              <w:spacing w:line="240" w:lineRule="atLeast"/>
              <w:jc w:val="left"/>
              <w:rPr>
                <w:rFonts w:ascii="仿宋_GB2312" w:hAnsi="仿宋_GB2312" w:eastAsia="仿宋_GB2312" w:cs="仿宋_GB2312"/>
                <w:sz w:val="20"/>
                <w:szCs w:val="20"/>
              </w:rPr>
            </w:pPr>
          </w:p>
        </w:tc>
        <w:tc>
          <w:tcPr>
            <w:tcW w:w="784" w:type="dxa"/>
            <w:vAlign w:val="center"/>
          </w:tcPr>
          <w:p w14:paraId="6EC8BB6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E02669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1CE7F6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E3CE7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3119AE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065DC4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4CF7D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5044F0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3A6035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CADD551">
            <w:pPr>
              <w:spacing w:line="240" w:lineRule="atLeast"/>
              <w:jc w:val="left"/>
              <w:rPr>
                <w:rFonts w:ascii="仿宋_GB2312" w:hAnsi="仿宋_GB2312" w:eastAsia="仿宋_GB2312" w:cs="仿宋_GB2312"/>
                <w:sz w:val="20"/>
                <w:szCs w:val="20"/>
              </w:rPr>
            </w:pPr>
          </w:p>
        </w:tc>
      </w:tr>
      <w:tr w14:paraId="2D37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AB6CA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140</w:t>
            </w:r>
          </w:p>
        </w:tc>
        <w:tc>
          <w:tcPr>
            <w:tcW w:w="555" w:type="dxa"/>
            <w:vAlign w:val="center"/>
          </w:tcPr>
          <w:p w14:paraId="356472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5630E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DDAF4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25CA92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对外国的组织或者个人未经批准，或者未与中华人民共和国有关部门、单位合作，擅自从事测绘活动行为的处罚</w:t>
            </w:r>
          </w:p>
        </w:tc>
        <w:tc>
          <w:tcPr>
            <w:tcW w:w="660" w:type="dxa"/>
            <w:vAlign w:val="center"/>
          </w:tcPr>
          <w:p w14:paraId="7AD6B0A6">
            <w:pPr>
              <w:snapToGrid w:val="0"/>
              <w:spacing w:line="240" w:lineRule="atLeast"/>
              <w:jc w:val="center"/>
              <w:rPr>
                <w:rFonts w:ascii="仿宋_GB2312" w:hAnsi="仿宋_GB2312" w:eastAsia="仿宋_GB2312" w:cs="仿宋_GB2312"/>
                <w:sz w:val="20"/>
                <w:szCs w:val="20"/>
              </w:rPr>
            </w:pPr>
          </w:p>
        </w:tc>
        <w:tc>
          <w:tcPr>
            <w:tcW w:w="615" w:type="dxa"/>
            <w:vAlign w:val="center"/>
          </w:tcPr>
          <w:p w14:paraId="281C40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84A8C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D59509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一条：违反本法规定，外国的组织或者个人未经批准，或者未与中华人民共和国有关部门、单位合作，擅自从事测绘活动的，责令停止违法行为，没收违法所得、测绘成果和测绘工具，并处十万元以上五十万元以下的罚款；情节严重的，并处五十万元以上一百万元以下的罚款，限期出境或者驱逐出境；构成犯罪的，依法追究刑事责任。</w:t>
            </w:r>
          </w:p>
          <w:p w14:paraId="2FDA8C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57C84E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外国的组织或者个人未经批准，或者未与中华人民共和国有关部门、单位合作，擅自从事测绘活动的情况，应及时制止（对正在实施的违法行为，下达《责令停止违法行为通知书》）,并进行审查核实，符合立案条件的予以立案。</w:t>
            </w:r>
          </w:p>
          <w:p w14:paraId="52973A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外国的组织或者个人未经批准，或者未与中华人民共和国有关部门、单位合作，擅自从事测绘活动的情况，并制作笔录。调查时允许当事人辩解陈述。执法人员应保守有关秘密。</w:t>
            </w:r>
          </w:p>
          <w:p w14:paraId="236C509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F06E4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EA083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外国的组织或者个人未经批准，或者未与中华人民共和国有关部门、单位合作，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0ABE5F5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4F45F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1D0982E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629568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479AC2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E13F8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41E1B1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6B8F3D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89E5A4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91F473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5A746B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CCC56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F24FA2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1FEF1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68EAD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008FD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4155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B3B03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1E012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6B5B0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21617A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CAFF0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17F7FE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96399EF">
            <w:pPr>
              <w:snapToGrid w:val="0"/>
              <w:spacing w:line="240" w:lineRule="atLeast"/>
              <w:jc w:val="center"/>
              <w:rPr>
                <w:rFonts w:ascii="仿宋_GB2312" w:hAnsi="仿宋_GB2312" w:eastAsia="仿宋_GB2312" w:cs="仿宋_GB2312"/>
                <w:sz w:val="20"/>
                <w:szCs w:val="20"/>
              </w:rPr>
            </w:pPr>
          </w:p>
        </w:tc>
      </w:tr>
    </w:tbl>
    <w:p w14:paraId="4B219DB5"/>
    <w:p w14:paraId="4FFEE0DD"/>
    <w:p w14:paraId="2FE4383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4EE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9F3EDD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9C1C60F">
            <w:pPr>
              <w:spacing w:line="240" w:lineRule="atLeast"/>
              <w:rPr>
                <w:rFonts w:asciiTheme="majorEastAsia" w:hAnsiTheme="majorEastAsia" w:eastAsiaTheme="majorEastAsia" w:cstheme="majorEastAsia"/>
                <w:spacing w:val="-20"/>
                <w:sz w:val="20"/>
                <w:szCs w:val="20"/>
              </w:rPr>
            </w:pPr>
          </w:p>
          <w:p w14:paraId="519C5F8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F054B1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6F8DAA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6815BA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1A8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6128EFE">
            <w:pPr>
              <w:spacing w:line="240" w:lineRule="atLeast"/>
              <w:jc w:val="left"/>
              <w:rPr>
                <w:rFonts w:ascii="仿宋_GB2312" w:hAnsi="仿宋_GB2312" w:eastAsia="仿宋_GB2312" w:cs="仿宋_GB2312"/>
                <w:sz w:val="20"/>
                <w:szCs w:val="20"/>
              </w:rPr>
            </w:pPr>
          </w:p>
        </w:tc>
        <w:tc>
          <w:tcPr>
            <w:tcW w:w="555" w:type="dxa"/>
            <w:vMerge w:val="continue"/>
          </w:tcPr>
          <w:p w14:paraId="46E2C15F">
            <w:pPr>
              <w:spacing w:line="240" w:lineRule="atLeast"/>
              <w:jc w:val="left"/>
              <w:rPr>
                <w:rFonts w:ascii="仿宋_GB2312" w:hAnsi="仿宋_GB2312" w:eastAsia="仿宋_GB2312" w:cs="仿宋_GB2312"/>
                <w:sz w:val="20"/>
                <w:szCs w:val="20"/>
              </w:rPr>
            </w:pPr>
          </w:p>
        </w:tc>
        <w:tc>
          <w:tcPr>
            <w:tcW w:w="784" w:type="dxa"/>
            <w:vAlign w:val="center"/>
          </w:tcPr>
          <w:p w14:paraId="30777B0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6B283B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8CFA4B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E53D65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5381E6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D7D032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63849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BBEC8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3EE438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237D7FE">
            <w:pPr>
              <w:spacing w:line="240" w:lineRule="atLeast"/>
              <w:jc w:val="left"/>
              <w:rPr>
                <w:rFonts w:ascii="仿宋_GB2312" w:hAnsi="仿宋_GB2312" w:eastAsia="仿宋_GB2312" w:cs="仿宋_GB2312"/>
                <w:sz w:val="20"/>
                <w:szCs w:val="20"/>
              </w:rPr>
            </w:pPr>
          </w:p>
        </w:tc>
      </w:tr>
      <w:tr w14:paraId="28D5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45B95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141</w:t>
            </w:r>
          </w:p>
        </w:tc>
        <w:tc>
          <w:tcPr>
            <w:tcW w:w="555" w:type="dxa"/>
            <w:vAlign w:val="center"/>
          </w:tcPr>
          <w:p w14:paraId="0B44F7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8D690C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599DA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17324F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对实施基础测绘项目，不使用全国统一的测绘基准和测绘系统或者不执行国家规定的测绘技术规范和标准行为的处罚</w:t>
            </w:r>
          </w:p>
        </w:tc>
        <w:tc>
          <w:tcPr>
            <w:tcW w:w="660" w:type="dxa"/>
            <w:vAlign w:val="center"/>
          </w:tcPr>
          <w:p w14:paraId="267F5414">
            <w:pPr>
              <w:snapToGrid w:val="0"/>
              <w:spacing w:line="240" w:lineRule="atLeast"/>
              <w:jc w:val="center"/>
              <w:rPr>
                <w:rFonts w:ascii="仿宋_GB2312" w:hAnsi="仿宋_GB2312" w:eastAsia="仿宋_GB2312" w:cs="仿宋_GB2312"/>
                <w:sz w:val="20"/>
                <w:szCs w:val="20"/>
              </w:rPr>
            </w:pPr>
          </w:p>
        </w:tc>
        <w:tc>
          <w:tcPr>
            <w:tcW w:w="615" w:type="dxa"/>
            <w:vAlign w:val="center"/>
          </w:tcPr>
          <w:p w14:paraId="337B63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983194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478644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1.【法律】《中华人民共和国测绘法》第五条：从事测绘活动，应当使用国家规定的测绘基准和测绘系统，执行国家规定的测绘技术规范和标准。</w:t>
            </w:r>
          </w:p>
          <w:p w14:paraId="5508603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基础测绘条例》（2009年国务院第556号令）第三十一条：违反本条例规定，实施基础测绘项目，不使用全国统一的测绘基准和测绘系统或者不执行国家规定的测绘技术规范和标准的，责令限期改正，给予警告，可以并处10万元以下罚款；对负有直接责任的主管人员和其他直接责任人员，依法给予处分。</w:t>
            </w:r>
          </w:p>
          <w:p w14:paraId="630EC48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第三十四条：本条例规定的降低资质等级、吊销测绘资质证书的行政处罚，由颁发资质证书的部门决定；其他行政处罚由县级以上人民政府测绘行政主管部门决定。</w:t>
            </w:r>
          </w:p>
        </w:tc>
        <w:tc>
          <w:tcPr>
            <w:tcW w:w="3585" w:type="dxa"/>
            <w:vAlign w:val="center"/>
          </w:tcPr>
          <w:p w14:paraId="52CE58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实施基础测绘项目，不使用全国统一的测绘基准和测绘系统或者不执行国家规定的测绘技术规范和标准的情况，应及时制止（对正在实施的违法行为，下达《责令停止违法行为通知书》）,并进行审查核实，符合立案条件的予以立案。</w:t>
            </w:r>
          </w:p>
          <w:p w14:paraId="7C86A1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实施基础测绘项目，不使用全国统一的测绘基准和测绘系统或者不执行国家规定的测绘技术规范和标准的情况，并制作笔录。调查时允许当事人辩解陈述。执法人员应保守有关秘密。</w:t>
            </w:r>
          </w:p>
          <w:p w14:paraId="49B5804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DFC4A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E0A4D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实施基础测绘项目，不使用全国统一的测绘基准和测绘系统或者不执行国家规定的测绘技术规范和标准的事实进行认定，依法制作《行政处罚决定书》，载明违反法律法规或规章的事实和证据、行政处罚的具体依据和内容，告知当事人陈述申辩或者听证情况等内容，告知申请行政复议或提起行政诉讼的权利。</w:t>
            </w:r>
          </w:p>
          <w:p w14:paraId="0E26A0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786EB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2BD51F5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D665DF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CBABD1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F7712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21AA09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BB7019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C021F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360E81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22B25D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F2F10A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79C9A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6DD8CB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4AD68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EE4E6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FBAD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41244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FF88F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5124C2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63344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21044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0066CF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BD74406">
            <w:pPr>
              <w:snapToGrid w:val="0"/>
              <w:spacing w:line="240" w:lineRule="atLeast"/>
              <w:jc w:val="center"/>
              <w:rPr>
                <w:rFonts w:ascii="仿宋_GB2312" w:hAnsi="仿宋_GB2312" w:eastAsia="仿宋_GB2312" w:cs="仿宋_GB2312"/>
                <w:sz w:val="20"/>
                <w:szCs w:val="20"/>
              </w:rPr>
            </w:pPr>
          </w:p>
        </w:tc>
      </w:tr>
    </w:tbl>
    <w:p w14:paraId="14C8C4D8"/>
    <w:p w14:paraId="0108D41C"/>
    <w:p w14:paraId="30ADB92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5FF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77538D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756AD65">
            <w:pPr>
              <w:spacing w:line="240" w:lineRule="atLeast"/>
              <w:rPr>
                <w:rFonts w:asciiTheme="majorEastAsia" w:hAnsiTheme="majorEastAsia" w:eastAsiaTheme="majorEastAsia" w:cstheme="majorEastAsia"/>
                <w:spacing w:val="-20"/>
                <w:sz w:val="20"/>
                <w:szCs w:val="20"/>
              </w:rPr>
            </w:pPr>
          </w:p>
          <w:p w14:paraId="6D9D543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8A5E08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21224A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CC47FD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1E9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9C9D8F">
            <w:pPr>
              <w:spacing w:line="240" w:lineRule="atLeast"/>
              <w:jc w:val="left"/>
              <w:rPr>
                <w:rFonts w:ascii="仿宋_GB2312" w:hAnsi="仿宋_GB2312" w:eastAsia="仿宋_GB2312" w:cs="仿宋_GB2312"/>
                <w:sz w:val="20"/>
                <w:szCs w:val="20"/>
              </w:rPr>
            </w:pPr>
          </w:p>
        </w:tc>
        <w:tc>
          <w:tcPr>
            <w:tcW w:w="555" w:type="dxa"/>
            <w:vMerge w:val="continue"/>
          </w:tcPr>
          <w:p w14:paraId="057985D5">
            <w:pPr>
              <w:spacing w:line="240" w:lineRule="atLeast"/>
              <w:jc w:val="left"/>
              <w:rPr>
                <w:rFonts w:ascii="仿宋_GB2312" w:hAnsi="仿宋_GB2312" w:eastAsia="仿宋_GB2312" w:cs="仿宋_GB2312"/>
                <w:sz w:val="20"/>
                <w:szCs w:val="20"/>
              </w:rPr>
            </w:pPr>
          </w:p>
        </w:tc>
        <w:tc>
          <w:tcPr>
            <w:tcW w:w="784" w:type="dxa"/>
            <w:vAlign w:val="center"/>
          </w:tcPr>
          <w:p w14:paraId="736138E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D5B62C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18B2FF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BC7AB5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7416BB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070C30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0298EF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BD705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D71041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BDA0958">
            <w:pPr>
              <w:spacing w:line="240" w:lineRule="atLeast"/>
              <w:jc w:val="left"/>
              <w:rPr>
                <w:rFonts w:ascii="仿宋_GB2312" w:hAnsi="仿宋_GB2312" w:eastAsia="仿宋_GB2312" w:cs="仿宋_GB2312"/>
                <w:sz w:val="20"/>
                <w:szCs w:val="20"/>
              </w:rPr>
            </w:pPr>
          </w:p>
        </w:tc>
      </w:tr>
      <w:tr w14:paraId="3458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298F0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142</w:t>
            </w:r>
          </w:p>
        </w:tc>
        <w:tc>
          <w:tcPr>
            <w:tcW w:w="555" w:type="dxa"/>
            <w:vAlign w:val="center"/>
          </w:tcPr>
          <w:p w14:paraId="4F51D7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3B6E8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F838D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774677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对未经批准擅自建立相对独立的平面坐标系统，或者采用不符合国家标准的基础地理信息数据建立地理信息系统行为的处罚</w:t>
            </w:r>
          </w:p>
        </w:tc>
        <w:tc>
          <w:tcPr>
            <w:tcW w:w="660" w:type="dxa"/>
            <w:vAlign w:val="center"/>
          </w:tcPr>
          <w:p w14:paraId="38F7500B">
            <w:pPr>
              <w:snapToGrid w:val="0"/>
              <w:spacing w:line="240" w:lineRule="atLeast"/>
              <w:jc w:val="center"/>
              <w:rPr>
                <w:rFonts w:ascii="仿宋_GB2312" w:hAnsi="仿宋_GB2312" w:eastAsia="仿宋_GB2312" w:cs="仿宋_GB2312"/>
                <w:sz w:val="20"/>
                <w:szCs w:val="20"/>
              </w:rPr>
            </w:pPr>
          </w:p>
        </w:tc>
        <w:tc>
          <w:tcPr>
            <w:tcW w:w="615" w:type="dxa"/>
            <w:vAlign w:val="center"/>
          </w:tcPr>
          <w:p w14:paraId="599F753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78B28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EB273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二条：违反本法规定，未经批准擅自建立相对独立的平面坐标系统，或者采用不符合国家标准的基础地理信息数据建立地理信息系统的，给予警告，责令改正，可以并处五十万元以下的罚款；对直接负责的主管人员和其他直接责任人员，依法给予处分。</w:t>
            </w:r>
          </w:p>
          <w:p w14:paraId="083D3B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3B94CFA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经批准擅自建立相对独立的平面坐标系统，或者采用不符合国家标准的基础地理信息数据建立地理信息系统的情况，应及时制止（对正在实施的违法行为，下达《责令停止违法行为通知书》）,并进行审查核实，符合立案条件的予以立案。</w:t>
            </w:r>
          </w:p>
          <w:p w14:paraId="55E3489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建立相对独立的平面坐标系统，或者采用不符合国家标准的基础地理信息数据建立地理信息系统的情况，并制作笔录。调查时允许当事人辩解陈述。执法人员应保守有关秘密。</w:t>
            </w:r>
          </w:p>
          <w:p w14:paraId="4CEEF3E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0FB0D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FEA11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擅自建立相对独立的平面坐标系统，或者采用不符合国家标准的基础地理信息数据建立地理信息系统的事实进行认定，依法制作《行政处罚决定书》，载明违反法律法规或规章的事实和证据、行政处罚的具体依据和内容，告知当事人陈述申辩或者听证情况等内容，告知申请行政复议或提起行政诉讼的权力。</w:t>
            </w:r>
          </w:p>
          <w:p w14:paraId="705E255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8A35B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5144418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1946A9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853731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E37E0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A0004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3BC827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890EE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EDD034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A15809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10A55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061C0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FE119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87B0F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B78EE8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164ED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DAE25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8E0B8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56C0D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D503B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86159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2CBA17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BC26087">
            <w:pPr>
              <w:snapToGrid w:val="0"/>
              <w:spacing w:line="240" w:lineRule="atLeast"/>
              <w:jc w:val="center"/>
              <w:rPr>
                <w:rFonts w:ascii="仿宋_GB2312" w:hAnsi="仿宋_GB2312" w:eastAsia="仿宋_GB2312" w:cs="仿宋_GB2312"/>
                <w:sz w:val="20"/>
                <w:szCs w:val="20"/>
              </w:rPr>
            </w:pPr>
          </w:p>
        </w:tc>
      </w:tr>
    </w:tbl>
    <w:p w14:paraId="619BE453"/>
    <w:p w14:paraId="19A35278"/>
    <w:p w14:paraId="6D7C3BB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83B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311729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F18CF4F">
            <w:pPr>
              <w:spacing w:line="240" w:lineRule="atLeast"/>
              <w:rPr>
                <w:rFonts w:asciiTheme="majorEastAsia" w:hAnsiTheme="majorEastAsia" w:eastAsiaTheme="majorEastAsia" w:cstheme="majorEastAsia"/>
                <w:spacing w:val="-20"/>
                <w:sz w:val="20"/>
                <w:szCs w:val="20"/>
              </w:rPr>
            </w:pPr>
          </w:p>
          <w:p w14:paraId="0FCF8D8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D64E36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3473B8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4B7143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2C9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FD921F">
            <w:pPr>
              <w:spacing w:line="240" w:lineRule="atLeast"/>
              <w:jc w:val="left"/>
              <w:rPr>
                <w:rFonts w:ascii="仿宋_GB2312" w:hAnsi="仿宋_GB2312" w:eastAsia="仿宋_GB2312" w:cs="仿宋_GB2312"/>
                <w:sz w:val="20"/>
                <w:szCs w:val="20"/>
              </w:rPr>
            </w:pPr>
          </w:p>
        </w:tc>
        <w:tc>
          <w:tcPr>
            <w:tcW w:w="555" w:type="dxa"/>
            <w:vMerge w:val="continue"/>
          </w:tcPr>
          <w:p w14:paraId="209A59F3">
            <w:pPr>
              <w:spacing w:line="240" w:lineRule="atLeast"/>
              <w:jc w:val="left"/>
              <w:rPr>
                <w:rFonts w:ascii="仿宋_GB2312" w:hAnsi="仿宋_GB2312" w:eastAsia="仿宋_GB2312" w:cs="仿宋_GB2312"/>
                <w:sz w:val="20"/>
                <w:szCs w:val="20"/>
              </w:rPr>
            </w:pPr>
          </w:p>
        </w:tc>
        <w:tc>
          <w:tcPr>
            <w:tcW w:w="784" w:type="dxa"/>
            <w:vAlign w:val="center"/>
          </w:tcPr>
          <w:p w14:paraId="537A02C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7F83C0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8E38D9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97590D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EA0455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14846B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E11E2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2A473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80FF6A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C32631C">
            <w:pPr>
              <w:spacing w:line="240" w:lineRule="atLeast"/>
              <w:jc w:val="left"/>
              <w:rPr>
                <w:rFonts w:ascii="仿宋_GB2312" w:hAnsi="仿宋_GB2312" w:eastAsia="仿宋_GB2312" w:cs="仿宋_GB2312"/>
                <w:sz w:val="20"/>
                <w:szCs w:val="20"/>
              </w:rPr>
            </w:pPr>
          </w:p>
        </w:tc>
      </w:tr>
      <w:tr w14:paraId="24BC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D7B2F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143</w:t>
            </w:r>
          </w:p>
        </w:tc>
        <w:tc>
          <w:tcPr>
            <w:tcW w:w="555" w:type="dxa"/>
            <w:vAlign w:val="center"/>
          </w:tcPr>
          <w:p w14:paraId="3C3637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5D3AD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7771B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F31A58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对卫星导航定位基准站建设单位未报备案行为的处罚</w:t>
            </w:r>
          </w:p>
        </w:tc>
        <w:tc>
          <w:tcPr>
            <w:tcW w:w="660" w:type="dxa"/>
            <w:vAlign w:val="center"/>
          </w:tcPr>
          <w:p w14:paraId="3F3F4D25">
            <w:pPr>
              <w:snapToGrid w:val="0"/>
              <w:spacing w:line="240" w:lineRule="atLeast"/>
              <w:jc w:val="center"/>
              <w:rPr>
                <w:rFonts w:ascii="仿宋_GB2312" w:hAnsi="仿宋_GB2312" w:eastAsia="仿宋_GB2312" w:cs="仿宋_GB2312"/>
                <w:sz w:val="20"/>
                <w:szCs w:val="20"/>
              </w:rPr>
            </w:pPr>
          </w:p>
        </w:tc>
        <w:tc>
          <w:tcPr>
            <w:tcW w:w="615" w:type="dxa"/>
            <w:vAlign w:val="center"/>
          </w:tcPr>
          <w:p w14:paraId="7F09AF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23C3F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B13E4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三条：违反本法规定，卫星导航定位基准站建设单位未报备案的，给予警告，责令限期改正；逾期不改正的，处十万元以上三十万元以下的罚款；对直接负责的主管人员和其他直接责任人员，依法给予处分。</w:t>
            </w:r>
          </w:p>
          <w:p w14:paraId="36FC499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30AE90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卫星导航定位基准站建设单位未报备案的情况，应及时制止（对正在实施的违法行为，下达《责令停止违法行为通知书》）,并进行审查核实，符合立案条件的予以立案。</w:t>
            </w:r>
          </w:p>
          <w:p w14:paraId="7AFDC7A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2.调查责任：执法人员不得少于两人，出示证件、表明身份；通过搜集证据、现场了解核实卫星导航定位基准站建设单位未报备案的情况，并制作笔录。调查时允许当事人辩解陈述。执法人员应保守有关秘密。</w:t>
            </w:r>
          </w:p>
          <w:p w14:paraId="08EE1C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9A48F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57F7A0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卫星导航定位基准站建设单位未报备案的事实进行认定，依法制作《行政处罚决定书》，载明违反法律法规或规章的事实和证据、行政处罚的具体依据和内容，告知当事人陈述申辩或者听证情况等内容，告知申请行政复议或提起行政诉讼的权力。</w:t>
            </w:r>
          </w:p>
          <w:p w14:paraId="667460C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43C9E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74B2BC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57ECD4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9EF5B4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0272C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E996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D390B4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40B939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17B687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FB81CC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94C51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63BDD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E9932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F27AF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0B538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53B227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E3586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D6F70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BE736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EBC074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0319B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72CC74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BA5681B">
            <w:pPr>
              <w:snapToGrid w:val="0"/>
              <w:spacing w:line="240" w:lineRule="atLeast"/>
              <w:jc w:val="center"/>
              <w:rPr>
                <w:rFonts w:ascii="仿宋_GB2312" w:hAnsi="仿宋_GB2312" w:eastAsia="仿宋_GB2312" w:cs="仿宋_GB2312"/>
                <w:sz w:val="20"/>
                <w:szCs w:val="20"/>
              </w:rPr>
            </w:pPr>
          </w:p>
        </w:tc>
      </w:tr>
    </w:tbl>
    <w:p w14:paraId="08D2CF8F"/>
    <w:p w14:paraId="455AE794"/>
    <w:p w14:paraId="420EC96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E38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DC7F02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96C80D3">
            <w:pPr>
              <w:spacing w:line="240" w:lineRule="atLeast"/>
              <w:rPr>
                <w:rFonts w:asciiTheme="majorEastAsia" w:hAnsiTheme="majorEastAsia" w:eastAsiaTheme="majorEastAsia" w:cstheme="majorEastAsia"/>
                <w:spacing w:val="-20"/>
                <w:sz w:val="20"/>
                <w:szCs w:val="20"/>
              </w:rPr>
            </w:pPr>
          </w:p>
          <w:p w14:paraId="345E38D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428E65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3DB885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56200A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E3E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46D7EF9">
            <w:pPr>
              <w:spacing w:line="240" w:lineRule="atLeast"/>
              <w:jc w:val="left"/>
              <w:rPr>
                <w:rFonts w:ascii="仿宋_GB2312" w:hAnsi="仿宋_GB2312" w:eastAsia="仿宋_GB2312" w:cs="仿宋_GB2312"/>
                <w:sz w:val="20"/>
                <w:szCs w:val="20"/>
              </w:rPr>
            </w:pPr>
          </w:p>
        </w:tc>
        <w:tc>
          <w:tcPr>
            <w:tcW w:w="555" w:type="dxa"/>
            <w:vMerge w:val="continue"/>
          </w:tcPr>
          <w:p w14:paraId="45110EFB">
            <w:pPr>
              <w:spacing w:line="240" w:lineRule="atLeast"/>
              <w:jc w:val="left"/>
              <w:rPr>
                <w:rFonts w:ascii="仿宋_GB2312" w:hAnsi="仿宋_GB2312" w:eastAsia="仿宋_GB2312" w:cs="仿宋_GB2312"/>
                <w:sz w:val="20"/>
                <w:szCs w:val="20"/>
              </w:rPr>
            </w:pPr>
          </w:p>
        </w:tc>
        <w:tc>
          <w:tcPr>
            <w:tcW w:w="784" w:type="dxa"/>
            <w:vAlign w:val="center"/>
          </w:tcPr>
          <w:p w14:paraId="03FCB16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219C38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1DC5D9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03D4D4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6F03AD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CE5BC5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D6A23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B617E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243E84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AE0B9FE">
            <w:pPr>
              <w:spacing w:line="240" w:lineRule="atLeast"/>
              <w:jc w:val="left"/>
              <w:rPr>
                <w:rFonts w:ascii="仿宋_GB2312" w:hAnsi="仿宋_GB2312" w:eastAsia="仿宋_GB2312" w:cs="仿宋_GB2312"/>
                <w:sz w:val="20"/>
                <w:szCs w:val="20"/>
              </w:rPr>
            </w:pPr>
          </w:p>
        </w:tc>
      </w:tr>
      <w:tr w14:paraId="43F2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2DF5B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144</w:t>
            </w:r>
          </w:p>
        </w:tc>
        <w:tc>
          <w:tcPr>
            <w:tcW w:w="555" w:type="dxa"/>
            <w:vAlign w:val="center"/>
          </w:tcPr>
          <w:p w14:paraId="6AFC22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65B39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D69084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5627B2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对卫星导航定位基准站的建设和运行维护不符合国家标准、要求行为的处罚</w:t>
            </w:r>
          </w:p>
        </w:tc>
        <w:tc>
          <w:tcPr>
            <w:tcW w:w="660" w:type="dxa"/>
            <w:vAlign w:val="center"/>
          </w:tcPr>
          <w:p w14:paraId="03B81B08">
            <w:pPr>
              <w:snapToGrid w:val="0"/>
              <w:spacing w:line="240" w:lineRule="atLeast"/>
              <w:jc w:val="center"/>
              <w:rPr>
                <w:rFonts w:ascii="仿宋_GB2312" w:hAnsi="仿宋_GB2312" w:eastAsia="仿宋_GB2312" w:cs="仿宋_GB2312"/>
                <w:sz w:val="20"/>
                <w:szCs w:val="20"/>
              </w:rPr>
            </w:pPr>
          </w:p>
        </w:tc>
        <w:tc>
          <w:tcPr>
            <w:tcW w:w="615" w:type="dxa"/>
            <w:vAlign w:val="center"/>
          </w:tcPr>
          <w:p w14:paraId="301EAD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1D8667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5158B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四条：违反本法规定，卫星导航定位基准站的建设和运行维护不符合国家标准、要求的，给予警告，责令限期改正，没收违法所得和测绘成果，并处三十万元以上五十万元以下的罚款；逾期不改正的，没收相关设备；对直接负责的主管人员和其他直接责任人员，依法给予处分；构成犯罪的，依法追究刑事责任。</w:t>
            </w:r>
          </w:p>
          <w:p w14:paraId="4A19FB7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3994EF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卫星导航定位基准站的建设和运行维护不符合国家标准、要求的情况，应及时制止（对正在实施的违法行为，下达《责令停止违法行为通知书》）,并进行审查核实，符合立案条件的予以立案。</w:t>
            </w:r>
          </w:p>
          <w:p w14:paraId="1963A21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卫星导航定位基准站的建设和运行维护不符合国家标准、要求的情况，并制作笔录。调查时允许当事人辩解陈述。执法人员应保守有关秘密。</w:t>
            </w:r>
          </w:p>
          <w:p w14:paraId="6555E34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0A324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7CB9AB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卫星导航定位基准站的建设和运行维护不符合国家标准、要求的事实进行认定，依法制作《行政处罚决定书》，载明违反法律法规或规章的事实和证据、行政处罚的具体依据和内容，告知当事人陈述申辩或者听证情况等内容，告知申请行政复议或提起行政诉讼的权力。</w:t>
            </w:r>
          </w:p>
          <w:p w14:paraId="16D20BD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1FE4A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05F4D9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9A38C0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4ACC7A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7C3DE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1A9DC6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4A7F4A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72B86F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F9A142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E5BC9F8">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0960E9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86A80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E5A48C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08F7A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32DC0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EDB09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8FCED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32778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915A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981B5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21D06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1E472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FEE94F5">
            <w:pPr>
              <w:snapToGrid w:val="0"/>
              <w:spacing w:line="240" w:lineRule="atLeast"/>
              <w:jc w:val="center"/>
              <w:rPr>
                <w:rFonts w:ascii="仿宋_GB2312" w:hAnsi="仿宋_GB2312" w:eastAsia="仿宋_GB2312" w:cs="仿宋_GB2312"/>
                <w:sz w:val="20"/>
                <w:szCs w:val="20"/>
              </w:rPr>
            </w:pPr>
          </w:p>
        </w:tc>
      </w:tr>
    </w:tbl>
    <w:p w14:paraId="20B91970"/>
    <w:p w14:paraId="19C0F722"/>
    <w:p w14:paraId="26BB48B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74E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17D03F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42F8148">
            <w:pPr>
              <w:spacing w:line="240" w:lineRule="atLeast"/>
              <w:rPr>
                <w:rFonts w:asciiTheme="majorEastAsia" w:hAnsiTheme="majorEastAsia" w:eastAsiaTheme="majorEastAsia" w:cstheme="majorEastAsia"/>
                <w:spacing w:val="-20"/>
                <w:sz w:val="20"/>
                <w:szCs w:val="20"/>
              </w:rPr>
            </w:pPr>
          </w:p>
          <w:p w14:paraId="1A3D08B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70DF78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08B3A5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64F31F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DDA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3C14FD">
            <w:pPr>
              <w:spacing w:line="240" w:lineRule="atLeast"/>
              <w:jc w:val="left"/>
              <w:rPr>
                <w:rFonts w:ascii="仿宋_GB2312" w:hAnsi="仿宋_GB2312" w:eastAsia="仿宋_GB2312" w:cs="仿宋_GB2312"/>
                <w:sz w:val="20"/>
                <w:szCs w:val="20"/>
              </w:rPr>
            </w:pPr>
          </w:p>
        </w:tc>
        <w:tc>
          <w:tcPr>
            <w:tcW w:w="555" w:type="dxa"/>
            <w:vMerge w:val="continue"/>
          </w:tcPr>
          <w:p w14:paraId="0486BB50">
            <w:pPr>
              <w:spacing w:line="240" w:lineRule="atLeast"/>
              <w:jc w:val="left"/>
              <w:rPr>
                <w:rFonts w:ascii="仿宋_GB2312" w:hAnsi="仿宋_GB2312" w:eastAsia="仿宋_GB2312" w:cs="仿宋_GB2312"/>
                <w:sz w:val="20"/>
                <w:szCs w:val="20"/>
              </w:rPr>
            </w:pPr>
          </w:p>
        </w:tc>
        <w:tc>
          <w:tcPr>
            <w:tcW w:w="784" w:type="dxa"/>
            <w:vAlign w:val="center"/>
          </w:tcPr>
          <w:p w14:paraId="4351FF2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055FED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554370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067C91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5DB44E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4202B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AB7AA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4570B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4B7A22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3107CF3">
            <w:pPr>
              <w:spacing w:line="240" w:lineRule="atLeast"/>
              <w:jc w:val="left"/>
              <w:rPr>
                <w:rFonts w:ascii="仿宋_GB2312" w:hAnsi="仿宋_GB2312" w:eastAsia="仿宋_GB2312" w:cs="仿宋_GB2312"/>
                <w:sz w:val="20"/>
                <w:szCs w:val="20"/>
              </w:rPr>
            </w:pPr>
          </w:p>
        </w:tc>
      </w:tr>
      <w:tr w14:paraId="0A1D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1FDB6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145</w:t>
            </w:r>
          </w:p>
        </w:tc>
        <w:tc>
          <w:tcPr>
            <w:tcW w:w="555" w:type="dxa"/>
            <w:vAlign w:val="center"/>
          </w:tcPr>
          <w:p w14:paraId="44C7797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E53D7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AFFCD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813AD8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对未取得测绘资质证书，擅自从事测绘活动行为的处罚</w:t>
            </w:r>
          </w:p>
        </w:tc>
        <w:tc>
          <w:tcPr>
            <w:tcW w:w="660" w:type="dxa"/>
            <w:vAlign w:val="center"/>
          </w:tcPr>
          <w:p w14:paraId="17A9A8FB">
            <w:pPr>
              <w:snapToGrid w:val="0"/>
              <w:spacing w:line="240" w:lineRule="atLeast"/>
              <w:jc w:val="center"/>
              <w:rPr>
                <w:rFonts w:ascii="仿宋_GB2312" w:hAnsi="仿宋_GB2312" w:eastAsia="仿宋_GB2312" w:cs="仿宋_GB2312"/>
                <w:sz w:val="20"/>
                <w:szCs w:val="20"/>
              </w:rPr>
            </w:pPr>
          </w:p>
        </w:tc>
        <w:tc>
          <w:tcPr>
            <w:tcW w:w="615" w:type="dxa"/>
            <w:vAlign w:val="center"/>
          </w:tcPr>
          <w:p w14:paraId="7B59C7D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545C6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D9073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五条第一款：违反本法规定，未取得测绘资质证书，擅自从事测绘活动的，责令停止违法行为，没收违法所得和测绘成果，并处测绘约定报酬一倍以上二倍以下的罚款；情节严重的，没收测绘工具。</w:t>
            </w:r>
          </w:p>
          <w:p w14:paraId="3F42B0C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p w14:paraId="5E8E237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基础测绘条例》（2009年国务院第556号）第二十九条：违反本条例规定，未取得测绘资质证书从事基础测绘活动的，责令停止违法行为，没收违法所得和测绘成果，并处测绘约定报酬1倍以上2倍以下的罚款。</w:t>
            </w:r>
          </w:p>
        </w:tc>
        <w:tc>
          <w:tcPr>
            <w:tcW w:w="3585" w:type="dxa"/>
            <w:vAlign w:val="center"/>
          </w:tcPr>
          <w:p w14:paraId="35D5CF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取得测绘资质证书，擅自从事测绘活动的情况，应及时制止（对正在实施的违法行为，下达《责令停止违法行为通知书》）,并进行审查核实，符合立案条件的予以立案。</w:t>
            </w:r>
          </w:p>
          <w:p w14:paraId="3836C2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2.调查责任：执法人员不得少于两人，出示证件、表明身份；通过搜集证据、现场了解核实未取得测绘资质证书，擅自从事测绘活动的情况，并制作笔录。调查时允许当事人辩解陈述。执法人员应保守有关秘密。</w:t>
            </w:r>
          </w:p>
          <w:p w14:paraId="60233A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93644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FB656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未取得测绘资质证书，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4CC692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9A2148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4C6BF1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3E662F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8BD8A7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A3297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123AC8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984EC3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A0E866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417109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4C1377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612355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84DC8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56298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A88C5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93430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8107D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12175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5B319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B36EF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BB116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8666F9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E266EE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9BD66DD">
            <w:pPr>
              <w:snapToGrid w:val="0"/>
              <w:spacing w:line="240" w:lineRule="atLeast"/>
              <w:jc w:val="center"/>
              <w:rPr>
                <w:rFonts w:ascii="仿宋_GB2312" w:hAnsi="仿宋_GB2312" w:eastAsia="仿宋_GB2312" w:cs="仿宋_GB2312"/>
                <w:sz w:val="20"/>
                <w:szCs w:val="20"/>
              </w:rPr>
            </w:pPr>
          </w:p>
        </w:tc>
      </w:tr>
    </w:tbl>
    <w:p w14:paraId="4DCDD7B0"/>
    <w:p w14:paraId="67FA13F4"/>
    <w:p w14:paraId="044CED0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8A8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A5E443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E4E16EE">
            <w:pPr>
              <w:spacing w:line="240" w:lineRule="atLeast"/>
              <w:rPr>
                <w:rFonts w:asciiTheme="majorEastAsia" w:hAnsiTheme="majorEastAsia" w:eastAsiaTheme="majorEastAsia" w:cstheme="majorEastAsia"/>
                <w:spacing w:val="-20"/>
                <w:sz w:val="20"/>
                <w:szCs w:val="20"/>
              </w:rPr>
            </w:pPr>
          </w:p>
          <w:p w14:paraId="7D782B5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A86205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B84748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A067DE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6C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EE9FEA1">
            <w:pPr>
              <w:spacing w:line="240" w:lineRule="atLeast"/>
              <w:jc w:val="left"/>
              <w:rPr>
                <w:rFonts w:ascii="仿宋_GB2312" w:hAnsi="仿宋_GB2312" w:eastAsia="仿宋_GB2312" w:cs="仿宋_GB2312"/>
                <w:sz w:val="20"/>
                <w:szCs w:val="20"/>
              </w:rPr>
            </w:pPr>
          </w:p>
        </w:tc>
        <w:tc>
          <w:tcPr>
            <w:tcW w:w="555" w:type="dxa"/>
            <w:vMerge w:val="continue"/>
          </w:tcPr>
          <w:p w14:paraId="355B99BF">
            <w:pPr>
              <w:spacing w:line="240" w:lineRule="atLeast"/>
              <w:jc w:val="left"/>
              <w:rPr>
                <w:rFonts w:ascii="仿宋_GB2312" w:hAnsi="仿宋_GB2312" w:eastAsia="仿宋_GB2312" w:cs="仿宋_GB2312"/>
                <w:sz w:val="20"/>
                <w:szCs w:val="20"/>
              </w:rPr>
            </w:pPr>
          </w:p>
        </w:tc>
        <w:tc>
          <w:tcPr>
            <w:tcW w:w="784" w:type="dxa"/>
            <w:vAlign w:val="center"/>
          </w:tcPr>
          <w:p w14:paraId="4D07261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052FB2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487C2E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82111B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DE047B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B7E7CA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A1F610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3DE67D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8161D4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8793959">
            <w:pPr>
              <w:spacing w:line="240" w:lineRule="atLeast"/>
              <w:jc w:val="left"/>
              <w:rPr>
                <w:rFonts w:ascii="仿宋_GB2312" w:hAnsi="仿宋_GB2312" w:eastAsia="仿宋_GB2312" w:cs="仿宋_GB2312"/>
                <w:sz w:val="20"/>
                <w:szCs w:val="20"/>
              </w:rPr>
            </w:pPr>
          </w:p>
        </w:tc>
      </w:tr>
      <w:tr w14:paraId="5F27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90222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146</w:t>
            </w:r>
          </w:p>
        </w:tc>
        <w:tc>
          <w:tcPr>
            <w:tcW w:w="555" w:type="dxa"/>
            <w:vAlign w:val="center"/>
          </w:tcPr>
          <w:p w14:paraId="74EE9A5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4BBE6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CA9B1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77A5E4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对以欺骗手段取得测绘资质证书从事测绘活动行为的处罚</w:t>
            </w:r>
          </w:p>
        </w:tc>
        <w:tc>
          <w:tcPr>
            <w:tcW w:w="660" w:type="dxa"/>
            <w:vAlign w:val="center"/>
          </w:tcPr>
          <w:p w14:paraId="4C3D2477">
            <w:pPr>
              <w:snapToGrid w:val="0"/>
              <w:spacing w:line="240" w:lineRule="atLeast"/>
              <w:jc w:val="center"/>
              <w:rPr>
                <w:rFonts w:ascii="仿宋_GB2312" w:hAnsi="仿宋_GB2312" w:eastAsia="仿宋_GB2312" w:cs="仿宋_GB2312"/>
                <w:sz w:val="20"/>
                <w:szCs w:val="20"/>
              </w:rPr>
            </w:pPr>
          </w:p>
        </w:tc>
        <w:tc>
          <w:tcPr>
            <w:tcW w:w="615" w:type="dxa"/>
            <w:vAlign w:val="center"/>
          </w:tcPr>
          <w:p w14:paraId="4C2D06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30664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3D6A8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五条第二款：以欺骗手段取得测绘资质证书从事测绘活动的，吊销测绘资质证书，没收违法所得和测绘成果，并处测绘约定报酬一倍以上二倍以下的罚款；情节严重的，没收测绘工具。</w:t>
            </w:r>
          </w:p>
          <w:p w14:paraId="21673BA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1F7CF26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以欺骗手段取得测绘资质证书从事测绘活动的情况，应及时制止（对正在实施的违法行为，下达《责令停止违法行为通知书》）,并进行审查核实，符合立案条件的予以立案。</w:t>
            </w:r>
          </w:p>
          <w:p w14:paraId="0804B9F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以欺骗手段取得测绘资质证书从事测绘活动的情况，并制作笔录。调查时允许当事人辩解陈述。执法人员应保守有关秘密。</w:t>
            </w:r>
          </w:p>
          <w:p w14:paraId="2616A50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E63D5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5F286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以欺骗手段取得测绘资质证书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4A643D6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469DC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6E419B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DAB293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591C01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6A783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C5009B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DE2D67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C60A74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6882F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A5C1D7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A845C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FC572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DAD25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D8D2F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6C6F1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9BF77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D01F3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1369C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4B5E56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41B62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F13D6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184B27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4F7307B">
            <w:pPr>
              <w:snapToGrid w:val="0"/>
              <w:spacing w:line="240" w:lineRule="atLeast"/>
              <w:jc w:val="center"/>
              <w:rPr>
                <w:rFonts w:ascii="仿宋_GB2312" w:hAnsi="仿宋_GB2312" w:eastAsia="仿宋_GB2312" w:cs="仿宋_GB2312"/>
                <w:sz w:val="20"/>
                <w:szCs w:val="20"/>
              </w:rPr>
            </w:pPr>
          </w:p>
        </w:tc>
      </w:tr>
    </w:tbl>
    <w:p w14:paraId="7AC822FD"/>
    <w:p w14:paraId="354E1B63"/>
    <w:p w14:paraId="22A3484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770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D46518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AFBD9EE">
            <w:pPr>
              <w:spacing w:line="240" w:lineRule="atLeast"/>
              <w:rPr>
                <w:rFonts w:asciiTheme="majorEastAsia" w:hAnsiTheme="majorEastAsia" w:eastAsiaTheme="majorEastAsia" w:cstheme="majorEastAsia"/>
                <w:spacing w:val="-20"/>
                <w:sz w:val="20"/>
                <w:szCs w:val="20"/>
              </w:rPr>
            </w:pPr>
          </w:p>
          <w:p w14:paraId="22D29AA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0524E8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4DE970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5E524B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51C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57CE4AA">
            <w:pPr>
              <w:spacing w:line="240" w:lineRule="atLeast"/>
              <w:jc w:val="left"/>
              <w:rPr>
                <w:rFonts w:ascii="仿宋_GB2312" w:hAnsi="仿宋_GB2312" w:eastAsia="仿宋_GB2312" w:cs="仿宋_GB2312"/>
                <w:sz w:val="20"/>
                <w:szCs w:val="20"/>
              </w:rPr>
            </w:pPr>
          </w:p>
        </w:tc>
        <w:tc>
          <w:tcPr>
            <w:tcW w:w="555" w:type="dxa"/>
            <w:vMerge w:val="continue"/>
          </w:tcPr>
          <w:p w14:paraId="7722FCFB">
            <w:pPr>
              <w:spacing w:line="240" w:lineRule="atLeast"/>
              <w:jc w:val="left"/>
              <w:rPr>
                <w:rFonts w:ascii="仿宋_GB2312" w:hAnsi="仿宋_GB2312" w:eastAsia="仿宋_GB2312" w:cs="仿宋_GB2312"/>
                <w:sz w:val="20"/>
                <w:szCs w:val="20"/>
              </w:rPr>
            </w:pPr>
          </w:p>
        </w:tc>
        <w:tc>
          <w:tcPr>
            <w:tcW w:w="784" w:type="dxa"/>
            <w:vAlign w:val="center"/>
          </w:tcPr>
          <w:p w14:paraId="4E4C883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91F741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D3CFFF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0321FF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9317B3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0712D3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6E6864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B049F4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01697F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1F86CAC">
            <w:pPr>
              <w:spacing w:line="240" w:lineRule="atLeast"/>
              <w:jc w:val="left"/>
              <w:rPr>
                <w:rFonts w:ascii="仿宋_GB2312" w:hAnsi="仿宋_GB2312" w:eastAsia="仿宋_GB2312" w:cs="仿宋_GB2312"/>
                <w:sz w:val="20"/>
                <w:szCs w:val="20"/>
              </w:rPr>
            </w:pPr>
          </w:p>
        </w:tc>
      </w:tr>
      <w:tr w14:paraId="1731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C7EC77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147</w:t>
            </w:r>
          </w:p>
        </w:tc>
        <w:tc>
          <w:tcPr>
            <w:tcW w:w="555" w:type="dxa"/>
            <w:vAlign w:val="center"/>
          </w:tcPr>
          <w:p w14:paraId="2DCE01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5D8547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1AC8E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2B6B96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对测绘单位超越资质等级许可的范围从事测绘活动行为的处罚</w:t>
            </w:r>
          </w:p>
        </w:tc>
        <w:tc>
          <w:tcPr>
            <w:tcW w:w="660" w:type="dxa"/>
            <w:vAlign w:val="center"/>
          </w:tcPr>
          <w:p w14:paraId="0305FCED">
            <w:pPr>
              <w:snapToGrid w:val="0"/>
              <w:spacing w:line="240" w:lineRule="atLeast"/>
              <w:jc w:val="center"/>
              <w:rPr>
                <w:rFonts w:ascii="仿宋_GB2312" w:hAnsi="仿宋_GB2312" w:eastAsia="仿宋_GB2312" w:cs="仿宋_GB2312"/>
                <w:sz w:val="20"/>
                <w:szCs w:val="20"/>
              </w:rPr>
            </w:pPr>
          </w:p>
        </w:tc>
        <w:tc>
          <w:tcPr>
            <w:tcW w:w="615" w:type="dxa"/>
            <w:vAlign w:val="center"/>
          </w:tcPr>
          <w:p w14:paraId="172543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8204A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53E15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五十六条第一款：违反本法规定，测绘单位有下列行为之一的，责令停止违法行为，没收违法所得和测绘成果，处测绘约定报酬一倍以上二倍以下的罚款，并可以责令停业整顿或者降低测绘资质等级；情节严重的，吊销测绘资质证书：</w:t>
            </w:r>
          </w:p>
          <w:p w14:paraId="58E0D8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（一）超越资质等级许可的范围从事测绘活动。</w:t>
            </w:r>
          </w:p>
          <w:p w14:paraId="0F82F9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p w14:paraId="4225D41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基础测绘条例》（2009年国务院第556号）第三十条：违反本条例规定，基础测绘项目承担单位超越资质等级许可的范围从事基础测绘活动的，责令停止违法行为，没收违法所得和测绘成果，处测绘约定报酬1倍以上2倍以下的罚款，并可以责令停业整顿或者降低资质等级；情节严重的，吊销测绘资质证书。</w:t>
            </w:r>
          </w:p>
        </w:tc>
        <w:tc>
          <w:tcPr>
            <w:tcW w:w="3585" w:type="dxa"/>
            <w:vAlign w:val="center"/>
          </w:tcPr>
          <w:p w14:paraId="26B4B6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超越资质等级许可的范围从事测绘活动的情况，应及时制止（对正在实施的违法行为，下达《责令停止违法行为通知书》）,并进行审查核实，符合立案条件的予以立案。</w:t>
            </w:r>
          </w:p>
          <w:p w14:paraId="77F692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2.调查责任：执法人员不得少于两人，出示证件、表明身份；通过搜集证据、现场了解核实超越资质等级许可的范围从事测绘活动的情况，并制作笔录。调查时允许当事人辩解陈述。执法人员应保守有关秘密。</w:t>
            </w:r>
          </w:p>
          <w:p w14:paraId="4C64188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C5AAB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1E1DF1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超越资质等级许可的范围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6DF6CFA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9ED90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93CAD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9D9CD1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2A6306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CBCB8C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A44268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FFBFF5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7E8A4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0C73EF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380F8B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05505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9A916F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01532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EA2FB3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D29D1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CE7D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CB41B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D1745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67F99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6BD3F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DBD52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28EE4C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EA4A15F">
            <w:pPr>
              <w:snapToGrid w:val="0"/>
              <w:spacing w:line="240" w:lineRule="atLeast"/>
              <w:jc w:val="center"/>
              <w:rPr>
                <w:rFonts w:ascii="仿宋_GB2312" w:hAnsi="仿宋_GB2312" w:eastAsia="仿宋_GB2312" w:cs="仿宋_GB2312"/>
                <w:sz w:val="20"/>
                <w:szCs w:val="20"/>
              </w:rPr>
            </w:pPr>
          </w:p>
        </w:tc>
      </w:tr>
    </w:tbl>
    <w:p w14:paraId="4184C3C0"/>
    <w:p w14:paraId="46C667E6"/>
    <w:p w14:paraId="6E15E4D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EBB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5DF9A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A83BB28">
            <w:pPr>
              <w:spacing w:line="240" w:lineRule="atLeast"/>
              <w:rPr>
                <w:rFonts w:asciiTheme="majorEastAsia" w:hAnsiTheme="majorEastAsia" w:eastAsiaTheme="majorEastAsia" w:cstheme="majorEastAsia"/>
                <w:spacing w:val="-20"/>
                <w:sz w:val="20"/>
                <w:szCs w:val="20"/>
              </w:rPr>
            </w:pPr>
          </w:p>
          <w:p w14:paraId="25E3718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8BC57E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3842F3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0C59B9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418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4F272DC">
            <w:pPr>
              <w:spacing w:line="240" w:lineRule="atLeast"/>
              <w:jc w:val="left"/>
              <w:rPr>
                <w:rFonts w:ascii="仿宋_GB2312" w:hAnsi="仿宋_GB2312" w:eastAsia="仿宋_GB2312" w:cs="仿宋_GB2312"/>
                <w:sz w:val="20"/>
                <w:szCs w:val="20"/>
              </w:rPr>
            </w:pPr>
          </w:p>
        </w:tc>
        <w:tc>
          <w:tcPr>
            <w:tcW w:w="555" w:type="dxa"/>
            <w:vMerge w:val="continue"/>
          </w:tcPr>
          <w:p w14:paraId="352AF3DA">
            <w:pPr>
              <w:spacing w:line="240" w:lineRule="atLeast"/>
              <w:jc w:val="left"/>
              <w:rPr>
                <w:rFonts w:ascii="仿宋_GB2312" w:hAnsi="仿宋_GB2312" w:eastAsia="仿宋_GB2312" w:cs="仿宋_GB2312"/>
                <w:sz w:val="20"/>
                <w:szCs w:val="20"/>
              </w:rPr>
            </w:pPr>
          </w:p>
        </w:tc>
        <w:tc>
          <w:tcPr>
            <w:tcW w:w="784" w:type="dxa"/>
            <w:vAlign w:val="center"/>
          </w:tcPr>
          <w:p w14:paraId="2C6D26C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60C590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0F4B3A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C38C8E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6612D9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AADD0F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14ED2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EBE95F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39CFC9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6E13723">
            <w:pPr>
              <w:spacing w:line="240" w:lineRule="atLeast"/>
              <w:jc w:val="left"/>
              <w:rPr>
                <w:rFonts w:ascii="仿宋_GB2312" w:hAnsi="仿宋_GB2312" w:eastAsia="仿宋_GB2312" w:cs="仿宋_GB2312"/>
                <w:sz w:val="20"/>
                <w:szCs w:val="20"/>
              </w:rPr>
            </w:pPr>
          </w:p>
        </w:tc>
      </w:tr>
      <w:tr w14:paraId="587F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20FD2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148</w:t>
            </w:r>
          </w:p>
        </w:tc>
        <w:tc>
          <w:tcPr>
            <w:tcW w:w="555" w:type="dxa"/>
            <w:vAlign w:val="center"/>
          </w:tcPr>
          <w:p w14:paraId="2877C89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1D2CAA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092F45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24E0D5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对测绘单位以其他测绘单位的名义从事测绘活动行为的处罚</w:t>
            </w:r>
          </w:p>
        </w:tc>
        <w:tc>
          <w:tcPr>
            <w:tcW w:w="660" w:type="dxa"/>
            <w:vAlign w:val="center"/>
          </w:tcPr>
          <w:p w14:paraId="493B8995">
            <w:pPr>
              <w:snapToGrid w:val="0"/>
              <w:spacing w:line="240" w:lineRule="atLeast"/>
              <w:jc w:val="center"/>
              <w:rPr>
                <w:rFonts w:ascii="仿宋_GB2312" w:hAnsi="仿宋_GB2312" w:eastAsia="仿宋_GB2312" w:cs="仿宋_GB2312"/>
                <w:sz w:val="20"/>
                <w:szCs w:val="20"/>
              </w:rPr>
            </w:pPr>
          </w:p>
        </w:tc>
        <w:tc>
          <w:tcPr>
            <w:tcW w:w="615" w:type="dxa"/>
            <w:vAlign w:val="center"/>
          </w:tcPr>
          <w:p w14:paraId="2FA8B9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059DB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BC42F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六条第二款：违反本法规定，测绘单位有下列行为之一的，责令停止违法行为，没收违法所得和测绘成果，处测绘约定报酬一倍以上二倍以下的罚款，并可以责令停业整顿或者降低测绘资质等级；情节严重的，吊销测绘资质证书：</w:t>
            </w:r>
          </w:p>
          <w:p w14:paraId="4ADC6B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（二）以其他测绘单位的名义从事测绘活动。</w:t>
            </w:r>
          </w:p>
          <w:p w14:paraId="1AE05AB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3CC20D4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以其他测绘单位的名义从事测绘活动的情况，应及时制止（对正在实施的违法行为，下达《责令停止违法行为通知书》）,并进行审查核实，符合立案条件的予以立案。</w:t>
            </w:r>
          </w:p>
          <w:p w14:paraId="1D513F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2.调查责任：执法人员不得少于两人，出示证件、表明身份；通过搜集证据、现场了解核实以其他测绘单位的名义从事测绘活动的情况，并制作笔录。调查时允许当事人辩解陈述。执法人员应保守有关秘密。</w:t>
            </w:r>
          </w:p>
          <w:p w14:paraId="2F1EE1A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E7016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A92AEE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以其他测绘单位的名义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24CE6D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56F2C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2A6C07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05BEB1C">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A29C06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F0326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994D8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F258C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05F8A8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0F7FBC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7FAF4E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471E7B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7A4F4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118E0B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DE5F2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73564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FFA45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BC130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E93FE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433A4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07A4E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034E9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E58A30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D8A7797">
            <w:pPr>
              <w:snapToGrid w:val="0"/>
              <w:spacing w:line="240" w:lineRule="atLeast"/>
              <w:jc w:val="center"/>
              <w:rPr>
                <w:rFonts w:ascii="仿宋_GB2312" w:hAnsi="仿宋_GB2312" w:eastAsia="仿宋_GB2312" w:cs="仿宋_GB2312"/>
                <w:sz w:val="20"/>
                <w:szCs w:val="20"/>
              </w:rPr>
            </w:pPr>
          </w:p>
        </w:tc>
      </w:tr>
    </w:tbl>
    <w:p w14:paraId="70BF237B"/>
    <w:p w14:paraId="579FD6B6"/>
    <w:p w14:paraId="13A76C1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975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AD9816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8385AAB">
            <w:pPr>
              <w:spacing w:line="240" w:lineRule="atLeast"/>
              <w:rPr>
                <w:rFonts w:asciiTheme="majorEastAsia" w:hAnsiTheme="majorEastAsia" w:eastAsiaTheme="majorEastAsia" w:cstheme="majorEastAsia"/>
                <w:spacing w:val="-20"/>
                <w:sz w:val="20"/>
                <w:szCs w:val="20"/>
              </w:rPr>
            </w:pPr>
          </w:p>
          <w:p w14:paraId="3FB13BF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0C9141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7B3FE8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724ED0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756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E59FAA0">
            <w:pPr>
              <w:spacing w:line="240" w:lineRule="atLeast"/>
              <w:jc w:val="left"/>
              <w:rPr>
                <w:rFonts w:ascii="仿宋_GB2312" w:hAnsi="仿宋_GB2312" w:eastAsia="仿宋_GB2312" w:cs="仿宋_GB2312"/>
                <w:sz w:val="20"/>
                <w:szCs w:val="20"/>
              </w:rPr>
            </w:pPr>
          </w:p>
        </w:tc>
        <w:tc>
          <w:tcPr>
            <w:tcW w:w="555" w:type="dxa"/>
            <w:vMerge w:val="continue"/>
          </w:tcPr>
          <w:p w14:paraId="68348F48">
            <w:pPr>
              <w:spacing w:line="240" w:lineRule="atLeast"/>
              <w:jc w:val="left"/>
              <w:rPr>
                <w:rFonts w:ascii="仿宋_GB2312" w:hAnsi="仿宋_GB2312" w:eastAsia="仿宋_GB2312" w:cs="仿宋_GB2312"/>
                <w:sz w:val="20"/>
                <w:szCs w:val="20"/>
              </w:rPr>
            </w:pPr>
          </w:p>
        </w:tc>
        <w:tc>
          <w:tcPr>
            <w:tcW w:w="784" w:type="dxa"/>
            <w:vAlign w:val="center"/>
          </w:tcPr>
          <w:p w14:paraId="0B85826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8BC63E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26D638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9796DD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42C759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D644E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1DF633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280DBF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88CDED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20596FD">
            <w:pPr>
              <w:spacing w:line="240" w:lineRule="atLeast"/>
              <w:jc w:val="left"/>
              <w:rPr>
                <w:rFonts w:ascii="仿宋_GB2312" w:hAnsi="仿宋_GB2312" w:eastAsia="仿宋_GB2312" w:cs="仿宋_GB2312"/>
                <w:sz w:val="20"/>
                <w:szCs w:val="20"/>
              </w:rPr>
            </w:pPr>
          </w:p>
        </w:tc>
      </w:tr>
      <w:tr w14:paraId="2075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648258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149</w:t>
            </w:r>
          </w:p>
        </w:tc>
        <w:tc>
          <w:tcPr>
            <w:tcW w:w="555" w:type="dxa"/>
            <w:vAlign w:val="center"/>
          </w:tcPr>
          <w:p w14:paraId="211005F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D3888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0139D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C892A7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对测绘单位允许其他单位以本单位的名义从事测绘活动行为的处罚</w:t>
            </w:r>
          </w:p>
        </w:tc>
        <w:tc>
          <w:tcPr>
            <w:tcW w:w="660" w:type="dxa"/>
            <w:vAlign w:val="center"/>
          </w:tcPr>
          <w:p w14:paraId="1FFB645F">
            <w:pPr>
              <w:snapToGrid w:val="0"/>
              <w:spacing w:line="240" w:lineRule="atLeast"/>
              <w:jc w:val="center"/>
              <w:rPr>
                <w:rFonts w:ascii="仿宋_GB2312" w:hAnsi="仿宋_GB2312" w:eastAsia="仿宋_GB2312" w:cs="仿宋_GB2312"/>
                <w:sz w:val="20"/>
                <w:szCs w:val="20"/>
              </w:rPr>
            </w:pPr>
          </w:p>
        </w:tc>
        <w:tc>
          <w:tcPr>
            <w:tcW w:w="615" w:type="dxa"/>
            <w:vAlign w:val="center"/>
          </w:tcPr>
          <w:p w14:paraId="31B6AB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3D2363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57BD8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六条第三款：违反本法规定，测绘单位有下列行为之一的，责令停止违法行为，没收违法所得和测绘成果，处测绘约定报酬一倍以上二倍以下的罚款，并可以责令停业整顿或者降低测绘资质等级；情节严重的，吊销测绘资质证书：</w:t>
            </w:r>
          </w:p>
          <w:p w14:paraId="1704DB1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（三）允许其他单位以本单位的名义从事测绘活动。</w:t>
            </w:r>
          </w:p>
          <w:p w14:paraId="6CE694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50C2D3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允许其他单位以本单位的名义从事测绘活动的情况，应及时制止（对正在实施的违法行为，下达《责令停止违法行为通知书》）,并进行审查核实，符合立案条件的予以立案。</w:t>
            </w:r>
          </w:p>
          <w:p w14:paraId="228ED7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允许其他单位以本单位的名义从事测绘活动的情况，并制作笔录。调查时允许当事人辩解陈述。执法人员应保守有关秘密。</w:t>
            </w:r>
          </w:p>
          <w:p w14:paraId="11F1D2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016C8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2B13F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允许其他单位以本单位的名义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5ECC7A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FB323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497C88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825996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D6ACC29">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0E5F0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CC8C91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6BB644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4E6051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08E4AB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513FCA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E8542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A06A0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E0B95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F6B73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E4897E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CE07E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2EAC4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B8D25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15DE9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7EB2B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78667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0BD696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20A86E0">
            <w:pPr>
              <w:snapToGrid w:val="0"/>
              <w:spacing w:line="240" w:lineRule="atLeast"/>
              <w:jc w:val="center"/>
              <w:rPr>
                <w:rFonts w:ascii="仿宋_GB2312" w:hAnsi="仿宋_GB2312" w:eastAsia="仿宋_GB2312" w:cs="仿宋_GB2312"/>
                <w:sz w:val="20"/>
                <w:szCs w:val="20"/>
              </w:rPr>
            </w:pPr>
          </w:p>
        </w:tc>
      </w:tr>
    </w:tbl>
    <w:p w14:paraId="5AD5974E"/>
    <w:p w14:paraId="70A9FC13"/>
    <w:p w14:paraId="6BB9E42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E43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77E2A5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96F38E6">
            <w:pPr>
              <w:spacing w:line="240" w:lineRule="atLeast"/>
              <w:rPr>
                <w:rFonts w:asciiTheme="majorEastAsia" w:hAnsiTheme="majorEastAsia" w:eastAsiaTheme="majorEastAsia" w:cstheme="majorEastAsia"/>
                <w:spacing w:val="-20"/>
                <w:sz w:val="20"/>
                <w:szCs w:val="20"/>
              </w:rPr>
            </w:pPr>
          </w:p>
          <w:p w14:paraId="672FD8F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AD5626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6F7141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3B84B2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4C9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622D8BA">
            <w:pPr>
              <w:spacing w:line="240" w:lineRule="atLeast"/>
              <w:jc w:val="left"/>
              <w:rPr>
                <w:rFonts w:ascii="仿宋_GB2312" w:hAnsi="仿宋_GB2312" w:eastAsia="仿宋_GB2312" w:cs="仿宋_GB2312"/>
                <w:sz w:val="20"/>
                <w:szCs w:val="20"/>
              </w:rPr>
            </w:pPr>
          </w:p>
        </w:tc>
        <w:tc>
          <w:tcPr>
            <w:tcW w:w="555" w:type="dxa"/>
            <w:vMerge w:val="continue"/>
          </w:tcPr>
          <w:p w14:paraId="2AD6EE75">
            <w:pPr>
              <w:spacing w:line="240" w:lineRule="atLeast"/>
              <w:jc w:val="left"/>
              <w:rPr>
                <w:rFonts w:ascii="仿宋_GB2312" w:hAnsi="仿宋_GB2312" w:eastAsia="仿宋_GB2312" w:cs="仿宋_GB2312"/>
                <w:sz w:val="20"/>
                <w:szCs w:val="20"/>
              </w:rPr>
            </w:pPr>
          </w:p>
        </w:tc>
        <w:tc>
          <w:tcPr>
            <w:tcW w:w="784" w:type="dxa"/>
            <w:vAlign w:val="center"/>
          </w:tcPr>
          <w:p w14:paraId="37596F1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2F4232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2CF529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C90ADA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A460C2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9DCBF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1DDFF1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61A05A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27EA8D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AB2239A">
            <w:pPr>
              <w:spacing w:line="240" w:lineRule="atLeast"/>
              <w:jc w:val="left"/>
              <w:rPr>
                <w:rFonts w:ascii="仿宋_GB2312" w:hAnsi="仿宋_GB2312" w:eastAsia="仿宋_GB2312" w:cs="仿宋_GB2312"/>
                <w:sz w:val="20"/>
                <w:szCs w:val="20"/>
              </w:rPr>
            </w:pPr>
          </w:p>
        </w:tc>
      </w:tr>
      <w:tr w14:paraId="2364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A8BF6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150</w:t>
            </w:r>
          </w:p>
        </w:tc>
        <w:tc>
          <w:tcPr>
            <w:tcW w:w="555" w:type="dxa"/>
            <w:vAlign w:val="center"/>
          </w:tcPr>
          <w:p w14:paraId="6401C1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929CB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859E5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E67467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对测绘资质单位的名称、注册地址或者法定代表人发生变化未及时申请变更行为的处罚</w:t>
            </w:r>
          </w:p>
        </w:tc>
        <w:tc>
          <w:tcPr>
            <w:tcW w:w="660" w:type="dxa"/>
            <w:vAlign w:val="center"/>
          </w:tcPr>
          <w:p w14:paraId="516F2E87">
            <w:pPr>
              <w:snapToGrid w:val="0"/>
              <w:spacing w:line="240" w:lineRule="atLeast"/>
              <w:jc w:val="center"/>
              <w:rPr>
                <w:rFonts w:ascii="仿宋_GB2312" w:hAnsi="仿宋_GB2312" w:eastAsia="仿宋_GB2312" w:cs="仿宋_GB2312"/>
                <w:sz w:val="20"/>
                <w:szCs w:val="20"/>
              </w:rPr>
            </w:pPr>
          </w:p>
        </w:tc>
        <w:tc>
          <w:tcPr>
            <w:tcW w:w="615" w:type="dxa"/>
            <w:vAlign w:val="center"/>
          </w:tcPr>
          <w:p w14:paraId="088555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A4BC9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D9B07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议第二次修订）第十九条：测绘资质单位的名称、注册地址、法定代表人发生变更的，应当在有关部门核准完成变更后三十日内，向测绘资质审批机关申请变更登记。</w:t>
            </w:r>
          </w:p>
          <w:p w14:paraId="5EEE334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二条：违反本条例第十九条规定，测绘资质单位的名称、注册地址或者法定代表人发生变化未及时申请变更的，由县级以上人民政府测绘地理信息主管部门给予警告，责令限期改正；逾期不改正的，处五千元以上五万元以下的罚款。</w:t>
            </w:r>
          </w:p>
        </w:tc>
        <w:tc>
          <w:tcPr>
            <w:tcW w:w="3585" w:type="dxa"/>
            <w:vAlign w:val="center"/>
          </w:tcPr>
          <w:p w14:paraId="46531E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资质单位的名称、注册地址或者法定代表人发生变化未及时申请变更的情况，应及时制止（对正在实施的违法行为，下达《责令停止违法行为通知书》）,并进行审查核实，符合立案条件的予以立案。</w:t>
            </w:r>
          </w:p>
          <w:p w14:paraId="2BDA22F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2.调查责任：执法人员不得少于两人，出示证件、表明身份；通过搜集证据、现场了解核实测绘资质单位的名称、注册地址或者法定代表人发生变化未及时申请变更的情况，并制作笔录。</w:t>
            </w:r>
          </w:p>
          <w:p w14:paraId="2A0B4D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3.审查责任：对调查结果进行审核；提出是否给予当事人处罚和给予何种处罚的意见。调查时允许当事人辩解陈述。执法人员应保守有关秘密。</w:t>
            </w:r>
          </w:p>
          <w:p w14:paraId="2C4524C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28254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资质单位的名称、注册地址或者法定代表人发生变化未及时申请变更的事实进行认定，依法制作《行政处罚决定书》，载明违反法律法规或规章的事实和证据、行政处罚的具体依据和内容，告知当事人陈述申辩或者听证情况等内容，告知申请行政复议或提起行政诉讼的权利。</w:t>
            </w:r>
          </w:p>
          <w:p w14:paraId="6051E2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35F112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7．执行责任：依照生效的行政处罚决定，监督当事人履行。当事人逾期不履行行政处罚决定的，申请人民法院强制执行，或向当事人单位、上级主管部门通报，或向社会通报，或停办相关审批手续等。</w:t>
            </w:r>
          </w:p>
          <w:p w14:paraId="7610D3C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76FA6E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E7598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12030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D24CA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A53C2B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61938E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2BE359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4651FE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78F26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F20A7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A5E20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1C844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2E8349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C30A68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CE54A9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29D30F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865F3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71569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ECB854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042639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E035E7B">
            <w:pPr>
              <w:snapToGrid w:val="0"/>
              <w:spacing w:line="240" w:lineRule="atLeast"/>
              <w:jc w:val="center"/>
              <w:rPr>
                <w:rFonts w:ascii="仿宋_GB2312" w:hAnsi="仿宋_GB2312" w:eastAsia="仿宋_GB2312" w:cs="仿宋_GB2312"/>
                <w:sz w:val="20"/>
                <w:szCs w:val="20"/>
              </w:rPr>
            </w:pPr>
          </w:p>
        </w:tc>
      </w:tr>
    </w:tbl>
    <w:p w14:paraId="0820D893"/>
    <w:p w14:paraId="7D4CEA5F"/>
    <w:p w14:paraId="39E7B1F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C37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D394D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FB57F7C">
            <w:pPr>
              <w:spacing w:line="240" w:lineRule="atLeast"/>
              <w:rPr>
                <w:rFonts w:asciiTheme="majorEastAsia" w:hAnsiTheme="majorEastAsia" w:eastAsiaTheme="majorEastAsia" w:cstheme="majorEastAsia"/>
                <w:spacing w:val="-20"/>
                <w:sz w:val="20"/>
                <w:szCs w:val="20"/>
              </w:rPr>
            </w:pPr>
          </w:p>
          <w:p w14:paraId="4C2A34A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1C2FB0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D4A0D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E410C5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2EF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76B77A2">
            <w:pPr>
              <w:spacing w:line="240" w:lineRule="atLeast"/>
              <w:jc w:val="left"/>
              <w:rPr>
                <w:rFonts w:ascii="仿宋_GB2312" w:hAnsi="仿宋_GB2312" w:eastAsia="仿宋_GB2312" w:cs="仿宋_GB2312"/>
                <w:sz w:val="20"/>
                <w:szCs w:val="20"/>
              </w:rPr>
            </w:pPr>
          </w:p>
        </w:tc>
        <w:tc>
          <w:tcPr>
            <w:tcW w:w="555" w:type="dxa"/>
            <w:vMerge w:val="continue"/>
          </w:tcPr>
          <w:p w14:paraId="22148B5D">
            <w:pPr>
              <w:spacing w:line="240" w:lineRule="atLeast"/>
              <w:jc w:val="left"/>
              <w:rPr>
                <w:rFonts w:ascii="仿宋_GB2312" w:hAnsi="仿宋_GB2312" w:eastAsia="仿宋_GB2312" w:cs="仿宋_GB2312"/>
                <w:sz w:val="20"/>
                <w:szCs w:val="20"/>
              </w:rPr>
            </w:pPr>
          </w:p>
        </w:tc>
        <w:tc>
          <w:tcPr>
            <w:tcW w:w="784" w:type="dxa"/>
            <w:vAlign w:val="center"/>
          </w:tcPr>
          <w:p w14:paraId="26030ED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211467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1FF2B0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45D5E7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4EC3DA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B45DB4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A73233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42D4C1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2E3506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D3264F7">
            <w:pPr>
              <w:spacing w:line="240" w:lineRule="atLeast"/>
              <w:jc w:val="left"/>
              <w:rPr>
                <w:rFonts w:ascii="仿宋_GB2312" w:hAnsi="仿宋_GB2312" w:eastAsia="仿宋_GB2312" w:cs="仿宋_GB2312"/>
                <w:sz w:val="20"/>
                <w:szCs w:val="20"/>
              </w:rPr>
            </w:pPr>
          </w:p>
        </w:tc>
      </w:tr>
      <w:tr w14:paraId="56AA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2F50D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151</w:t>
            </w:r>
          </w:p>
        </w:tc>
        <w:tc>
          <w:tcPr>
            <w:tcW w:w="555" w:type="dxa"/>
            <w:vAlign w:val="center"/>
          </w:tcPr>
          <w:p w14:paraId="693218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DAC96B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93F69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2A3665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对测绘项目的招标单位让不具有相应资质等级的测绘单位中标，或者让测绘单位低于测绘成本中标行为的处罚</w:t>
            </w:r>
          </w:p>
        </w:tc>
        <w:tc>
          <w:tcPr>
            <w:tcW w:w="660" w:type="dxa"/>
            <w:vAlign w:val="center"/>
          </w:tcPr>
          <w:p w14:paraId="2205B928">
            <w:pPr>
              <w:snapToGrid w:val="0"/>
              <w:spacing w:line="240" w:lineRule="atLeast"/>
              <w:jc w:val="center"/>
              <w:rPr>
                <w:rFonts w:ascii="仿宋_GB2312" w:hAnsi="仿宋_GB2312" w:eastAsia="仿宋_GB2312" w:cs="仿宋_GB2312"/>
                <w:sz w:val="20"/>
                <w:szCs w:val="20"/>
              </w:rPr>
            </w:pPr>
          </w:p>
        </w:tc>
        <w:tc>
          <w:tcPr>
            <w:tcW w:w="615" w:type="dxa"/>
            <w:vAlign w:val="center"/>
          </w:tcPr>
          <w:p w14:paraId="4C78AE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2F839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A33FD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七条：违反本法规定，测绘项目的招标单位让不具有相应资质等级的测绘单位中标，或者让测绘单位低于测绘成本中标的，责令改正，可以处测绘约定报酬二倍以下的罚款。招标单位的工作人员利用职务上的便利，索取他人财物，或者非法收受他人财物为他人谋取利益的，依法给予处分；构成犯罪的，依法追究刑事责任。</w:t>
            </w:r>
          </w:p>
          <w:p w14:paraId="3FC586B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687EA7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项目的招标单位让不具有相应资质等级的测绘单位中标，或者让测绘单位低于测绘成本中标的情况，应及时制止（对正在实施的违法行为，下达《责令停止违法行为通知书》）,并进行审查核实，符合立案条件的予以立案。</w:t>
            </w:r>
          </w:p>
          <w:p w14:paraId="2E9BEB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项目的招标单位让不具有相应资质等级的测绘单位中标，或者让测绘单位低于测绘成本中标的情况，并制作笔录。调查时允许当事人辩解陈述。执法人员应保守有关秘密。</w:t>
            </w:r>
          </w:p>
          <w:p w14:paraId="01E9D48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07177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ED0F5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项目的招标单位让不具有相应资质等级的测绘单位中标，或者让测绘单位低于测绘成本中标的事实进行认定，依法制作《行政处罚决定书》，载明违反法律法规或规章的事实和证据、行政处罚的具体依据和内容，告知当事人陈述申辩或者听证情况等内容，告知申请行政复议或提起行政诉讼的权利。</w:t>
            </w:r>
          </w:p>
          <w:p w14:paraId="53AAD9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B5285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7370FE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1B6357A">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72C2A5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D27C3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9ABF6E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540472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1B2BE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233816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C129ECE">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64432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64BC0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8C5B17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5668A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DEF26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9DB24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75365D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125FF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60E0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907D9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993A2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9FF4B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2848BDC">
            <w:pPr>
              <w:snapToGrid w:val="0"/>
              <w:spacing w:line="240" w:lineRule="atLeast"/>
              <w:jc w:val="center"/>
              <w:rPr>
                <w:rFonts w:ascii="仿宋_GB2312" w:hAnsi="仿宋_GB2312" w:eastAsia="仿宋_GB2312" w:cs="仿宋_GB2312"/>
                <w:sz w:val="20"/>
                <w:szCs w:val="20"/>
              </w:rPr>
            </w:pPr>
          </w:p>
        </w:tc>
      </w:tr>
    </w:tbl>
    <w:p w14:paraId="761E5FBC"/>
    <w:p w14:paraId="04E3C03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67C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182667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CDA65A1">
            <w:pPr>
              <w:spacing w:line="240" w:lineRule="atLeast"/>
              <w:rPr>
                <w:rFonts w:asciiTheme="majorEastAsia" w:hAnsiTheme="majorEastAsia" w:eastAsiaTheme="majorEastAsia" w:cstheme="majorEastAsia"/>
                <w:spacing w:val="-20"/>
                <w:sz w:val="20"/>
                <w:szCs w:val="20"/>
              </w:rPr>
            </w:pPr>
          </w:p>
          <w:p w14:paraId="3D8B65C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3E59B5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3A041E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4B6A2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A21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FDFB6DD">
            <w:pPr>
              <w:spacing w:line="240" w:lineRule="atLeast"/>
              <w:jc w:val="left"/>
              <w:rPr>
                <w:rFonts w:ascii="仿宋_GB2312" w:hAnsi="仿宋_GB2312" w:eastAsia="仿宋_GB2312" w:cs="仿宋_GB2312"/>
                <w:sz w:val="20"/>
                <w:szCs w:val="20"/>
              </w:rPr>
            </w:pPr>
          </w:p>
        </w:tc>
        <w:tc>
          <w:tcPr>
            <w:tcW w:w="555" w:type="dxa"/>
            <w:vMerge w:val="continue"/>
          </w:tcPr>
          <w:p w14:paraId="7FE05EBC">
            <w:pPr>
              <w:spacing w:line="240" w:lineRule="atLeast"/>
              <w:jc w:val="left"/>
              <w:rPr>
                <w:rFonts w:ascii="仿宋_GB2312" w:hAnsi="仿宋_GB2312" w:eastAsia="仿宋_GB2312" w:cs="仿宋_GB2312"/>
                <w:sz w:val="20"/>
                <w:szCs w:val="20"/>
              </w:rPr>
            </w:pPr>
          </w:p>
        </w:tc>
        <w:tc>
          <w:tcPr>
            <w:tcW w:w="784" w:type="dxa"/>
            <w:vAlign w:val="center"/>
          </w:tcPr>
          <w:p w14:paraId="56CEC40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592D6B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D4C58C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AD67A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11655C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649F9E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CA97B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9C278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1C77FC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71B34E4">
            <w:pPr>
              <w:spacing w:line="240" w:lineRule="atLeast"/>
              <w:jc w:val="left"/>
              <w:rPr>
                <w:rFonts w:ascii="仿宋_GB2312" w:hAnsi="仿宋_GB2312" w:eastAsia="仿宋_GB2312" w:cs="仿宋_GB2312"/>
                <w:sz w:val="20"/>
                <w:szCs w:val="20"/>
              </w:rPr>
            </w:pPr>
          </w:p>
        </w:tc>
      </w:tr>
      <w:tr w14:paraId="35DA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07DF6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152</w:t>
            </w:r>
          </w:p>
        </w:tc>
        <w:tc>
          <w:tcPr>
            <w:tcW w:w="555" w:type="dxa"/>
            <w:vAlign w:val="center"/>
          </w:tcPr>
          <w:p w14:paraId="476416B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64F54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EE531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965FEE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对中标的测绘单位向他人转让测绘项目行为的处罚</w:t>
            </w:r>
          </w:p>
        </w:tc>
        <w:tc>
          <w:tcPr>
            <w:tcW w:w="660" w:type="dxa"/>
            <w:vAlign w:val="center"/>
          </w:tcPr>
          <w:p w14:paraId="4EB3385E">
            <w:pPr>
              <w:snapToGrid w:val="0"/>
              <w:spacing w:line="240" w:lineRule="atLeast"/>
              <w:jc w:val="center"/>
              <w:rPr>
                <w:rFonts w:ascii="仿宋_GB2312" w:hAnsi="仿宋_GB2312" w:eastAsia="仿宋_GB2312" w:cs="仿宋_GB2312"/>
                <w:sz w:val="20"/>
                <w:szCs w:val="20"/>
              </w:rPr>
            </w:pPr>
          </w:p>
        </w:tc>
        <w:tc>
          <w:tcPr>
            <w:tcW w:w="615" w:type="dxa"/>
            <w:vAlign w:val="center"/>
          </w:tcPr>
          <w:p w14:paraId="2AC396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4D43DF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944AEE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八条：违反本法规定，中标的测绘单位向他人转让测绘项目的，责令改正，没收违法所得，处测绘约定报酬一倍以上二倍以下的罚款，并可以责令停业整顿或者降低测绘资质等级；情节严重的，吊销测绘资质证书。</w:t>
            </w:r>
          </w:p>
          <w:p w14:paraId="084E36C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273D4A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中标的测绘单位向他人转让测绘项目的情况，应及时制止（对正在实施的违法行为，下达《责令停止违法行为通知书》）,并进行审查核实，符合立案条件的予以立案。</w:t>
            </w:r>
          </w:p>
          <w:p w14:paraId="1C4F20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2.调查责任：执法人员不得少于两人，出示证件、表明身份；通过搜集证据、现场了解核实中标的测绘单位向他人转让测绘项目的情况，并制作笔录。调查时允许当事人辩解陈述。执法人员应保守有关秘密。</w:t>
            </w:r>
          </w:p>
          <w:p w14:paraId="28FECB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135587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8344A4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中标的测绘单位向他人转让测绘项目的事实进行认定，依法制作《行政处罚决定书》，载明违反法律法规或规章的事实和证据、行政处罚的具体依据和内容，告知当事人陈述申辩或者听证情况等内容，告知申请行政复议或提起行政诉讼的权利。</w:t>
            </w:r>
          </w:p>
          <w:p w14:paraId="3C9D45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97E25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61EA8C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2F204AE">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7D4125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0C4FF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A52F5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D25405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2FE22C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CC4378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00DF8A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7B68E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3FD82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459DC0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A638E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5C601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E77ED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0EB041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7E91B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80660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0C54B0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B7372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41D65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38D9AC8">
            <w:pPr>
              <w:snapToGrid w:val="0"/>
              <w:spacing w:line="240" w:lineRule="atLeast"/>
              <w:jc w:val="center"/>
              <w:rPr>
                <w:rFonts w:ascii="仿宋_GB2312" w:hAnsi="仿宋_GB2312" w:eastAsia="仿宋_GB2312" w:cs="仿宋_GB2312"/>
                <w:sz w:val="20"/>
                <w:szCs w:val="20"/>
              </w:rPr>
            </w:pPr>
          </w:p>
        </w:tc>
      </w:tr>
    </w:tbl>
    <w:p w14:paraId="6D399E9B"/>
    <w:p w14:paraId="2D04B221"/>
    <w:p w14:paraId="79A0597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EFD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8E9975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1C85AF1">
            <w:pPr>
              <w:spacing w:line="240" w:lineRule="atLeast"/>
              <w:rPr>
                <w:rFonts w:asciiTheme="majorEastAsia" w:hAnsiTheme="majorEastAsia" w:eastAsiaTheme="majorEastAsia" w:cstheme="majorEastAsia"/>
                <w:spacing w:val="-20"/>
                <w:sz w:val="20"/>
                <w:szCs w:val="20"/>
              </w:rPr>
            </w:pPr>
          </w:p>
          <w:p w14:paraId="72C228F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D5C487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BEC914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0DD686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99D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5D4654B">
            <w:pPr>
              <w:spacing w:line="240" w:lineRule="atLeast"/>
              <w:jc w:val="left"/>
              <w:rPr>
                <w:rFonts w:ascii="仿宋_GB2312" w:hAnsi="仿宋_GB2312" w:eastAsia="仿宋_GB2312" w:cs="仿宋_GB2312"/>
                <w:sz w:val="20"/>
                <w:szCs w:val="20"/>
              </w:rPr>
            </w:pPr>
          </w:p>
        </w:tc>
        <w:tc>
          <w:tcPr>
            <w:tcW w:w="555" w:type="dxa"/>
            <w:vMerge w:val="continue"/>
          </w:tcPr>
          <w:p w14:paraId="6B08C637">
            <w:pPr>
              <w:spacing w:line="240" w:lineRule="atLeast"/>
              <w:jc w:val="left"/>
              <w:rPr>
                <w:rFonts w:ascii="仿宋_GB2312" w:hAnsi="仿宋_GB2312" w:eastAsia="仿宋_GB2312" w:cs="仿宋_GB2312"/>
                <w:sz w:val="20"/>
                <w:szCs w:val="20"/>
              </w:rPr>
            </w:pPr>
          </w:p>
        </w:tc>
        <w:tc>
          <w:tcPr>
            <w:tcW w:w="784" w:type="dxa"/>
            <w:vAlign w:val="center"/>
          </w:tcPr>
          <w:p w14:paraId="7FB7D3E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FDCC69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572632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62FA16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D87FF6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DEEE96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BB258F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C860F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30A1E4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265046C">
            <w:pPr>
              <w:spacing w:line="240" w:lineRule="atLeast"/>
              <w:jc w:val="left"/>
              <w:rPr>
                <w:rFonts w:ascii="仿宋_GB2312" w:hAnsi="仿宋_GB2312" w:eastAsia="仿宋_GB2312" w:cs="仿宋_GB2312"/>
                <w:sz w:val="20"/>
                <w:szCs w:val="20"/>
              </w:rPr>
            </w:pPr>
          </w:p>
        </w:tc>
      </w:tr>
      <w:tr w14:paraId="1638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582CD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153</w:t>
            </w:r>
          </w:p>
        </w:tc>
        <w:tc>
          <w:tcPr>
            <w:tcW w:w="555" w:type="dxa"/>
            <w:vAlign w:val="center"/>
          </w:tcPr>
          <w:p w14:paraId="7EDBE6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01DC3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53609D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FD61F5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对未取得测绘执业资格，擅自从事测绘活动行为的处罚</w:t>
            </w:r>
          </w:p>
        </w:tc>
        <w:tc>
          <w:tcPr>
            <w:tcW w:w="660" w:type="dxa"/>
            <w:vAlign w:val="center"/>
          </w:tcPr>
          <w:p w14:paraId="1461B728">
            <w:pPr>
              <w:snapToGrid w:val="0"/>
              <w:spacing w:line="240" w:lineRule="atLeast"/>
              <w:jc w:val="center"/>
              <w:rPr>
                <w:rFonts w:ascii="仿宋_GB2312" w:hAnsi="仿宋_GB2312" w:eastAsia="仿宋_GB2312" w:cs="仿宋_GB2312"/>
                <w:sz w:val="20"/>
                <w:szCs w:val="20"/>
              </w:rPr>
            </w:pPr>
          </w:p>
        </w:tc>
        <w:tc>
          <w:tcPr>
            <w:tcW w:w="615" w:type="dxa"/>
            <w:vAlign w:val="center"/>
          </w:tcPr>
          <w:p w14:paraId="0008B8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5D0DBD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03284F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五十九条：违反本法规定，未取得测绘执业资格，擅自从事测绘活动的，责令停止违法行为，没收违法所得和测绘成果，对其所在单位可以处违法所得二倍以下的罚款；情节严重的，没收测绘工具；造成损失的，依法承担赔偿责任。</w:t>
            </w:r>
          </w:p>
          <w:p w14:paraId="682A6FE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07E589B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取得测绘执业资格，擅自从事测绘活动的情况，应及时制止（对正在实施的违法行为，下达《责令停止违法行为通知书》）,并进行审查核实，符合立案条件的予以立案。</w:t>
            </w:r>
          </w:p>
          <w:p w14:paraId="02D2DA9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2.调查责任：执法人员不得少于两人，出示证件、表明身份；通过搜集证据、现场了解核实未取得测绘执业资格，擅自从事测绘活动的情况，并制作笔录。调查时允许当事人辩解陈述。执法人员应保守有关秘密。</w:t>
            </w:r>
          </w:p>
          <w:p w14:paraId="43C34F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5E79B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0CAEF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未取得测绘执业资格，擅自从事测绘活动的事实进行认定，依法制作《行政处罚决定书》，载明违反法律法规或规章的事实和证据、行政处罚的具体依据和内容，告知当事人陈述申辩或者听证情况等内容，告知申请行政复议或提起行政诉讼的权利。</w:t>
            </w:r>
          </w:p>
          <w:p w14:paraId="269B8D7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170AE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6D9720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D74A38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28152A16">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B0C05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8D1EF2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644320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4EF0B7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7E1F4D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76834D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F88EC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0BFD38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90D2C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052457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F25F7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DA19D4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FA8DA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E2C0E4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361605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DA3FDE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458CB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039024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E544027">
            <w:pPr>
              <w:snapToGrid w:val="0"/>
              <w:spacing w:line="240" w:lineRule="atLeast"/>
              <w:jc w:val="center"/>
              <w:rPr>
                <w:rFonts w:ascii="仿宋_GB2312" w:hAnsi="仿宋_GB2312" w:eastAsia="仿宋_GB2312" w:cs="仿宋_GB2312"/>
                <w:sz w:val="20"/>
                <w:szCs w:val="20"/>
              </w:rPr>
            </w:pPr>
          </w:p>
        </w:tc>
      </w:tr>
    </w:tbl>
    <w:p w14:paraId="78BCB400"/>
    <w:p w14:paraId="73B4D2F8"/>
    <w:p w14:paraId="0105439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994"/>
        <w:gridCol w:w="615"/>
        <w:gridCol w:w="630"/>
        <w:gridCol w:w="1155"/>
        <w:gridCol w:w="4380"/>
        <w:gridCol w:w="3585"/>
        <w:gridCol w:w="9515"/>
        <w:gridCol w:w="330"/>
      </w:tblGrid>
      <w:tr w14:paraId="5EE2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970770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11B92EA">
            <w:pPr>
              <w:spacing w:line="240" w:lineRule="atLeast"/>
              <w:rPr>
                <w:rFonts w:asciiTheme="majorEastAsia" w:hAnsiTheme="majorEastAsia" w:eastAsiaTheme="majorEastAsia" w:cstheme="majorEastAsia"/>
                <w:spacing w:val="-20"/>
                <w:sz w:val="20"/>
                <w:szCs w:val="20"/>
              </w:rPr>
            </w:pPr>
          </w:p>
          <w:p w14:paraId="6F3D265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EE37A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E01B06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978144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5A3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16DEA14">
            <w:pPr>
              <w:spacing w:line="240" w:lineRule="atLeast"/>
              <w:jc w:val="left"/>
              <w:rPr>
                <w:rFonts w:ascii="仿宋_GB2312" w:hAnsi="仿宋_GB2312" w:eastAsia="仿宋_GB2312" w:cs="仿宋_GB2312"/>
                <w:sz w:val="20"/>
                <w:szCs w:val="20"/>
              </w:rPr>
            </w:pPr>
          </w:p>
        </w:tc>
        <w:tc>
          <w:tcPr>
            <w:tcW w:w="555" w:type="dxa"/>
            <w:vMerge w:val="continue"/>
          </w:tcPr>
          <w:p w14:paraId="73618F24">
            <w:pPr>
              <w:spacing w:line="240" w:lineRule="atLeast"/>
              <w:jc w:val="left"/>
              <w:rPr>
                <w:rFonts w:ascii="仿宋_GB2312" w:hAnsi="仿宋_GB2312" w:eastAsia="仿宋_GB2312" w:cs="仿宋_GB2312"/>
                <w:sz w:val="20"/>
                <w:szCs w:val="20"/>
              </w:rPr>
            </w:pPr>
          </w:p>
        </w:tc>
        <w:tc>
          <w:tcPr>
            <w:tcW w:w="994" w:type="dxa"/>
            <w:vAlign w:val="center"/>
          </w:tcPr>
          <w:p w14:paraId="50BF562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D3D3F8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15" w:type="dxa"/>
            <w:vAlign w:val="center"/>
          </w:tcPr>
          <w:p w14:paraId="787BE72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30" w:type="dxa"/>
            <w:vAlign w:val="center"/>
          </w:tcPr>
          <w:p w14:paraId="004E11A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55" w:type="dxa"/>
            <w:vAlign w:val="center"/>
          </w:tcPr>
          <w:p w14:paraId="1D5167D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380" w:type="dxa"/>
            <w:vAlign w:val="center"/>
          </w:tcPr>
          <w:p w14:paraId="459144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ADBBB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A0AB18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F32B24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BFA1D94">
            <w:pPr>
              <w:spacing w:line="240" w:lineRule="atLeast"/>
              <w:jc w:val="left"/>
              <w:rPr>
                <w:rFonts w:ascii="仿宋_GB2312" w:hAnsi="仿宋_GB2312" w:eastAsia="仿宋_GB2312" w:cs="仿宋_GB2312"/>
                <w:sz w:val="20"/>
                <w:szCs w:val="20"/>
              </w:rPr>
            </w:pPr>
          </w:p>
        </w:tc>
      </w:tr>
      <w:tr w14:paraId="15BA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5204A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154</w:t>
            </w:r>
          </w:p>
        </w:tc>
        <w:tc>
          <w:tcPr>
            <w:tcW w:w="555" w:type="dxa"/>
            <w:vAlign w:val="center"/>
          </w:tcPr>
          <w:p w14:paraId="4F350B3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459F1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BCCD0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994" w:type="dxa"/>
            <w:vAlign w:val="center"/>
          </w:tcPr>
          <w:p w14:paraId="0F45EA1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对不汇交测绘成果资料的，测绘项目出资人逾期不汇交的，承担国家投资的测绘项目的单位逾期不汇交的，自暂扣测绘资质证书之日起六个月内仍不汇交行为的处罚</w:t>
            </w:r>
          </w:p>
        </w:tc>
        <w:tc>
          <w:tcPr>
            <w:tcW w:w="615" w:type="dxa"/>
            <w:vAlign w:val="center"/>
          </w:tcPr>
          <w:p w14:paraId="33571B3E">
            <w:pPr>
              <w:snapToGrid w:val="0"/>
              <w:spacing w:line="240" w:lineRule="atLeast"/>
              <w:jc w:val="center"/>
              <w:rPr>
                <w:rFonts w:ascii="仿宋_GB2312" w:hAnsi="仿宋_GB2312" w:eastAsia="仿宋_GB2312" w:cs="仿宋_GB2312"/>
                <w:sz w:val="20"/>
                <w:szCs w:val="20"/>
              </w:rPr>
            </w:pPr>
          </w:p>
        </w:tc>
        <w:tc>
          <w:tcPr>
            <w:tcW w:w="630" w:type="dxa"/>
            <w:vAlign w:val="center"/>
          </w:tcPr>
          <w:p w14:paraId="058C52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55" w:type="dxa"/>
            <w:vAlign w:val="center"/>
          </w:tcPr>
          <w:p w14:paraId="5F9706D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380" w:type="dxa"/>
            <w:vAlign w:val="center"/>
          </w:tcPr>
          <w:p w14:paraId="59CEA1A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测绘法》第六十条：违反本法规定，不汇交测绘成果资料的，责令限期汇交；测绘项目出资人逾期不汇交的，处重测所需费用一倍以上二倍以下的罚款；承担国家投资的测绘项目的单位逾期不汇交的，处五万元以上二十万元以下的罚款，并处暂扣测绘资质证书，自暂扣测绘资质证书之日起六个月内仍不汇交的，吊销测绘资质证书；对直接负责的主管人员和其他直接责任人员，依法给予处分。</w:t>
            </w:r>
          </w:p>
        </w:tc>
        <w:tc>
          <w:tcPr>
            <w:tcW w:w="3585" w:type="dxa"/>
            <w:vAlign w:val="center"/>
          </w:tcPr>
          <w:p w14:paraId="6FEC21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不汇交测绘成果资料，测绘项目出资人逾期不汇交的，承担国家投资的测绘项目的单位逾期不汇交的，自暂扣测绘资质证书之日起六个月内仍不汇交的情况，应及时制止（对正在实施的违法行为，下达《责令停止违法行为通知书》）,并进行审查核实，符合立案条件的予以立案。</w:t>
            </w:r>
          </w:p>
          <w:p w14:paraId="0F93FC1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不汇交测绘成果资料，测绘项目出资人逾期不汇交的，承担国家投资的测绘项目的单位逾期不汇交的，自暂扣测绘资质证书之日起六个月内仍不汇的情况，并制作笔录。调查时允许当事人辩解陈述。执法人员应保守有关秘密。</w:t>
            </w:r>
          </w:p>
          <w:p w14:paraId="2487F31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2CD3C3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459683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不汇交测绘成果资料，测绘项目出资人逾期不汇交的，承担国家投资的测绘项目的单位逾期不汇交的，自暂扣测绘资质证书之日起六个月内仍不汇交的事实进行认定，依法制作《行政处罚决定书》，载明违反法律法规或规章的事实和证据、行政处罚的具体依据和内容，告知当事人陈述申辩或者听证情况等内容，告知申请行政复议或提起行政诉讼的权利。</w:t>
            </w:r>
          </w:p>
          <w:p w14:paraId="11FCEC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33DEF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61329C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BA9548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030976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B62D1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2B25E9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DBDB5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329F8F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503C22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DDB370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1AF2BD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0E877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A93EA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2835D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56C3CC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01428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FCBBE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995882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162D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C84B03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90941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480CF4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7FAB96A">
            <w:pPr>
              <w:snapToGrid w:val="0"/>
              <w:spacing w:line="240" w:lineRule="atLeast"/>
              <w:jc w:val="center"/>
              <w:rPr>
                <w:rFonts w:ascii="仿宋_GB2312" w:hAnsi="仿宋_GB2312" w:eastAsia="仿宋_GB2312" w:cs="仿宋_GB2312"/>
                <w:sz w:val="20"/>
                <w:szCs w:val="20"/>
              </w:rPr>
            </w:pPr>
          </w:p>
        </w:tc>
      </w:tr>
    </w:tbl>
    <w:p w14:paraId="4AC26139"/>
    <w:p w14:paraId="7CDDE31A"/>
    <w:p w14:paraId="4667507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721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57D754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B08262A">
            <w:pPr>
              <w:spacing w:line="240" w:lineRule="atLeast"/>
              <w:rPr>
                <w:rFonts w:asciiTheme="majorEastAsia" w:hAnsiTheme="majorEastAsia" w:eastAsiaTheme="majorEastAsia" w:cstheme="majorEastAsia"/>
                <w:spacing w:val="-20"/>
                <w:sz w:val="20"/>
                <w:szCs w:val="20"/>
              </w:rPr>
            </w:pPr>
          </w:p>
          <w:p w14:paraId="467488A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50D320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5EB49F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7606E6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2BB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C830E0F">
            <w:pPr>
              <w:spacing w:line="240" w:lineRule="atLeast"/>
              <w:jc w:val="left"/>
              <w:rPr>
                <w:rFonts w:ascii="仿宋_GB2312" w:hAnsi="仿宋_GB2312" w:eastAsia="仿宋_GB2312" w:cs="仿宋_GB2312"/>
                <w:sz w:val="20"/>
                <w:szCs w:val="20"/>
              </w:rPr>
            </w:pPr>
          </w:p>
        </w:tc>
        <w:tc>
          <w:tcPr>
            <w:tcW w:w="555" w:type="dxa"/>
            <w:vMerge w:val="continue"/>
          </w:tcPr>
          <w:p w14:paraId="5C582C16">
            <w:pPr>
              <w:spacing w:line="240" w:lineRule="atLeast"/>
              <w:jc w:val="left"/>
              <w:rPr>
                <w:rFonts w:ascii="仿宋_GB2312" w:hAnsi="仿宋_GB2312" w:eastAsia="仿宋_GB2312" w:cs="仿宋_GB2312"/>
                <w:sz w:val="20"/>
                <w:szCs w:val="20"/>
              </w:rPr>
            </w:pPr>
          </w:p>
        </w:tc>
        <w:tc>
          <w:tcPr>
            <w:tcW w:w="784" w:type="dxa"/>
            <w:vAlign w:val="center"/>
          </w:tcPr>
          <w:p w14:paraId="32E5DA9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90807C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91EA35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9BEC0B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409DA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10DB6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F5C6E3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964F9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718173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FE7A2D2">
            <w:pPr>
              <w:spacing w:line="240" w:lineRule="atLeast"/>
              <w:jc w:val="left"/>
              <w:rPr>
                <w:rFonts w:ascii="仿宋_GB2312" w:hAnsi="仿宋_GB2312" w:eastAsia="仿宋_GB2312" w:cs="仿宋_GB2312"/>
                <w:sz w:val="20"/>
                <w:szCs w:val="20"/>
              </w:rPr>
            </w:pPr>
          </w:p>
        </w:tc>
      </w:tr>
      <w:tr w14:paraId="5090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136F3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155</w:t>
            </w:r>
          </w:p>
        </w:tc>
        <w:tc>
          <w:tcPr>
            <w:tcW w:w="555" w:type="dxa"/>
            <w:vAlign w:val="center"/>
          </w:tcPr>
          <w:p w14:paraId="539424E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2D6B83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5B0F0B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1E9E002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对擅自发布中华人民共和国领域和中华人民共和国管辖的其他海域的重要地理信息数据行为的处罚</w:t>
            </w:r>
          </w:p>
        </w:tc>
        <w:tc>
          <w:tcPr>
            <w:tcW w:w="660" w:type="dxa"/>
            <w:vAlign w:val="center"/>
          </w:tcPr>
          <w:p w14:paraId="304D7E29">
            <w:pPr>
              <w:snapToGrid w:val="0"/>
              <w:spacing w:line="240" w:lineRule="atLeast"/>
              <w:jc w:val="center"/>
              <w:rPr>
                <w:rFonts w:ascii="仿宋_GB2312" w:hAnsi="仿宋_GB2312" w:eastAsia="仿宋_GB2312" w:cs="仿宋_GB2312"/>
                <w:sz w:val="20"/>
                <w:szCs w:val="20"/>
              </w:rPr>
            </w:pPr>
          </w:p>
        </w:tc>
        <w:tc>
          <w:tcPr>
            <w:tcW w:w="615" w:type="dxa"/>
            <w:vAlign w:val="center"/>
          </w:tcPr>
          <w:p w14:paraId="426D540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ECA465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4F5B9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六十一条：违反本法规定，擅自发布中华人民共和国领域和中华人民共和国管辖的其他海域的重要地理信息数据的，给予警告，责令改正，可以并处五十万元以下的罚款；对直接负责的主管人员和其他直接责任人员，依法给予处分；构成犯罪的，依法追究刑事责任。</w:t>
            </w:r>
          </w:p>
          <w:p w14:paraId="54B4EF9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第六十六条第一款：本法规定的降低测绘资质等级、暂扣测绘资质证书、吊销测绘资质证书的行政处罚，由颁发测绘资质证书的部门决定；其他行政处罚，由县级以上人民政府测绘地理信息主管部门决定。</w:t>
            </w:r>
          </w:p>
        </w:tc>
        <w:tc>
          <w:tcPr>
            <w:tcW w:w="3585" w:type="dxa"/>
            <w:vAlign w:val="center"/>
          </w:tcPr>
          <w:p w14:paraId="5E6A2A4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擅自发布中华人民共和国领域和中华人民共和国管辖的其他海域的重要地理信息数据的情况，应及时制止（对正在实施的违法行为，下达《责令停止违法行为通知书》）,并进行审查核实，符合立案条件的予以立案。</w:t>
            </w:r>
          </w:p>
          <w:p w14:paraId="419182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发布中华人民共和国领域和中华人民共和国管辖的其他海域的重要地理信息数据的情况，并制作笔录。调查时允许当事人辩解陈述。执法人员应保守有关秘密。</w:t>
            </w:r>
          </w:p>
          <w:p w14:paraId="583811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2013A2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62AFC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擅自发布我国领域和管辖的其他海域的重要地理信息数据的事实进行认定，依法制作《行政处罚决定书》，载明违反法律法规或规章的事实和证据、行政处罚的具体依据和内容，告知当事人陈述申辩或者听证情况等内容，告知申请行政复议或提起行政诉讼的权力。</w:t>
            </w:r>
          </w:p>
          <w:p w14:paraId="28D706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7577A6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5F3FA1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DF7F7A2">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BFF777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40F1BB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C6E088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6FA6AA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55B097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D02E76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91D9FE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5BA47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98017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5945E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7C5604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CA6018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AEE3D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B8C8C6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E9FDB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5BAF30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72A16F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D2104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E82479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B74E63F">
            <w:pPr>
              <w:snapToGrid w:val="0"/>
              <w:spacing w:line="240" w:lineRule="atLeast"/>
              <w:jc w:val="center"/>
              <w:rPr>
                <w:rFonts w:ascii="仿宋_GB2312" w:hAnsi="仿宋_GB2312" w:eastAsia="仿宋_GB2312" w:cs="仿宋_GB2312"/>
                <w:sz w:val="20"/>
                <w:szCs w:val="20"/>
              </w:rPr>
            </w:pPr>
          </w:p>
        </w:tc>
      </w:tr>
    </w:tbl>
    <w:p w14:paraId="7D46DAAC"/>
    <w:p w14:paraId="19F9A7E9"/>
    <w:p w14:paraId="7344FD0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61D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2BC877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9024309">
            <w:pPr>
              <w:spacing w:line="240" w:lineRule="atLeast"/>
              <w:rPr>
                <w:rFonts w:asciiTheme="majorEastAsia" w:hAnsiTheme="majorEastAsia" w:eastAsiaTheme="majorEastAsia" w:cstheme="majorEastAsia"/>
                <w:spacing w:val="-20"/>
                <w:sz w:val="20"/>
                <w:szCs w:val="20"/>
              </w:rPr>
            </w:pPr>
          </w:p>
          <w:p w14:paraId="164AF7C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E4FB84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368101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642319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BFC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004FFB4">
            <w:pPr>
              <w:spacing w:line="240" w:lineRule="atLeast"/>
              <w:jc w:val="left"/>
              <w:rPr>
                <w:rFonts w:ascii="仿宋_GB2312" w:hAnsi="仿宋_GB2312" w:eastAsia="仿宋_GB2312" w:cs="仿宋_GB2312"/>
                <w:sz w:val="20"/>
                <w:szCs w:val="20"/>
              </w:rPr>
            </w:pPr>
          </w:p>
        </w:tc>
        <w:tc>
          <w:tcPr>
            <w:tcW w:w="555" w:type="dxa"/>
            <w:vMerge w:val="continue"/>
          </w:tcPr>
          <w:p w14:paraId="0F5E2691">
            <w:pPr>
              <w:spacing w:line="240" w:lineRule="atLeast"/>
              <w:jc w:val="left"/>
              <w:rPr>
                <w:rFonts w:ascii="仿宋_GB2312" w:hAnsi="仿宋_GB2312" w:eastAsia="仿宋_GB2312" w:cs="仿宋_GB2312"/>
                <w:sz w:val="20"/>
                <w:szCs w:val="20"/>
              </w:rPr>
            </w:pPr>
          </w:p>
        </w:tc>
        <w:tc>
          <w:tcPr>
            <w:tcW w:w="784" w:type="dxa"/>
            <w:vAlign w:val="center"/>
          </w:tcPr>
          <w:p w14:paraId="7EBB187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FC7265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3542D5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D36D58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8E5FF1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AC63FB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C96273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44FC22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4235F4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8B4ACE6">
            <w:pPr>
              <w:spacing w:line="240" w:lineRule="atLeast"/>
              <w:jc w:val="left"/>
              <w:rPr>
                <w:rFonts w:ascii="仿宋_GB2312" w:hAnsi="仿宋_GB2312" w:eastAsia="仿宋_GB2312" w:cs="仿宋_GB2312"/>
                <w:sz w:val="20"/>
                <w:szCs w:val="20"/>
              </w:rPr>
            </w:pPr>
          </w:p>
        </w:tc>
      </w:tr>
      <w:tr w14:paraId="531F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62B5D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156</w:t>
            </w:r>
          </w:p>
        </w:tc>
        <w:tc>
          <w:tcPr>
            <w:tcW w:w="555" w:type="dxa"/>
            <w:vAlign w:val="center"/>
          </w:tcPr>
          <w:p w14:paraId="2AFD0C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EA470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8043B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EDBF01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在对社会公众有影响的活动中使用未经依法公布的重要地理信息数据行为的处罚</w:t>
            </w:r>
          </w:p>
        </w:tc>
        <w:tc>
          <w:tcPr>
            <w:tcW w:w="660" w:type="dxa"/>
            <w:vAlign w:val="center"/>
          </w:tcPr>
          <w:p w14:paraId="38DFEC26">
            <w:pPr>
              <w:snapToGrid w:val="0"/>
              <w:spacing w:line="240" w:lineRule="atLeast"/>
              <w:jc w:val="center"/>
              <w:rPr>
                <w:rFonts w:ascii="仿宋_GB2312" w:hAnsi="仿宋_GB2312" w:eastAsia="仿宋_GB2312" w:cs="仿宋_GB2312"/>
                <w:sz w:val="20"/>
                <w:szCs w:val="20"/>
              </w:rPr>
            </w:pPr>
          </w:p>
        </w:tc>
        <w:tc>
          <w:tcPr>
            <w:tcW w:w="615" w:type="dxa"/>
            <w:vAlign w:val="center"/>
          </w:tcPr>
          <w:p w14:paraId="58B20C5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DDC46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274DF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绘成果管理条例》（2006年国务院令第469号）第二十九条：违反本条例规定，有下列行为之一的，由测绘行政主管部门或者其他有关部门依据职责责令改正，给予警告，可处10万元以下的罚款；对直接负责的主管人员和其他直接责任人员，依法给予处分：</w:t>
            </w:r>
          </w:p>
          <w:p w14:paraId="209EEAF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（三）在对社会公众有影响的活动中使用未经依法公布的重要地理信息数据的。</w:t>
            </w:r>
          </w:p>
        </w:tc>
        <w:tc>
          <w:tcPr>
            <w:tcW w:w="3585" w:type="dxa"/>
            <w:vAlign w:val="center"/>
          </w:tcPr>
          <w:p w14:paraId="4BE0E5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在对社会公众有影响的活动中使用未经依法公布的重要地理信息数据的情况，应及时制止（对正在实施的违法行为，下达《责令停止违法行为通知书》）,并进行审查核实，符合立案条件的予以立案。</w:t>
            </w:r>
          </w:p>
          <w:p w14:paraId="1169CF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在对社会公众有影响的活动中使用未经依法公布的重要地理信息数据的情况，并制作笔录。调查时允许当事人辩解陈述。执法人员应保守有关秘密。</w:t>
            </w:r>
          </w:p>
          <w:p w14:paraId="489687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66187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C6691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对社会公众有影响的活动中使用未经依法公布的重要地理信息数据的事实进行认定，依法制作《行政处罚决定书》，载明违反法律法规或规章的事实和证据、行政处罚的具体依据和内容，告知当事人陈述申辩或者听证情况等内容，告知申请行政复议或提起行政诉讼的权力。</w:t>
            </w:r>
          </w:p>
          <w:p w14:paraId="6B5253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DC7D7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3EA9B7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292950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7FB3B7B">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EFCEF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51A3A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503AC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79D256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761CB5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263D23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A9041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CD7F61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BFD2F8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29977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67217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98BA7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3102F4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A7484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ABBC6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E06F3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1E130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A9F6A9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A284169">
            <w:pPr>
              <w:snapToGrid w:val="0"/>
              <w:spacing w:line="240" w:lineRule="atLeast"/>
              <w:jc w:val="center"/>
              <w:rPr>
                <w:rFonts w:ascii="仿宋_GB2312" w:hAnsi="仿宋_GB2312" w:eastAsia="仿宋_GB2312" w:cs="仿宋_GB2312"/>
                <w:sz w:val="20"/>
                <w:szCs w:val="20"/>
              </w:rPr>
            </w:pPr>
          </w:p>
        </w:tc>
      </w:tr>
    </w:tbl>
    <w:p w14:paraId="4C0BB1C2"/>
    <w:p w14:paraId="52623990"/>
    <w:p w14:paraId="4B4027B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AB9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4DDA8A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C937BC5">
            <w:pPr>
              <w:spacing w:line="240" w:lineRule="atLeast"/>
              <w:rPr>
                <w:rFonts w:asciiTheme="majorEastAsia" w:hAnsiTheme="majorEastAsia" w:eastAsiaTheme="majorEastAsia" w:cstheme="majorEastAsia"/>
                <w:spacing w:val="-20"/>
                <w:sz w:val="20"/>
                <w:szCs w:val="20"/>
              </w:rPr>
            </w:pPr>
          </w:p>
          <w:p w14:paraId="7EB3345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ED7D8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59877B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D1FAEA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E20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ED5A92C">
            <w:pPr>
              <w:spacing w:line="240" w:lineRule="atLeast"/>
              <w:jc w:val="left"/>
              <w:rPr>
                <w:rFonts w:ascii="仿宋_GB2312" w:hAnsi="仿宋_GB2312" w:eastAsia="仿宋_GB2312" w:cs="仿宋_GB2312"/>
                <w:sz w:val="20"/>
                <w:szCs w:val="20"/>
              </w:rPr>
            </w:pPr>
          </w:p>
        </w:tc>
        <w:tc>
          <w:tcPr>
            <w:tcW w:w="555" w:type="dxa"/>
            <w:vMerge w:val="continue"/>
          </w:tcPr>
          <w:p w14:paraId="4D1838E4">
            <w:pPr>
              <w:spacing w:line="240" w:lineRule="atLeast"/>
              <w:jc w:val="left"/>
              <w:rPr>
                <w:rFonts w:ascii="仿宋_GB2312" w:hAnsi="仿宋_GB2312" w:eastAsia="仿宋_GB2312" w:cs="仿宋_GB2312"/>
                <w:sz w:val="20"/>
                <w:szCs w:val="20"/>
              </w:rPr>
            </w:pPr>
          </w:p>
        </w:tc>
        <w:tc>
          <w:tcPr>
            <w:tcW w:w="784" w:type="dxa"/>
            <w:vAlign w:val="center"/>
          </w:tcPr>
          <w:p w14:paraId="36EB8D0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9B08A4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05ED32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EB56CA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D73E5A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895683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754CD6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350B39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2D4943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84939AF">
            <w:pPr>
              <w:spacing w:line="240" w:lineRule="atLeast"/>
              <w:jc w:val="left"/>
              <w:rPr>
                <w:rFonts w:ascii="仿宋_GB2312" w:hAnsi="仿宋_GB2312" w:eastAsia="仿宋_GB2312" w:cs="仿宋_GB2312"/>
                <w:sz w:val="20"/>
                <w:szCs w:val="20"/>
              </w:rPr>
            </w:pPr>
          </w:p>
        </w:tc>
      </w:tr>
      <w:tr w14:paraId="1ED5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F6530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157</w:t>
            </w:r>
          </w:p>
        </w:tc>
        <w:tc>
          <w:tcPr>
            <w:tcW w:w="555" w:type="dxa"/>
            <w:vAlign w:val="center"/>
          </w:tcPr>
          <w:p w14:paraId="67CC6F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F744C1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720EB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9AEAEB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对未在地图的适当位置显著标注审图号，或者未按照有关规定送交样本行为的处罚</w:t>
            </w:r>
          </w:p>
        </w:tc>
        <w:tc>
          <w:tcPr>
            <w:tcW w:w="660" w:type="dxa"/>
            <w:vAlign w:val="center"/>
          </w:tcPr>
          <w:p w14:paraId="03B4C3C3">
            <w:pPr>
              <w:snapToGrid w:val="0"/>
              <w:spacing w:line="240" w:lineRule="atLeast"/>
              <w:jc w:val="center"/>
              <w:rPr>
                <w:rFonts w:ascii="仿宋_GB2312" w:hAnsi="仿宋_GB2312" w:eastAsia="仿宋_GB2312" w:cs="仿宋_GB2312"/>
                <w:sz w:val="20"/>
                <w:szCs w:val="20"/>
              </w:rPr>
            </w:pPr>
          </w:p>
        </w:tc>
        <w:tc>
          <w:tcPr>
            <w:tcW w:w="615" w:type="dxa"/>
            <w:vAlign w:val="center"/>
          </w:tcPr>
          <w:p w14:paraId="3885452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D4B4D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84A0CC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175153D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2.【行政法规】《地图管理条例》（2015年国务院令第664号） 第五十三条：违反本条例规定，未在地图的适当位置显著标注审图号，或者未按照有关规定送交样本的，责令改正，给予警告；情节严重的，责令停业整顿，降低资质等级或者吊销测绘资质证书。</w:t>
            </w:r>
          </w:p>
        </w:tc>
        <w:tc>
          <w:tcPr>
            <w:tcW w:w="3585" w:type="dxa"/>
            <w:vAlign w:val="center"/>
          </w:tcPr>
          <w:p w14:paraId="42EDFB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未在地图的适当位置显著标注审图号，或者未按照有关规定送交样本的情况，应及时制止（对正在实施的违法行为，下达《责令停止违法行为通知书》）,并进行审查核实，符合立案条件的予以立案。</w:t>
            </w:r>
          </w:p>
          <w:p w14:paraId="53DA47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行政执法人员不得少于两人，出示证件、表明身份；通过搜集证据、现场了解核实未在地图的适当位置显著标注审图号，或者未按照有关规定送交样本的情况，并制作笔录。调查时允许当事人辩解陈述。执法人员应保守有关秘密。</w:t>
            </w:r>
          </w:p>
          <w:p w14:paraId="76C493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3.审查责任：对调查结果进行审核；提出是否给予当事人行政处罚和给予何种处罚的意见。</w:t>
            </w:r>
          </w:p>
          <w:p w14:paraId="09B804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A2A44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未在地图的适当位置显著标注审图号，或者未按照有关规定送交样本的事实进行认定，依法制作《行政处罚决定书》，载明违反法律法规或规章的事实和证据、行政处罚具体的依据和内容，告知当事人陈述申辩或者听证情况等内容， 告知申请行政复议或提起行政诉讼的权力。</w:t>
            </w:r>
          </w:p>
          <w:p w14:paraId="2CE23C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735F9E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F3DCD6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768BDF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F67D3E5">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A570A5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37912F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215650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5737F3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2D039F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15D1A5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BCA9F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B6E19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BF67E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F8A6B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86D23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F0A61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96B72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8B1CA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DDF27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B8ECC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075D3C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E8FCE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D2B7AC7">
            <w:pPr>
              <w:snapToGrid w:val="0"/>
              <w:spacing w:line="240" w:lineRule="atLeast"/>
              <w:jc w:val="center"/>
              <w:rPr>
                <w:rFonts w:ascii="仿宋_GB2312" w:hAnsi="仿宋_GB2312" w:eastAsia="仿宋_GB2312" w:cs="仿宋_GB2312"/>
                <w:sz w:val="20"/>
                <w:szCs w:val="20"/>
              </w:rPr>
            </w:pPr>
          </w:p>
        </w:tc>
      </w:tr>
    </w:tbl>
    <w:p w14:paraId="2CC00948"/>
    <w:p w14:paraId="1F7A1F5B"/>
    <w:p w14:paraId="131A799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46D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72B875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861DF9E">
            <w:pPr>
              <w:spacing w:line="240" w:lineRule="atLeast"/>
              <w:rPr>
                <w:rFonts w:asciiTheme="majorEastAsia" w:hAnsiTheme="majorEastAsia" w:eastAsiaTheme="majorEastAsia" w:cstheme="majorEastAsia"/>
                <w:spacing w:val="-20"/>
                <w:sz w:val="20"/>
                <w:szCs w:val="20"/>
              </w:rPr>
            </w:pPr>
          </w:p>
          <w:p w14:paraId="2532019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779807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13FF9B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9D710A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598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AA44E6B">
            <w:pPr>
              <w:spacing w:line="240" w:lineRule="atLeast"/>
              <w:jc w:val="left"/>
              <w:rPr>
                <w:rFonts w:ascii="仿宋_GB2312" w:hAnsi="仿宋_GB2312" w:eastAsia="仿宋_GB2312" w:cs="仿宋_GB2312"/>
                <w:sz w:val="20"/>
                <w:szCs w:val="20"/>
              </w:rPr>
            </w:pPr>
          </w:p>
        </w:tc>
        <w:tc>
          <w:tcPr>
            <w:tcW w:w="555" w:type="dxa"/>
            <w:vMerge w:val="continue"/>
          </w:tcPr>
          <w:p w14:paraId="39C6D972">
            <w:pPr>
              <w:spacing w:line="240" w:lineRule="atLeast"/>
              <w:jc w:val="left"/>
              <w:rPr>
                <w:rFonts w:ascii="仿宋_GB2312" w:hAnsi="仿宋_GB2312" w:eastAsia="仿宋_GB2312" w:cs="仿宋_GB2312"/>
                <w:sz w:val="20"/>
                <w:szCs w:val="20"/>
              </w:rPr>
            </w:pPr>
          </w:p>
        </w:tc>
        <w:tc>
          <w:tcPr>
            <w:tcW w:w="784" w:type="dxa"/>
            <w:vAlign w:val="center"/>
          </w:tcPr>
          <w:p w14:paraId="114D5A7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071E58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E19C08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F3DA0E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B46BE6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FC9245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3C596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BABA7B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1CA92E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3747915">
            <w:pPr>
              <w:spacing w:line="240" w:lineRule="atLeast"/>
              <w:jc w:val="left"/>
              <w:rPr>
                <w:rFonts w:ascii="仿宋_GB2312" w:hAnsi="仿宋_GB2312" w:eastAsia="仿宋_GB2312" w:cs="仿宋_GB2312"/>
                <w:sz w:val="20"/>
                <w:szCs w:val="20"/>
              </w:rPr>
            </w:pPr>
          </w:p>
        </w:tc>
      </w:tr>
      <w:tr w14:paraId="1B62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87ACD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158</w:t>
            </w:r>
          </w:p>
        </w:tc>
        <w:tc>
          <w:tcPr>
            <w:tcW w:w="555" w:type="dxa"/>
            <w:vAlign w:val="center"/>
          </w:tcPr>
          <w:p w14:paraId="37858B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7E6CABF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7DCA4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C97B32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对应当送审而未送审地图或者附着地图图形产品行为的处罚</w:t>
            </w:r>
          </w:p>
        </w:tc>
        <w:tc>
          <w:tcPr>
            <w:tcW w:w="660" w:type="dxa"/>
            <w:vAlign w:val="center"/>
          </w:tcPr>
          <w:p w14:paraId="22650FA3">
            <w:pPr>
              <w:snapToGrid w:val="0"/>
              <w:spacing w:line="240" w:lineRule="atLeast"/>
              <w:jc w:val="center"/>
              <w:rPr>
                <w:rFonts w:ascii="仿宋_GB2312" w:hAnsi="仿宋_GB2312" w:eastAsia="仿宋_GB2312" w:cs="仿宋_GB2312"/>
                <w:sz w:val="20"/>
                <w:szCs w:val="20"/>
              </w:rPr>
            </w:pPr>
          </w:p>
        </w:tc>
        <w:tc>
          <w:tcPr>
            <w:tcW w:w="615" w:type="dxa"/>
            <w:vAlign w:val="center"/>
          </w:tcPr>
          <w:p w14:paraId="7B2BA1B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69E11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16C9D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2F83172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 第四十九条：违反本条例规定，应当送审而未送审的，责令改正，给予警告，没收违法地图或者附着地图图形的产品，可以处10万元以下的罚款；有违法所得的，没收违法所得；构成犯罪的，依法追究刑事责任。</w:t>
            </w:r>
          </w:p>
          <w:p w14:paraId="5B28361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30FC38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地图或者附着地图图形产品应当送审而未送审的情况，，应及时制止（对正在实施的违法行为，下达《责令停止违法行为通知书》）,并进行审查核实，符合立案条件的予以立案。</w:t>
            </w:r>
          </w:p>
          <w:p w14:paraId="371AA82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地图或者附着地图图形产品应当送审而未送审的情况，并制作笔录。调查时允许当事人辩解陈述。执法人员应保守有关秘密。</w:t>
            </w:r>
          </w:p>
          <w:p w14:paraId="04A220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53450E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94AEC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地图或者附着地图图形产品应当送审而未送审的事实进行认定，依法制作《行政处罚决定书》，载明违反法律法规或规章的事实和证据、行政处罚的具体依据和内容，告知当事人陈述申辩或者听证情况等内容，告知申请行政复议或提出行政诉讼的权利。</w:t>
            </w:r>
          </w:p>
          <w:p w14:paraId="25C330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8B719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93A788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0B5FE9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2A76B0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E4D210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924A04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324052B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538BBC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68083D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07039B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39A58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D3045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F2FA72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4825B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F02157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4BB74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8264D2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A8D78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4D1F1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569E43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AF78A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16C75A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C32304F">
            <w:pPr>
              <w:snapToGrid w:val="0"/>
              <w:spacing w:line="240" w:lineRule="atLeast"/>
              <w:jc w:val="center"/>
              <w:rPr>
                <w:rFonts w:ascii="仿宋_GB2312" w:hAnsi="仿宋_GB2312" w:eastAsia="仿宋_GB2312" w:cs="仿宋_GB2312"/>
                <w:sz w:val="20"/>
                <w:szCs w:val="20"/>
              </w:rPr>
            </w:pPr>
          </w:p>
        </w:tc>
      </w:tr>
    </w:tbl>
    <w:p w14:paraId="66345C2E"/>
    <w:p w14:paraId="25433CB3"/>
    <w:p w14:paraId="2F175AF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DD3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EDC1AF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EF09CAD">
            <w:pPr>
              <w:spacing w:line="240" w:lineRule="atLeast"/>
              <w:rPr>
                <w:rFonts w:asciiTheme="majorEastAsia" w:hAnsiTheme="majorEastAsia" w:eastAsiaTheme="majorEastAsia" w:cstheme="majorEastAsia"/>
                <w:spacing w:val="-20"/>
                <w:sz w:val="20"/>
                <w:szCs w:val="20"/>
              </w:rPr>
            </w:pPr>
          </w:p>
          <w:p w14:paraId="009C2C0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6A3A3C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742892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A7DEE5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79C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0EF350C">
            <w:pPr>
              <w:spacing w:line="240" w:lineRule="atLeast"/>
              <w:jc w:val="left"/>
              <w:rPr>
                <w:rFonts w:ascii="仿宋_GB2312" w:hAnsi="仿宋_GB2312" w:eastAsia="仿宋_GB2312" w:cs="仿宋_GB2312"/>
                <w:sz w:val="20"/>
                <w:szCs w:val="20"/>
              </w:rPr>
            </w:pPr>
          </w:p>
        </w:tc>
        <w:tc>
          <w:tcPr>
            <w:tcW w:w="555" w:type="dxa"/>
            <w:vMerge w:val="continue"/>
          </w:tcPr>
          <w:p w14:paraId="75EBEB8B">
            <w:pPr>
              <w:spacing w:line="240" w:lineRule="atLeast"/>
              <w:jc w:val="left"/>
              <w:rPr>
                <w:rFonts w:ascii="仿宋_GB2312" w:hAnsi="仿宋_GB2312" w:eastAsia="仿宋_GB2312" w:cs="仿宋_GB2312"/>
                <w:sz w:val="20"/>
                <w:szCs w:val="20"/>
              </w:rPr>
            </w:pPr>
          </w:p>
        </w:tc>
        <w:tc>
          <w:tcPr>
            <w:tcW w:w="784" w:type="dxa"/>
            <w:vAlign w:val="center"/>
          </w:tcPr>
          <w:p w14:paraId="6C9B346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282E33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7D3DB0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69B8D9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1F7E21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4F5244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72160D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36B8A1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835742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CC192FE">
            <w:pPr>
              <w:spacing w:line="240" w:lineRule="atLeast"/>
              <w:jc w:val="left"/>
              <w:rPr>
                <w:rFonts w:ascii="仿宋_GB2312" w:hAnsi="仿宋_GB2312" w:eastAsia="仿宋_GB2312" w:cs="仿宋_GB2312"/>
                <w:sz w:val="20"/>
                <w:szCs w:val="20"/>
              </w:rPr>
            </w:pPr>
          </w:p>
        </w:tc>
      </w:tr>
      <w:tr w14:paraId="2ED1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CF94E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159</w:t>
            </w:r>
          </w:p>
        </w:tc>
        <w:tc>
          <w:tcPr>
            <w:tcW w:w="555" w:type="dxa"/>
            <w:vAlign w:val="center"/>
          </w:tcPr>
          <w:p w14:paraId="451A83F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61F38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20991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8B6D3C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对不需要送审的地图不符合国家有关标准和规定行为的处罚</w:t>
            </w:r>
          </w:p>
        </w:tc>
        <w:tc>
          <w:tcPr>
            <w:tcW w:w="660" w:type="dxa"/>
            <w:vAlign w:val="center"/>
          </w:tcPr>
          <w:p w14:paraId="448582A8">
            <w:pPr>
              <w:snapToGrid w:val="0"/>
              <w:spacing w:line="240" w:lineRule="atLeast"/>
              <w:jc w:val="center"/>
              <w:rPr>
                <w:rFonts w:ascii="仿宋_GB2312" w:hAnsi="仿宋_GB2312" w:eastAsia="仿宋_GB2312" w:cs="仿宋_GB2312"/>
                <w:sz w:val="20"/>
                <w:szCs w:val="20"/>
              </w:rPr>
            </w:pPr>
          </w:p>
        </w:tc>
        <w:tc>
          <w:tcPr>
            <w:tcW w:w="615" w:type="dxa"/>
            <w:vAlign w:val="center"/>
          </w:tcPr>
          <w:p w14:paraId="6A6FAF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CEEBE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0EEF1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1A43F4B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条：违反本条例规定，不需要送审的地图不符合国家有关标准和规定的，责令改正，给予警告，没收违法地图或者附着地图图形的产品，可以处10万元以下的罚款;有违法所得的，没收违法所得;情节严重的，可以向社会通报;构成犯罪的，依法追究刑事责任。</w:t>
            </w:r>
          </w:p>
          <w:p w14:paraId="12D4D94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24C4BB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不需要送审的地图不符合国家有关标准和规定的情况，应及时制止（对正在实施的违法行为，下达《责令停止违法行为通知书》）,并进行审查核实，符合立案条件的予以立案。</w:t>
            </w:r>
          </w:p>
          <w:p w14:paraId="2686F1C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不需要送审的地图不符合国家有关标准和规定的情况，并制作笔录。调查时允许当事人辩解陈述。执法人员应保守有关秘密。</w:t>
            </w:r>
          </w:p>
          <w:p w14:paraId="07A1E7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B61F7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2D0E43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不需要送审的地图不符合国家有关标准和规定的事实进行认定，依法制作《行政处罚决定书》，载明违反法律法规或规章的事实和证据、行政处罚的具体依据和内容，告知当事人陈述申辩或者听证情况等内容，告知申请行政复议或提起行政诉讼的权利。</w:t>
            </w:r>
          </w:p>
          <w:p w14:paraId="54D2ED1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835115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EEBC7D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3A59E3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621D69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DDF57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BBBDD4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18CF0C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4D016E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48AF0D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7EE9A3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DD5B0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E6354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39766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25F9E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43CEB07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33846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01F590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4B59F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D748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2A952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3570B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1C70366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B161170">
            <w:pPr>
              <w:snapToGrid w:val="0"/>
              <w:spacing w:line="240" w:lineRule="atLeast"/>
              <w:jc w:val="center"/>
              <w:rPr>
                <w:rFonts w:ascii="仿宋_GB2312" w:hAnsi="仿宋_GB2312" w:eastAsia="仿宋_GB2312" w:cs="仿宋_GB2312"/>
                <w:sz w:val="20"/>
                <w:szCs w:val="20"/>
              </w:rPr>
            </w:pPr>
          </w:p>
        </w:tc>
      </w:tr>
    </w:tbl>
    <w:p w14:paraId="2D038D79"/>
    <w:p w14:paraId="71C74CD4"/>
    <w:p w14:paraId="38F9ADD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BA0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F121A2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FB3F292">
            <w:pPr>
              <w:spacing w:line="240" w:lineRule="atLeast"/>
              <w:rPr>
                <w:rFonts w:asciiTheme="majorEastAsia" w:hAnsiTheme="majorEastAsia" w:eastAsiaTheme="majorEastAsia" w:cstheme="majorEastAsia"/>
                <w:spacing w:val="-20"/>
                <w:sz w:val="20"/>
                <w:szCs w:val="20"/>
              </w:rPr>
            </w:pPr>
          </w:p>
          <w:p w14:paraId="0874B98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3BF657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63C74E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812300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A8B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DAE215A">
            <w:pPr>
              <w:spacing w:line="240" w:lineRule="atLeast"/>
              <w:jc w:val="left"/>
              <w:rPr>
                <w:rFonts w:ascii="仿宋_GB2312" w:hAnsi="仿宋_GB2312" w:eastAsia="仿宋_GB2312" w:cs="仿宋_GB2312"/>
                <w:sz w:val="20"/>
                <w:szCs w:val="20"/>
              </w:rPr>
            </w:pPr>
          </w:p>
        </w:tc>
        <w:tc>
          <w:tcPr>
            <w:tcW w:w="555" w:type="dxa"/>
            <w:vMerge w:val="continue"/>
          </w:tcPr>
          <w:p w14:paraId="7C70C035">
            <w:pPr>
              <w:spacing w:line="240" w:lineRule="atLeast"/>
              <w:jc w:val="left"/>
              <w:rPr>
                <w:rFonts w:ascii="仿宋_GB2312" w:hAnsi="仿宋_GB2312" w:eastAsia="仿宋_GB2312" w:cs="仿宋_GB2312"/>
                <w:sz w:val="20"/>
                <w:szCs w:val="20"/>
              </w:rPr>
            </w:pPr>
          </w:p>
        </w:tc>
        <w:tc>
          <w:tcPr>
            <w:tcW w:w="784" w:type="dxa"/>
            <w:vAlign w:val="center"/>
          </w:tcPr>
          <w:p w14:paraId="167C420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4B1740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B6AC6A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155E09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FC0E7A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A48DB0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C7885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7CA827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DD5EB4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6CC7A9E">
            <w:pPr>
              <w:spacing w:line="240" w:lineRule="atLeast"/>
              <w:jc w:val="left"/>
              <w:rPr>
                <w:rFonts w:ascii="仿宋_GB2312" w:hAnsi="仿宋_GB2312" w:eastAsia="仿宋_GB2312" w:cs="仿宋_GB2312"/>
                <w:sz w:val="20"/>
                <w:szCs w:val="20"/>
              </w:rPr>
            </w:pPr>
          </w:p>
        </w:tc>
      </w:tr>
      <w:tr w14:paraId="5250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B48E6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160</w:t>
            </w:r>
          </w:p>
        </w:tc>
        <w:tc>
          <w:tcPr>
            <w:tcW w:w="555" w:type="dxa"/>
            <w:vAlign w:val="center"/>
          </w:tcPr>
          <w:p w14:paraId="596C7B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6A79F1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8C7012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F0DC0F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对经审核不符合国家有关标准和规定的地图未按照审核要求修改即向社会公开行为的处罚</w:t>
            </w:r>
          </w:p>
        </w:tc>
        <w:tc>
          <w:tcPr>
            <w:tcW w:w="660" w:type="dxa"/>
            <w:vAlign w:val="center"/>
          </w:tcPr>
          <w:p w14:paraId="283F6E67">
            <w:pPr>
              <w:snapToGrid w:val="0"/>
              <w:spacing w:line="240" w:lineRule="atLeast"/>
              <w:jc w:val="center"/>
              <w:rPr>
                <w:rFonts w:ascii="仿宋_GB2312" w:hAnsi="仿宋_GB2312" w:eastAsia="仿宋_GB2312" w:cs="仿宋_GB2312"/>
                <w:sz w:val="20"/>
                <w:szCs w:val="20"/>
              </w:rPr>
            </w:pPr>
          </w:p>
        </w:tc>
        <w:tc>
          <w:tcPr>
            <w:tcW w:w="615" w:type="dxa"/>
            <w:vAlign w:val="center"/>
          </w:tcPr>
          <w:p w14:paraId="48D372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2EDE0B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58BE3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75E3CD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五十一条：违反本条例规定，经审核不符合国家有关标准和规定的地图未按照审核要求修改即向社会公开的，责令改正，给予警告，没收违法地图或者附着地图图形的产品，可以处10万元以下的罚款；有违法所得的，没收违法所得；情节严重的，责令停业整顿，降低资质等级或者吊销测绘资质证书，可以向社会通报；构成犯罪的，依法追究刑事责任。</w:t>
            </w:r>
          </w:p>
          <w:p w14:paraId="649D59A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56855C7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经审核不符合国家有关标准和规定的地图未按照审核要求修改即向社会公开的情况，应及时制止（对正在实施的违法行为，下达《责令停止违法行为通知书》）,并进行审查核实，符合立案条件的予以立案。</w:t>
            </w:r>
          </w:p>
          <w:p w14:paraId="0EAA778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经审核不符合国家有关标准和规定的地图未按照审核要求修改即向社会公开的情况，并制作笔录。调查时允许当事人辩解陈述。执法人员应保守有关秘密。</w:t>
            </w:r>
          </w:p>
          <w:p w14:paraId="7234CA2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84E49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BEED6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经审核不符合国家有关标准和规定的地图未按照审核要求修改即向社会公开的事实进行认定，依法制作《行政处罚决定书》，载明违反法律法规或规章的事实和证据、行政处罚的具体依据和内容，告知当事人陈述申辩或者听证情况等内容，告知申请行政复议或提起行政诉讼的权利。</w:t>
            </w:r>
          </w:p>
          <w:p w14:paraId="4A844B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DA51F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6BFAC2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708D4F4">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022A08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9CAD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9C2D85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4875DD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5C62FA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66D1A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FDCD1E4">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F7F093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003E93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7CE9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6E9FD9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92170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9A1EDB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2D48FE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96E1B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8CB7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8BE87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84337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86988A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1C77B27">
            <w:pPr>
              <w:snapToGrid w:val="0"/>
              <w:spacing w:line="240" w:lineRule="atLeast"/>
              <w:jc w:val="center"/>
              <w:rPr>
                <w:rFonts w:ascii="仿宋_GB2312" w:hAnsi="仿宋_GB2312" w:eastAsia="仿宋_GB2312" w:cs="仿宋_GB2312"/>
                <w:sz w:val="20"/>
                <w:szCs w:val="20"/>
              </w:rPr>
            </w:pPr>
          </w:p>
        </w:tc>
      </w:tr>
    </w:tbl>
    <w:p w14:paraId="5E056C10"/>
    <w:p w14:paraId="6C3E603A"/>
    <w:p w14:paraId="2529E1E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51D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F5F537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FB95538">
            <w:pPr>
              <w:spacing w:line="240" w:lineRule="atLeast"/>
              <w:rPr>
                <w:rFonts w:asciiTheme="majorEastAsia" w:hAnsiTheme="majorEastAsia" w:eastAsiaTheme="majorEastAsia" w:cstheme="majorEastAsia"/>
                <w:spacing w:val="-20"/>
                <w:sz w:val="20"/>
                <w:szCs w:val="20"/>
              </w:rPr>
            </w:pPr>
          </w:p>
          <w:p w14:paraId="7C2970D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FED1F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9409E2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F654AB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5E0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4EE5F47">
            <w:pPr>
              <w:spacing w:line="240" w:lineRule="atLeast"/>
              <w:jc w:val="left"/>
              <w:rPr>
                <w:rFonts w:ascii="仿宋_GB2312" w:hAnsi="仿宋_GB2312" w:eastAsia="仿宋_GB2312" w:cs="仿宋_GB2312"/>
                <w:sz w:val="20"/>
                <w:szCs w:val="20"/>
              </w:rPr>
            </w:pPr>
          </w:p>
        </w:tc>
        <w:tc>
          <w:tcPr>
            <w:tcW w:w="555" w:type="dxa"/>
            <w:vMerge w:val="continue"/>
          </w:tcPr>
          <w:p w14:paraId="0F0D2EA0">
            <w:pPr>
              <w:spacing w:line="240" w:lineRule="atLeast"/>
              <w:jc w:val="left"/>
              <w:rPr>
                <w:rFonts w:ascii="仿宋_GB2312" w:hAnsi="仿宋_GB2312" w:eastAsia="仿宋_GB2312" w:cs="仿宋_GB2312"/>
                <w:sz w:val="20"/>
                <w:szCs w:val="20"/>
              </w:rPr>
            </w:pPr>
          </w:p>
        </w:tc>
        <w:tc>
          <w:tcPr>
            <w:tcW w:w="784" w:type="dxa"/>
            <w:vAlign w:val="center"/>
          </w:tcPr>
          <w:p w14:paraId="185FA15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6E12D3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B521DA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96B670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0A12A5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512CF6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79CA7D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4E793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FE9E0B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2EA8FA1">
            <w:pPr>
              <w:spacing w:line="240" w:lineRule="atLeast"/>
              <w:jc w:val="left"/>
              <w:rPr>
                <w:rFonts w:ascii="仿宋_GB2312" w:hAnsi="仿宋_GB2312" w:eastAsia="仿宋_GB2312" w:cs="仿宋_GB2312"/>
                <w:sz w:val="20"/>
                <w:szCs w:val="20"/>
              </w:rPr>
            </w:pPr>
          </w:p>
        </w:tc>
      </w:tr>
      <w:tr w14:paraId="34FB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C923B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161</w:t>
            </w:r>
          </w:p>
        </w:tc>
        <w:tc>
          <w:tcPr>
            <w:tcW w:w="555" w:type="dxa"/>
            <w:vAlign w:val="center"/>
          </w:tcPr>
          <w:p w14:paraId="4040D3A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3E6D6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D995EA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D66232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对弄虚作假、伪造申请材料骗取地图审核批准文件，或者伪造、冒用地图审核批准文件和审图号行为的处罚</w:t>
            </w:r>
          </w:p>
        </w:tc>
        <w:tc>
          <w:tcPr>
            <w:tcW w:w="660" w:type="dxa"/>
            <w:vAlign w:val="center"/>
          </w:tcPr>
          <w:p w14:paraId="6B8D889E">
            <w:pPr>
              <w:snapToGrid w:val="0"/>
              <w:spacing w:line="240" w:lineRule="atLeast"/>
              <w:jc w:val="center"/>
              <w:rPr>
                <w:rFonts w:ascii="仿宋_GB2312" w:hAnsi="仿宋_GB2312" w:eastAsia="仿宋_GB2312" w:cs="仿宋_GB2312"/>
                <w:sz w:val="20"/>
                <w:szCs w:val="20"/>
              </w:rPr>
            </w:pPr>
          </w:p>
        </w:tc>
        <w:tc>
          <w:tcPr>
            <w:tcW w:w="615" w:type="dxa"/>
            <w:vAlign w:val="center"/>
          </w:tcPr>
          <w:p w14:paraId="63E8D87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DCA7E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16B19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337421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二条：违反本条例规定，弄虚作假、伪造申请材料骗取地图审核批准文件，或者伪造、冒用地图审核批准文件和审图号的，责令停止违法行为，给予警告，没收违法地图和附着地图图形的产品，并处10万元以上20万元以下的罚款；有违法所得的，没收违法所得；情节严重的，责令停业整顿，降低资质等级或者吊销测绘资质证书；构成犯罪的，依法追究刑事责任。</w:t>
            </w:r>
          </w:p>
          <w:p w14:paraId="53D776D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1168843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弄虚作假、伪造申请材料骗取地图审核批准文件，或者伪造、冒用地图审核批准文件和审图号的情况，应及时制止（对正在实施的违法行为，下达《责令停止违法行为通知书》）,并进行审查核实，符合立案条件的予以立案。</w:t>
            </w:r>
          </w:p>
          <w:p w14:paraId="16A531C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弄虚作假、伪造申请材料骗取地图审核批准文件，或者伪造、冒用地图审核批准文件和审图号的情况，并制作笔录。调查时允许当事人辩解陈述。执法人员应保守有关秘密。</w:t>
            </w:r>
          </w:p>
          <w:p w14:paraId="0C9463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47D7D7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A992A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弄虚作假、伪造申请材料骗取地图审核批准文件，或者伪造、冒用地图审核批准文件和审图号的事实进行认定，依法制作《行政处罚决定书》，载明违反法律法规或规章的事实和证据、行政处罚的具体依据和内容，告知当事人陈述申辩或者听证情况等内容，告知申请行政复议或提起行政诉讼的权利。</w:t>
            </w:r>
          </w:p>
          <w:p w14:paraId="28E30F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14EED8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EFADF8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997CBF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B8D136D">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2FCE01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E7DCD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B547E5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0B2D5BD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D5BCCD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77EA74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5FCFB0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5380B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55DB7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91F8D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11F90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4287E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C14CB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140567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8B8AE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468A9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B481B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77F1E6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0B4B079">
            <w:pPr>
              <w:snapToGrid w:val="0"/>
              <w:spacing w:line="240" w:lineRule="atLeast"/>
              <w:jc w:val="center"/>
              <w:rPr>
                <w:rFonts w:ascii="仿宋_GB2312" w:hAnsi="仿宋_GB2312" w:eastAsia="仿宋_GB2312" w:cs="仿宋_GB2312"/>
                <w:sz w:val="20"/>
                <w:szCs w:val="20"/>
              </w:rPr>
            </w:pPr>
          </w:p>
        </w:tc>
      </w:tr>
    </w:tbl>
    <w:p w14:paraId="689F4920"/>
    <w:p w14:paraId="1B396CDF"/>
    <w:p w14:paraId="662A53E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32B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6D7771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B252AD4">
            <w:pPr>
              <w:spacing w:line="240" w:lineRule="atLeast"/>
              <w:rPr>
                <w:rFonts w:asciiTheme="majorEastAsia" w:hAnsiTheme="majorEastAsia" w:eastAsiaTheme="majorEastAsia" w:cstheme="majorEastAsia"/>
                <w:spacing w:val="-20"/>
                <w:sz w:val="20"/>
                <w:szCs w:val="20"/>
              </w:rPr>
            </w:pPr>
          </w:p>
          <w:p w14:paraId="7B3BAC3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4C2A56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A6C248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6A3DA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98B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BD03D9">
            <w:pPr>
              <w:spacing w:line="240" w:lineRule="atLeast"/>
              <w:jc w:val="left"/>
              <w:rPr>
                <w:rFonts w:ascii="仿宋_GB2312" w:hAnsi="仿宋_GB2312" w:eastAsia="仿宋_GB2312" w:cs="仿宋_GB2312"/>
                <w:sz w:val="20"/>
                <w:szCs w:val="20"/>
              </w:rPr>
            </w:pPr>
          </w:p>
        </w:tc>
        <w:tc>
          <w:tcPr>
            <w:tcW w:w="555" w:type="dxa"/>
            <w:vMerge w:val="continue"/>
          </w:tcPr>
          <w:p w14:paraId="21AD9366">
            <w:pPr>
              <w:spacing w:line="240" w:lineRule="atLeast"/>
              <w:jc w:val="left"/>
              <w:rPr>
                <w:rFonts w:ascii="仿宋_GB2312" w:hAnsi="仿宋_GB2312" w:eastAsia="仿宋_GB2312" w:cs="仿宋_GB2312"/>
                <w:sz w:val="20"/>
                <w:szCs w:val="20"/>
              </w:rPr>
            </w:pPr>
          </w:p>
        </w:tc>
        <w:tc>
          <w:tcPr>
            <w:tcW w:w="784" w:type="dxa"/>
            <w:vAlign w:val="center"/>
          </w:tcPr>
          <w:p w14:paraId="4C569CF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8EC880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FE8E3B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4A4203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05E3F8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784BC9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598A7A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42A6BD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E39422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1B2C386">
            <w:pPr>
              <w:spacing w:line="240" w:lineRule="atLeast"/>
              <w:jc w:val="left"/>
              <w:rPr>
                <w:rFonts w:ascii="仿宋_GB2312" w:hAnsi="仿宋_GB2312" w:eastAsia="仿宋_GB2312" w:cs="仿宋_GB2312"/>
                <w:sz w:val="20"/>
                <w:szCs w:val="20"/>
              </w:rPr>
            </w:pPr>
          </w:p>
        </w:tc>
      </w:tr>
      <w:tr w14:paraId="23D9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E49E7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162</w:t>
            </w:r>
          </w:p>
        </w:tc>
        <w:tc>
          <w:tcPr>
            <w:tcW w:w="555" w:type="dxa"/>
            <w:vAlign w:val="center"/>
          </w:tcPr>
          <w:p w14:paraId="6E0E31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F7FC29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74CC1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52AE42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对互联网地图服务单位使用未经依法审核批准的地图提供服务，或者未对互联网地图新增内容进行核查校对行为的处罚</w:t>
            </w:r>
          </w:p>
        </w:tc>
        <w:tc>
          <w:tcPr>
            <w:tcW w:w="660" w:type="dxa"/>
            <w:vAlign w:val="center"/>
          </w:tcPr>
          <w:p w14:paraId="2378C304">
            <w:pPr>
              <w:snapToGrid w:val="0"/>
              <w:spacing w:line="240" w:lineRule="atLeast"/>
              <w:jc w:val="center"/>
              <w:rPr>
                <w:rFonts w:ascii="仿宋_GB2312" w:hAnsi="仿宋_GB2312" w:eastAsia="仿宋_GB2312" w:cs="仿宋_GB2312"/>
                <w:sz w:val="20"/>
                <w:szCs w:val="20"/>
              </w:rPr>
            </w:pPr>
          </w:p>
        </w:tc>
        <w:tc>
          <w:tcPr>
            <w:tcW w:w="615" w:type="dxa"/>
            <w:vAlign w:val="center"/>
          </w:tcPr>
          <w:p w14:paraId="73B9B9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9746A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003EF0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5F74201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四条：违反本条例规定，互联网地图服务单位使用未经依法审核批准的地图提供服务，或者未对互联网地图新增内容进行核查校对的，责令改正，给予警告，可以处20万元以下的罚款；有违法所得的，没收违法所得；情节严重的，责令停业整顿，降低资质等级或者吊销测绘资质证书；构成犯罪的，依法追究刑事责任。</w:t>
            </w:r>
          </w:p>
          <w:p w14:paraId="34C7A79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3318E35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互联网地图服务单位使用未经依法审核批准的地图提供服务，或者未对互联网地图新增内容进行核查校对的情况，应及时制止（对正在实施的违法行为，下达《责令停止违法行为通知书》）,并进行审查核实，符合立案条件的予以立案。</w:t>
            </w:r>
          </w:p>
          <w:p w14:paraId="54A3794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互联网地图服务单位使用未经依法审核批准的地图提供服务，或者未对互联网地图新增内容进行核查校对的情况，并制作笔录。调查时允许当事人辩解陈述。执法人员应保守有关秘密。</w:t>
            </w:r>
          </w:p>
          <w:p w14:paraId="3FD17AB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3BEBD6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BF044B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互联网地图服务单位使用未经依法审核批准的地图提供服务，或者未对互联网地图新增内容进行核查校对的事实进行认定，依法制作《行政处罚决定书》，载明违反法律法规或规章的事实和证据、行政处罚的具体依据和内容，告知当事人陈述申辩或者听证情况等内容，告知申请行政复议或提起行政诉讼的权利。</w:t>
            </w:r>
          </w:p>
          <w:p w14:paraId="5353060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13A0F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9EF77A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9AFACC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8C6BAA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554A6AE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0ED41E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B4BBE7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B079A8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4CC2BB9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1AFD81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491CCF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16563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34855E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F9CA91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CF0939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4950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E27BE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14BCC7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E1B4F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10E9AC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4FF67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AEB5D9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132D301">
            <w:pPr>
              <w:snapToGrid w:val="0"/>
              <w:spacing w:line="240" w:lineRule="atLeast"/>
              <w:jc w:val="center"/>
              <w:rPr>
                <w:rFonts w:ascii="仿宋_GB2312" w:hAnsi="仿宋_GB2312" w:eastAsia="仿宋_GB2312" w:cs="仿宋_GB2312"/>
                <w:sz w:val="20"/>
                <w:szCs w:val="20"/>
              </w:rPr>
            </w:pPr>
          </w:p>
        </w:tc>
      </w:tr>
    </w:tbl>
    <w:p w14:paraId="569A9831"/>
    <w:p w14:paraId="76BEC164"/>
    <w:p w14:paraId="4A8CF94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651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F77AE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310CD98">
            <w:pPr>
              <w:spacing w:line="240" w:lineRule="atLeast"/>
              <w:rPr>
                <w:rFonts w:asciiTheme="majorEastAsia" w:hAnsiTheme="majorEastAsia" w:eastAsiaTheme="majorEastAsia" w:cstheme="majorEastAsia"/>
                <w:spacing w:val="-20"/>
                <w:sz w:val="20"/>
                <w:szCs w:val="20"/>
              </w:rPr>
            </w:pPr>
          </w:p>
          <w:p w14:paraId="7040AF7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40DDA5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785543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13120A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425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61551C8">
            <w:pPr>
              <w:spacing w:line="240" w:lineRule="atLeast"/>
              <w:jc w:val="left"/>
              <w:rPr>
                <w:rFonts w:ascii="仿宋_GB2312" w:hAnsi="仿宋_GB2312" w:eastAsia="仿宋_GB2312" w:cs="仿宋_GB2312"/>
                <w:sz w:val="20"/>
                <w:szCs w:val="20"/>
              </w:rPr>
            </w:pPr>
          </w:p>
        </w:tc>
        <w:tc>
          <w:tcPr>
            <w:tcW w:w="555" w:type="dxa"/>
            <w:vMerge w:val="continue"/>
          </w:tcPr>
          <w:p w14:paraId="7ED43182">
            <w:pPr>
              <w:spacing w:line="240" w:lineRule="atLeast"/>
              <w:jc w:val="left"/>
              <w:rPr>
                <w:rFonts w:ascii="仿宋_GB2312" w:hAnsi="仿宋_GB2312" w:eastAsia="仿宋_GB2312" w:cs="仿宋_GB2312"/>
                <w:sz w:val="20"/>
                <w:szCs w:val="20"/>
              </w:rPr>
            </w:pPr>
          </w:p>
        </w:tc>
        <w:tc>
          <w:tcPr>
            <w:tcW w:w="784" w:type="dxa"/>
            <w:vAlign w:val="center"/>
          </w:tcPr>
          <w:p w14:paraId="1550283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B02B14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FBE32E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7FCDA3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349ED9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6B6E8A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45A7C6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10A81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1801E8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FA539F9">
            <w:pPr>
              <w:spacing w:line="240" w:lineRule="atLeast"/>
              <w:jc w:val="left"/>
              <w:rPr>
                <w:rFonts w:ascii="仿宋_GB2312" w:hAnsi="仿宋_GB2312" w:eastAsia="仿宋_GB2312" w:cs="仿宋_GB2312"/>
                <w:sz w:val="20"/>
                <w:szCs w:val="20"/>
              </w:rPr>
            </w:pPr>
          </w:p>
        </w:tc>
      </w:tr>
      <w:tr w14:paraId="4DA4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12DB4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163</w:t>
            </w:r>
          </w:p>
        </w:tc>
        <w:tc>
          <w:tcPr>
            <w:tcW w:w="555" w:type="dxa"/>
            <w:vAlign w:val="center"/>
          </w:tcPr>
          <w:p w14:paraId="52B357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54CF61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9E89F6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BBC125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对通过互联网上传标注了含有按照国家有关规定在地图上不得表示的内容行为的处罚</w:t>
            </w:r>
          </w:p>
        </w:tc>
        <w:tc>
          <w:tcPr>
            <w:tcW w:w="660" w:type="dxa"/>
            <w:vAlign w:val="center"/>
          </w:tcPr>
          <w:p w14:paraId="7FC066CA">
            <w:pPr>
              <w:snapToGrid w:val="0"/>
              <w:spacing w:line="240" w:lineRule="atLeast"/>
              <w:jc w:val="center"/>
              <w:rPr>
                <w:rFonts w:ascii="仿宋_GB2312" w:hAnsi="仿宋_GB2312" w:eastAsia="仿宋_GB2312" w:cs="仿宋_GB2312"/>
                <w:sz w:val="20"/>
                <w:szCs w:val="20"/>
              </w:rPr>
            </w:pPr>
          </w:p>
        </w:tc>
        <w:tc>
          <w:tcPr>
            <w:tcW w:w="615" w:type="dxa"/>
            <w:vAlign w:val="center"/>
          </w:tcPr>
          <w:p w14:paraId="34570E2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848E8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0FE656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二条：违反本法规定，编制、出版、展示、登载、更新的地图或者互联网地图服务不符合国家有关地图管理规定的，依法给予行政处罚、处分；构成犯罪的，依法追究刑事责任。</w:t>
            </w:r>
          </w:p>
          <w:p w14:paraId="5CC898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第五十五条：违反本条例规定，通过互联网上传标注了含有按照国家有关规定在地图上不得表示的内容的，责令改正，给予警告，可以处10万元以下的罚款；构成犯罪的，依法追究刑事责任。</w:t>
            </w:r>
          </w:p>
          <w:p w14:paraId="029A9F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第五十六条：本条例规定的降低资质等级、吊销测绘资质证书的行政处罚，由颁发资质证书的部门决定；其他行政处罚由县级以上人民政府测绘地理信息行政主管部门决定。</w:t>
            </w:r>
          </w:p>
        </w:tc>
        <w:tc>
          <w:tcPr>
            <w:tcW w:w="3585" w:type="dxa"/>
            <w:vAlign w:val="center"/>
          </w:tcPr>
          <w:p w14:paraId="76E065B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通过互联网上传标注了含有按照国家有关规定在地图上不得表示的内容的情况，应及时制止（对正在实施的违法行为，下达《责令停止违法行为通知书》）,并进行审查核实，符合立案条件的予以立案。</w:t>
            </w:r>
          </w:p>
          <w:p w14:paraId="32F7C26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通过互联网上传标注了含有按照国家有关规定在地图上不得表示的内容进行核查校对的情况，并制作笔录。调查时允许当事人辩解陈述。执法人员应保守有关秘密。</w:t>
            </w:r>
          </w:p>
          <w:p w14:paraId="41F7A1D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10046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2BAA6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通过互联网上传标注了含有按照国家有关规定在地图上不得表示的内容的事实进行认定，依法制作《行政处罚决定书》，载明违反法律法规或规章的事实和证据、行政处罚的具体依据和内容，告知当事人陈述申辩或者听证情况等内容，告知申请行政复议或提起行政诉讼的权利。</w:t>
            </w:r>
          </w:p>
          <w:p w14:paraId="668D38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7E91CA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604699B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48E5799">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49FB87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1267AA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078809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D3158A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7E2320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C10B93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AB8A52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999618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358D31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5DE50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6EA434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ED3725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3B00F0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C9D5DB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647853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59EDA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AF93EF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D695F6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539B15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0364325">
            <w:pPr>
              <w:snapToGrid w:val="0"/>
              <w:spacing w:line="240" w:lineRule="atLeast"/>
              <w:jc w:val="center"/>
              <w:rPr>
                <w:rFonts w:ascii="仿宋_GB2312" w:hAnsi="仿宋_GB2312" w:eastAsia="仿宋_GB2312" w:cs="仿宋_GB2312"/>
                <w:sz w:val="20"/>
                <w:szCs w:val="20"/>
              </w:rPr>
            </w:pPr>
          </w:p>
        </w:tc>
      </w:tr>
    </w:tbl>
    <w:p w14:paraId="52649D44"/>
    <w:p w14:paraId="77CF42C5"/>
    <w:p w14:paraId="5DE208D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9A8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4772305">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83FD5B4">
            <w:pPr>
              <w:spacing w:line="240" w:lineRule="atLeast"/>
              <w:rPr>
                <w:rFonts w:asciiTheme="majorEastAsia" w:hAnsiTheme="majorEastAsia" w:eastAsiaTheme="majorEastAsia" w:cstheme="majorEastAsia"/>
                <w:spacing w:val="-20"/>
                <w:sz w:val="20"/>
                <w:szCs w:val="20"/>
              </w:rPr>
            </w:pPr>
          </w:p>
          <w:p w14:paraId="5622987C">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B94AD0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09E9CC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4B4DFE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2F7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4AD8B64">
            <w:pPr>
              <w:spacing w:line="240" w:lineRule="atLeast"/>
              <w:jc w:val="left"/>
              <w:rPr>
                <w:rFonts w:ascii="仿宋_GB2312" w:hAnsi="仿宋_GB2312" w:eastAsia="仿宋_GB2312" w:cs="仿宋_GB2312"/>
                <w:sz w:val="20"/>
                <w:szCs w:val="20"/>
              </w:rPr>
            </w:pPr>
          </w:p>
        </w:tc>
        <w:tc>
          <w:tcPr>
            <w:tcW w:w="555" w:type="dxa"/>
            <w:vMerge w:val="continue"/>
          </w:tcPr>
          <w:p w14:paraId="5E30D323">
            <w:pPr>
              <w:spacing w:line="240" w:lineRule="atLeast"/>
              <w:jc w:val="left"/>
              <w:rPr>
                <w:rFonts w:ascii="仿宋_GB2312" w:hAnsi="仿宋_GB2312" w:eastAsia="仿宋_GB2312" w:cs="仿宋_GB2312"/>
                <w:sz w:val="20"/>
                <w:szCs w:val="20"/>
              </w:rPr>
            </w:pPr>
          </w:p>
        </w:tc>
        <w:tc>
          <w:tcPr>
            <w:tcW w:w="784" w:type="dxa"/>
            <w:vAlign w:val="center"/>
          </w:tcPr>
          <w:p w14:paraId="740193D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A8E30F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8B906E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341D54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37963D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2369E9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C83FE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1BE179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EF4015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5FC9AA3">
            <w:pPr>
              <w:spacing w:line="240" w:lineRule="atLeast"/>
              <w:jc w:val="left"/>
              <w:rPr>
                <w:rFonts w:ascii="仿宋_GB2312" w:hAnsi="仿宋_GB2312" w:eastAsia="仿宋_GB2312" w:cs="仿宋_GB2312"/>
                <w:sz w:val="20"/>
                <w:szCs w:val="20"/>
              </w:rPr>
            </w:pPr>
          </w:p>
        </w:tc>
      </w:tr>
      <w:tr w14:paraId="168C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DC08B7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164</w:t>
            </w:r>
          </w:p>
        </w:tc>
        <w:tc>
          <w:tcPr>
            <w:tcW w:w="555" w:type="dxa"/>
            <w:vAlign w:val="center"/>
          </w:tcPr>
          <w:p w14:paraId="263E50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0E8C61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0745B4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60321A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对最终向社会公开的地图与审核通过的地图内容及表现形式不一致，或者互联网地图服务审图号有效期届满未重新送审行为的处罚</w:t>
            </w:r>
          </w:p>
        </w:tc>
        <w:tc>
          <w:tcPr>
            <w:tcW w:w="660" w:type="dxa"/>
            <w:vAlign w:val="center"/>
          </w:tcPr>
          <w:p w14:paraId="1187D395">
            <w:pPr>
              <w:snapToGrid w:val="0"/>
              <w:spacing w:line="240" w:lineRule="atLeast"/>
              <w:jc w:val="center"/>
              <w:rPr>
                <w:rFonts w:ascii="仿宋_GB2312" w:hAnsi="仿宋_GB2312" w:eastAsia="仿宋_GB2312" w:cs="仿宋_GB2312"/>
                <w:sz w:val="20"/>
                <w:szCs w:val="20"/>
              </w:rPr>
            </w:pPr>
          </w:p>
        </w:tc>
        <w:tc>
          <w:tcPr>
            <w:tcW w:w="615" w:type="dxa"/>
            <w:vAlign w:val="center"/>
          </w:tcPr>
          <w:p w14:paraId="3ED3701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40663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594727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【部门规章】《地图审核管理规定》（2006年国土资源部第34号令公布，2019年自然资源部令第5号修正） 第三十二条：最终向社会公开的地图与审核通过的地图内容及表现形式不一致，或者互联网地图服务审图号有效期届满未重新送审的，自然资源主管部门应当责令改正、给予警告，可以处3万元以下的罚款。</w:t>
            </w:r>
          </w:p>
        </w:tc>
        <w:tc>
          <w:tcPr>
            <w:tcW w:w="3585" w:type="dxa"/>
            <w:vAlign w:val="center"/>
          </w:tcPr>
          <w:p w14:paraId="65AF8B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对最终向社会公开的地图与审核通过的地图内容及表现形式不一致，或者互联网地图服务审图号有效期届满未重新送审的情况，应及时制止（对正在实施的违法行为，下达《责令停止违法行为通知书》）,并进行审查核实，符合立案条件的予以立案。</w:t>
            </w:r>
          </w:p>
          <w:p w14:paraId="72F592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对最终向社会公开的地图与审核通过的地图内容及表现形式不一致，或者互联网地图服务审图号有效期届满未重新送审的情况，并制作笔录。调查时允许当事人辩解陈述。执法人员应保守有关秘密。</w:t>
            </w:r>
          </w:p>
          <w:p w14:paraId="777504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13E8B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7CEEC6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最终向社会公开的地图与审核通过的地图内容及表现形式不一致，或者互联网地图服务审图号有效期届满未重新送审的事实进行认定，依法制作《行政处罚决定书》，载明违反法律法规或规章的事实和证据、行政处罚的具体依据和内容，告知当事人陈述申辩或者听证情况等内容，告知申请行政复议或提起行政诉讼的权利。</w:t>
            </w:r>
          </w:p>
          <w:p w14:paraId="2BF384C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9800C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22B551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46AA00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780323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D497F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68661E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1F1B2C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F74D10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3C3516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E3C79F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19A814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93B26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63D43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15011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13CE1E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43866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44100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A9FBDA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1428A6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721CE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383759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B68EB0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5D27F9E">
            <w:pPr>
              <w:snapToGrid w:val="0"/>
              <w:spacing w:line="240" w:lineRule="atLeast"/>
              <w:jc w:val="center"/>
              <w:rPr>
                <w:rFonts w:ascii="仿宋_GB2312" w:hAnsi="仿宋_GB2312" w:eastAsia="仿宋_GB2312" w:cs="仿宋_GB2312"/>
                <w:sz w:val="20"/>
                <w:szCs w:val="20"/>
              </w:rPr>
            </w:pPr>
          </w:p>
        </w:tc>
      </w:tr>
    </w:tbl>
    <w:p w14:paraId="66963C48"/>
    <w:p w14:paraId="094652B4"/>
    <w:p w14:paraId="62AC588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123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841296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21211B4">
            <w:pPr>
              <w:spacing w:line="240" w:lineRule="atLeast"/>
              <w:rPr>
                <w:rFonts w:asciiTheme="majorEastAsia" w:hAnsiTheme="majorEastAsia" w:eastAsiaTheme="majorEastAsia" w:cstheme="majorEastAsia"/>
                <w:spacing w:val="-20"/>
                <w:sz w:val="20"/>
                <w:szCs w:val="20"/>
              </w:rPr>
            </w:pPr>
          </w:p>
          <w:p w14:paraId="188D0A5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5EB95C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EDCF71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E3A5E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3F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D309544">
            <w:pPr>
              <w:spacing w:line="240" w:lineRule="atLeast"/>
              <w:jc w:val="left"/>
              <w:rPr>
                <w:rFonts w:ascii="仿宋_GB2312" w:hAnsi="仿宋_GB2312" w:eastAsia="仿宋_GB2312" w:cs="仿宋_GB2312"/>
                <w:sz w:val="20"/>
                <w:szCs w:val="20"/>
              </w:rPr>
            </w:pPr>
          </w:p>
        </w:tc>
        <w:tc>
          <w:tcPr>
            <w:tcW w:w="555" w:type="dxa"/>
            <w:vMerge w:val="continue"/>
          </w:tcPr>
          <w:p w14:paraId="044056F8">
            <w:pPr>
              <w:spacing w:line="240" w:lineRule="atLeast"/>
              <w:jc w:val="left"/>
              <w:rPr>
                <w:rFonts w:ascii="仿宋_GB2312" w:hAnsi="仿宋_GB2312" w:eastAsia="仿宋_GB2312" w:cs="仿宋_GB2312"/>
                <w:sz w:val="20"/>
                <w:szCs w:val="20"/>
              </w:rPr>
            </w:pPr>
          </w:p>
        </w:tc>
        <w:tc>
          <w:tcPr>
            <w:tcW w:w="784" w:type="dxa"/>
            <w:vAlign w:val="center"/>
          </w:tcPr>
          <w:p w14:paraId="506C2C7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34335F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2133E0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7473E2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D5DFC3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294A5F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F682B3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C35B33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5BA041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DA62754">
            <w:pPr>
              <w:spacing w:line="240" w:lineRule="atLeast"/>
              <w:jc w:val="left"/>
              <w:rPr>
                <w:rFonts w:ascii="仿宋_GB2312" w:hAnsi="仿宋_GB2312" w:eastAsia="仿宋_GB2312" w:cs="仿宋_GB2312"/>
                <w:sz w:val="20"/>
                <w:szCs w:val="20"/>
              </w:rPr>
            </w:pPr>
          </w:p>
        </w:tc>
      </w:tr>
      <w:tr w14:paraId="0E3E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2767B5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165</w:t>
            </w:r>
          </w:p>
        </w:tc>
        <w:tc>
          <w:tcPr>
            <w:tcW w:w="555" w:type="dxa"/>
            <w:vAlign w:val="center"/>
          </w:tcPr>
          <w:p w14:paraId="0BFAAF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A59B3F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89AF5C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267F26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对测绘单位测绘成果质量不合格行为的处罚</w:t>
            </w:r>
          </w:p>
        </w:tc>
        <w:tc>
          <w:tcPr>
            <w:tcW w:w="660" w:type="dxa"/>
            <w:vAlign w:val="center"/>
          </w:tcPr>
          <w:p w14:paraId="5A3451AE">
            <w:pPr>
              <w:snapToGrid w:val="0"/>
              <w:spacing w:line="240" w:lineRule="atLeast"/>
              <w:jc w:val="center"/>
              <w:rPr>
                <w:rFonts w:ascii="仿宋_GB2312" w:hAnsi="仿宋_GB2312" w:eastAsia="仿宋_GB2312" w:cs="仿宋_GB2312"/>
                <w:sz w:val="20"/>
                <w:szCs w:val="20"/>
              </w:rPr>
            </w:pPr>
          </w:p>
        </w:tc>
        <w:tc>
          <w:tcPr>
            <w:tcW w:w="615" w:type="dxa"/>
            <w:vAlign w:val="center"/>
          </w:tcPr>
          <w:p w14:paraId="5E64CF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77C49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A83499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六十三条：违反本法规定，测绘成果质量不合格的，责令测绘单位补测或者重测；情节严重的，责令停业整顿，并处降低测绘资质等级或者吊销测绘资质证书；造成损失的，依法承担赔偿责任。</w:t>
            </w:r>
          </w:p>
          <w:p w14:paraId="65B00C5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2.【行政法规】《基础测绘条例》（2009年国务院第556号令） 第三十三条：违反本条例规定，基础测绘成果质量不合格的，责令基础测绘项目承担单位补测或者重测；情节严重的，责令停业整顿，降低资质等级直至吊销测绘资质证书；给用户造成损失的，依法承担赔偿责任。</w:t>
            </w:r>
          </w:p>
        </w:tc>
        <w:tc>
          <w:tcPr>
            <w:tcW w:w="3585" w:type="dxa"/>
            <w:vAlign w:val="center"/>
          </w:tcPr>
          <w:p w14:paraId="32CF26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1.立案责任：对于日常监督检查发现或举报投诉，涉嫌测绘成果质量不合格的情况，应及时制止（对正在实施的违法行为，下达《责令停止违法行为通知书》）,并进行审查核实，符合立案条件的予以立案。</w:t>
            </w:r>
          </w:p>
          <w:p w14:paraId="44AB9D6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2.调查责任：执法人员不得少于两人，出示证件、表明身份；通过搜集证据、现场了解核实测绘成果质量不合格的情况，并制作笔录。调查时允许当事人辩解陈述。执法人员应保守有关秘密。</w:t>
            </w:r>
          </w:p>
          <w:p w14:paraId="56A51E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4C415BA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22DF40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测绘成果质量不合格的事实进行认定，依法制作《行政处罚决定书》，载明违反法律法规或规章的事实和证据、行政处罚的具体依据和内容，告知当事人陈述申辩或者听证情况等内容，告知申请行政复议或提起行政诉讼的权利。</w:t>
            </w:r>
          </w:p>
          <w:p w14:paraId="0EB3A5A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5863AE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A525AC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2DD398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90A380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91B86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C1DF13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CF9A5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C4E033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3626C0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D9EB0CD">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925B8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FE4D5C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77A1B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4E235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E8787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80F80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917521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CDC1A2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D522F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C29869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777A2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07E25F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1866510">
            <w:pPr>
              <w:snapToGrid w:val="0"/>
              <w:spacing w:line="240" w:lineRule="atLeast"/>
              <w:jc w:val="center"/>
              <w:rPr>
                <w:rFonts w:ascii="仿宋_GB2312" w:hAnsi="仿宋_GB2312" w:eastAsia="仿宋_GB2312" w:cs="仿宋_GB2312"/>
                <w:sz w:val="20"/>
                <w:szCs w:val="20"/>
              </w:rPr>
            </w:pPr>
          </w:p>
        </w:tc>
      </w:tr>
    </w:tbl>
    <w:p w14:paraId="7B9C3F0D"/>
    <w:p w14:paraId="7164D043"/>
    <w:p w14:paraId="7C39A2C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AD4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5091F5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1184EFC">
            <w:pPr>
              <w:spacing w:line="240" w:lineRule="atLeast"/>
              <w:rPr>
                <w:rFonts w:asciiTheme="majorEastAsia" w:hAnsiTheme="majorEastAsia" w:eastAsiaTheme="majorEastAsia" w:cstheme="majorEastAsia"/>
                <w:spacing w:val="-20"/>
                <w:sz w:val="20"/>
                <w:szCs w:val="20"/>
              </w:rPr>
            </w:pPr>
          </w:p>
          <w:p w14:paraId="021627A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2CAC68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1AD7A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E2DB173">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007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000C8BF">
            <w:pPr>
              <w:spacing w:line="240" w:lineRule="atLeast"/>
              <w:jc w:val="left"/>
              <w:rPr>
                <w:rFonts w:ascii="仿宋_GB2312" w:hAnsi="仿宋_GB2312" w:eastAsia="仿宋_GB2312" w:cs="仿宋_GB2312"/>
                <w:sz w:val="20"/>
                <w:szCs w:val="20"/>
              </w:rPr>
            </w:pPr>
          </w:p>
        </w:tc>
        <w:tc>
          <w:tcPr>
            <w:tcW w:w="555" w:type="dxa"/>
            <w:vMerge w:val="continue"/>
          </w:tcPr>
          <w:p w14:paraId="27EE091A">
            <w:pPr>
              <w:spacing w:line="240" w:lineRule="atLeast"/>
              <w:jc w:val="left"/>
              <w:rPr>
                <w:rFonts w:ascii="仿宋_GB2312" w:hAnsi="仿宋_GB2312" w:eastAsia="仿宋_GB2312" w:cs="仿宋_GB2312"/>
                <w:sz w:val="20"/>
                <w:szCs w:val="20"/>
              </w:rPr>
            </w:pPr>
          </w:p>
        </w:tc>
        <w:tc>
          <w:tcPr>
            <w:tcW w:w="784" w:type="dxa"/>
            <w:vAlign w:val="center"/>
          </w:tcPr>
          <w:p w14:paraId="1541DF2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D9C6B9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197302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552933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49A6FF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018C4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4462E2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41609F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28EB75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2D9CD13">
            <w:pPr>
              <w:spacing w:line="240" w:lineRule="atLeast"/>
              <w:jc w:val="left"/>
              <w:rPr>
                <w:rFonts w:ascii="仿宋_GB2312" w:hAnsi="仿宋_GB2312" w:eastAsia="仿宋_GB2312" w:cs="仿宋_GB2312"/>
                <w:sz w:val="20"/>
                <w:szCs w:val="20"/>
              </w:rPr>
            </w:pPr>
          </w:p>
        </w:tc>
      </w:tr>
      <w:tr w14:paraId="034B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350EF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166</w:t>
            </w:r>
          </w:p>
        </w:tc>
        <w:tc>
          <w:tcPr>
            <w:tcW w:w="555" w:type="dxa"/>
            <w:vAlign w:val="center"/>
          </w:tcPr>
          <w:p w14:paraId="1C0327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99220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33D58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69032C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对损毁、擅自移动永久性测量标志或者正在使用中的临时性测量标志行为的处罚</w:t>
            </w:r>
          </w:p>
        </w:tc>
        <w:tc>
          <w:tcPr>
            <w:tcW w:w="660" w:type="dxa"/>
            <w:vAlign w:val="center"/>
          </w:tcPr>
          <w:p w14:paraId="011C0D22">
            <w:pPr>
              <w:snapToGrid w:val="0"/>
              <w:spacing w:line="240" w:lineRule="atLeast"/>
              <w:jc w:val="center"/>
              <w:rPr>
                <w:rFonts w:ascii="仿宋_GB2312" w:hAnsi="仿宋_GB2312" w:eastAsia="仿宋_GB2312" w:cs="仿宋_GB2312"/>
                <w:sz w:val="20"/>
                <w:szCs w:val="20"/>
              </w:rPr>
            </w:pPr>
          </w:p>
        </w:tc>
        <w:tc>
          <w:tcPr>
            <w:tcW w:w="615" w:type="dxa"/>
            <w:vAlign w:val="center"/>
          </w:tcPr>
          <w:p w14:paraId="61604F5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81A8A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C7A97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12B4BEE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727DA9F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（一）损毁、擅自移动永久性测量标志或者正在使用中的临时性测量标志。</w:t>
            </w:r>
          </w:p>
          <w:p w14:paraId="316826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2.【行政法规】《中华人民共和国测量标志保护条例》（1996年国务院令第203号发布，根据2011年1月8日国务院令第588号《国务院关于废止和修改部分行政法规的决定》修正） 第二十二条：测量标志受国家保护，禁止下列有损测量标志安全和使测量标志失去使用效能的行为：</w:t>
            </w:r>
          </w:p>
          <w:p w14:paraId="7DB13C3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（一）损毁或者擅自移动地下或者地上的永久性测量标志以及使用中的临时性测量标志的。</w:t>
            </w:r>
          </w:p>
          <w:p w14:paraId="0CDD445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tc>
        <w:tc>
          <w:tcPr>
            <w:tcW w:w="3585" w:type="dxa"/>
            <w:vAlign w:val="center"/>
          </w:tcPr>
          <w:p w14:paraId="2C69ED6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损毁、擅自移动永久性测量标志或者正在使用中的临时性测量标志的情况，应及时制止（对正在实施的违法行为，下达《责令停止违法行为通知书》）,并进行审查核实，符合立案条件的予以立案。</w:t>
            </w:r>
          </w:p>
          <w:p w14:paraId="07C65F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损毁、擅自移动永久性测量标志或者正在使用中的临时性测量标志的情况，并制作笔录。调查时允许当事人辩解陈述。执法人员应保守有关秘密。</w:t>
            </w:r>
          </w:p>
          <w:p w14:paraId="345149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128AE8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541BA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损毁、擅自移动永久性测量标志或者正在使用中的临时性测量标志的事实进行认定，依法制作《行政处罚决定书》，载明违反法律法规或规章的事实和证据、行政处罚的具体依据和内容，告知当事人陈述申辩或者听证情况等内容，告知申请行政复议或提起行政诉讼的权利。</w:t>
            </w:r>
          </w:p>
          <w:p w14:paraId="529D6C7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3421F1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4DABA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A434BBB">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B6A4D4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38D2D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F74B5A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C94024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59F377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8185B0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B97511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3503F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757C0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0EC7A8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ADEA5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0F7CF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30FC61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8A79F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DD8B10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5B0D81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3762E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CC821F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DBE36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C9E4969">
            <w:pPr>
              <w:snapToGrid w:val="0"/>
              <w:spacing w:line="240" w:lineRule="atLeast"/>
              <w:jc w:val="center"/>
              <w:rPr>
                <w:rFonts w:ascii="仿宋_GB2312" w:hAnsi="仿宋_GB2312" w:eastAsia="仿宋_GB2312" w:cs="仿宋_GB2312"/>
                <w:sz w:val="20"/>
                <w:szCs w:val="20"/>
              </w:rPr>
            </w:pPr>
          </w:p>
        </w:tc>
      </w:tr>
    </w:tbl>
    <w:p w14:paraId="3A901760"/>
    <w:p w14:paraId="1DD79683"/>
    <w:p w14:paraId="50A8BC9C"/>
    <w:p w14:paraId="27AE878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A21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773AD0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9751039">
            <w:pPr>
              <w:spacing w:line="240" w:lineRule="atLeast"/>
              <w:rPr>
                <w:rFonts w:asciiTheme="majorEastAsia" w:hAnsiTheme="majorEastAsia" w:eastAsiaTheme="majorEastAsia" w:cstheme="majorEastAsia"/>
                <w:spacing w:val="-20"/>
                <w:sz w:val="20"/>
                <w:szCs w:val="20"/>
              </w:rPr>
            </w:pPr>
          </w:p>
          <w:p w14:paraId="73A0A02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E4AA71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ACB02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080FCD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E7A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5C30B24">
            <w:pPr>
              <w:spacing w:line="240" w:lineRule="atLeast"/>
              <w:jc w:val="left"/>
              <w:rPr>
                <w:rFonts w:ascii="仿宋_GB2312" w:hAnsi="仿宋_GB2312" w:eastAsia="仿宋_GB2312" w:cs="仿宋_GB2312"/>
                <w:sz w:val="20"/>
                <w:szCs w:val="20"/>
              </w:rPr>
            </w:pPr>
          </w:p>
        </w:tc>
        <w:tc>
          <w:tcPr>
            <w:tcW w:w="555" w:type="dxa"/>
            <w:vMerge w:val="continue"/>
          </w:tcPr>
          <w:p w14:paraId="34DCB5C1">
            <w:pPr>
              <w:spacing w:line="240" w:lineRule="atLeast"/>
              <w:jc w:val="left"/>
              <w:rPr>
                <w:rFonts w:ascii="仿宋_GB2312" w:hAnsi="仿宋_GB2312" w:eastAsia="仿宋_GB2312" w:cs="仿宋_GB2312"/>
                <w:sz w:val="20"/>
                <w:szCs w:val="20"/>
              </w:rPr>
            </w:pPr>
          </w:p>
        </w:tc>
        <w:tc>
          <w:tcPr>
            <w:tcW w:w="784" w:type="dxa"/>
            <w:vAlign w:val="center"/>
          </w:tcPr>
          <w:p w14:paraId="29C15EA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61B0D3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FE1011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1A2923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753295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B8A536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6538F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12B0A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9A3894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DE8AF90">
            <w:pPr>
              <w:spacing w:line="240" w:lineRule="atLeast"/>
              <w:jc w:val="left"/>
              <w:rPr>
                <w:rFonts w:ascii="仿宋_GB2312" w:hAnsi="仿宋_GB2312" w:eastAsia="仿宋_GB2312" w:cs="仿宋_GB2312"/>
                <w:sz w:val="20"/>
                <w:szCs w:val="20"/>
              </w:rPr>
            </w:pPr>
          </w:p>
        </w:tc>
      </w:tr>
      <w:tr w14:paraId="1768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5F6C9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167</w:t>
            </w:r>
          </w:p>
        </w:tc>
        <w:tc>
          <w:tcPr>
            <w:tcW w:w="555" w:type="dxa"/>
            <w:vAlign w:val="center"/>
          </w:tcPr>
          <w:p w14:paraId="4FB59D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5E71B8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4A60E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803EA3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对侵占永久性测量标志用地行为的处罚</w:t>
            </w:r>
          </w:p>
        </w:tc>
        <w:tc>
          <w:tcPr>
            <w:tcW w:w="660" w:type="dxa"/>
            <w:vAlign w:val="center"/>
          </w:tcPr>
          <w:p w14:paraId="3E41D074">
            <w:pPr>
              <w:snapToGrid w:val="0"/>
              <w:spacing w:line="240" w:lineRule="atLeast"/>
              <w:jc w:val="center"/>
              <w:rPr>
                <w:rFonts w:ascii="仿宋_GB2312" w:hAnsi="仿宋_GB2312" w:eastAsia="仿宋_GB2312" w:cs="仿宋_GB2312"/>
                <w:sz w:val="20"/>
                <w:szCs w:val="20"/>
              </w:rPr>
            </w:pPr>
          </w:p>
        </w:tc>
        <w:tc>
          <w:tcPr>
            <w:tcW w:w="615" w:type="dxa"/>
            <w:vAlign w:val="center"/>
          </w:tcPr>
          <w:p w14:paraId="6357AA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3B79A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91505C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6BF011D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12162A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（二）侵占永久性测量标志用地。</w:t>
            </w:r>
          </w:p>
          <w:p w14:paraId="39D6F4E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根据2011年1月8日国务院令第588号《国务院关于废止和修改部分行政法规的决定》修正）第二十二条：测量标志受国家保护，禁止下列有损测量标志安全和使测量标志失去使用效能的行为：</w:t>
            </w:r>
          </w:p>
          <w:p w14:paraId="0489E50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（二）在测量标志占地范围内烧荒、耕作、取土、挖沙或者侵占永久性测量标志用地的。</w:t>
            </w:r>
          </w:p>
          <w:p w14:paraId="4DF9028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tc>
        <w:tc>
          <w:tcPr>
            <w:tcW w:w="3585" w:type="dxa"/>
            <w:vAlign w:val="center"/>
          </w:tcPr>
          <w:p w14:paraId="793361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1.立案责任：对于日常监督检查发现或举报投诉，涉嫌侵占永久性测量标志用地的情况，应及时制止（对正在实施的违法行为，下达《责令停止违法行为通知书》）,并进行审查核实，符合立案条件的予以立案。</w:t>
            </w:r>
          </w:p>
          <w:p w14:paraId="3158A32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2.调查责任：执法人员不得少于两人，出示证件、表明身份；通过搜集证据、现场了解核实侵占永久性测量标志用地的情况，并制作笔录。调查时允许当事人辩解陈述。执法人员应保守有关秘密。</w:t>
            </w:r>
          </w:p>
          <w:p w14:paraId="6E85C4F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654FFE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3EC6E8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侵占永久性测量标志用地的事实进行认定，依法制作《行政处罚决定书》，载明违反法律法规或规章的事实和证据、行政处罚的具体依据和内容，告知当事人陈述申辩或者听证情况等内容，告知申请行政复议或提起行政诉讼的权利。</w:t>
            </w:r>
          </w:p>
          <w:p w14:paraId="0101BF4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4CD5B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2B95E7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6946431">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80F3BB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6AEA6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6D8141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9CE03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29DA0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0B32AA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A0BE41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3FD67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DAFB9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F9DC2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834C4E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06CC28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BF058A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4A8DC9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4B33CF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2BA78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2C155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0376E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19ED6A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13EC4388">
            <w:pPr>
              <w:snapToGrid w:val="0"/>
              <w:spacing w:line="240" w:lineRule="atLeast"/>
              <w:jc w:val="center"/>
              <w:rPr>
                <w:rFonts w:ascii="仿宋_GB2312" w:hAnsi="仿宋_GB2312" w:eastAsia="仿宋_GB2312" w:cs="仿宋_GB2312"/>
                <w:sz w:val="20"/>
                <w:szCs w:val="20"/>
              </w:rPr>
            </w:pPr>
          </w:p>
        </w:tc>
      </w:tr>
    </w:tbl>
    <w:p w14:paraId="255EA241"/>
    <w:p w14:paraId="432201FA"/>
    <w:p w14:paraId="6A46449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479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0B2133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9EF5DEA">
            <w:pPr>
              <w:spacing w:line="240" w:lineRule="atLeast"/>
              <w:rPr>
                <w:rFonts w:asciiTheme="majorEastAsia" w:hAnsiTheme="majorEastAsia" w:eastAsiaTheme="majorEastAsia" w:cstheme="majorEastAsia"/>
                <w:spacing w:val="-20"/>
                <w:sz w:val="20"/>
                <w:szCs w:val="20"/>
              </w:rPr>
            </w:pPr>
          </w:p>
          <w:p w14:paraId="34AD88D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8EE6E3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80BFDF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F0CA5C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369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551FA7C">
            <w:pPr>
              <w:spacing w:line="240" w:lineRule="atLeast"/>
              <w:jc w:val="left"/>
              <w:rPr>
                <w:rFonts w:ascii="仿宋_GB2312" w:hAnsi="仿宋_GB2312" w:eastAsia="仿宋_GB2312" w:cs="仿宋_GB2312"/>
                <w:sz w:val="20"/>
                <w:szCs w:val="20"/>
              </w:rPr>
            </w:pPr>
          </w:p>
        </w:tc>
        <w:tc>
          <w:tcPr>
            <w:tcW w:w="555" w:type="dxa"/>
            <w:vMerge w:val="continue"/>
          </w:tcPr>
          <w:p w14:paraId="6C10AEB4">
            <w:pPr>
              <w:spacing w:line="240" w:lineRule="atLeast"/>
              <w:jc w:val="left"/>
              <w:rPr>
                <w:rFonts w:ascii="仿宋_GB2312" w:hAnsi="仿宋_GB2312" w:eastAsia="仿宋_GB2312" w:cs="仿宋_GB2312"/>
                <w:sz w:val="20"/>
                <w:szCs w:val="20"/>
              </w:rPr>
            </w:pPr>
          </w:p>
        </w:tc>
        <w:tc>
          <w:tcPr>
            <w:tcW w:w="784" w:type="dxa"/>
            <w:vAlign w:val="center"/>
          </w:tcPr>
          <w:p w14:paraId="2A711CB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3C2279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78B45B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CC3252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ADA420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BFFFD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D8A8D5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D51803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E5DB8F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61F8242">
            <w:pPr>
              <w:spacing w:line="240" w:lineRule="atLeast"/>
              <w:jc w:val="left"/>
              <w:rPr>
                <w:rFonts w:ascii="仿宋_GB2312" w:hAnsi="仿宋_GB2312" w:eastAsia="仿宋_GB2312" w:cs="仿宋_GB2312"/>
                <w:sz w:val="20"/>
                <w:szCs w:val="20"/>
              </w:rPr>
            </w:pPr>
          </w:p>
        </w:tc>
      </w:tr>
      <w:tr w14:paraId="2870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26B2E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168</w:t>
            </w:r>
          </w:p>
        </w:tc>
        <w:tc>
          <w:tcPr>
            <w:tcW w:w="555" w:type="dxa"/>
            <w:vAlign w:val="center"/>
          </w:tcPr>
          <w:p w14:paraId="00788B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B1A9B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7B3898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F343FA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对在永久性测量标志安全控制范围内从事危害测量标志安全和使用效能的活动行为的处罚</w:t>
            </w:r>
          </w:p>
        </w:tc>
        <w:tc>
          <w:tcPr>
            <w:tcW w:w="660" w:type="dxa"/>
            <w:vAlign w:val="center"/>
          </w:tcPr>
          <w:p w14:paraId="60798BC6">
            <w:pPr>
              <w:snapToGrid w:val="0"/>
              <w:spacing w:line="240" w:lineRule="atLeast"/>
              <w:jc w:val="center"/>
              <w:rPr>
                <w:rFonts w:ascii="仿宋_GB2312" w:hAnsi="仿宋_GB2312" w:eastAsia="仿宋_GB2312" w:cs="仿宋_GB2312"/>
                <w:sz w:val="20"/>
                <w:szCs w:val="20"/>
              </w:rPr>
            </w:pPr>
          </w:p>
        </w:tc>
        <w:tc>
          <w:tcPr>
            <w:tcW w:w="615" w:type="dxa"/>
            <w:vAlign w:val="center"/>
          </w:tcPr>
          <w:p w14:paraId="5F7B91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55520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BE610B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173D08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4C7703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（三）在永久性测量标志安全控制范围内从事危害测量标志安全和使用效能的活动；</w:t>
            </w:r>
          </w:p>
          <w:p w14:paraId="5B11617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2.【行政法规】《中华人民共和国测量标志保护条例》（1996年国务院令第203号发布，2011年国务院令第588号修订）  第二十二条：测量标志受国家保护，禁止下列有损测量标志安全和使测量标志失去使用效能的行为：（一）损毁或者擅自移动地下或者地上的永久性测量标志以及使用中的临时性测量标志的；（二）在测量标志占地范围内烧荒、耕作、取土、挖沙或者侵占永久性测量标志用地的；（三）在距永久性测量标志50米范围内采石、爆破、射击、架设高压电线的；（四）在测量标志的占地范围内，建设影响测量标志使用效能的建筑物的；（五）在测量标志上架设通讯设施、设置观望台、搭帐篷、拴牲畜或者设置其他有可能损毁测量标志的附着物的；（六）擅自拆除设有测量标志的建筑物或者拆除建筑物上的测量标志的。（七）其他有损测量标志安全和使用效能的。</w:t>
            </w:r>
          </w:p>
          <w:p w14:paraId="4316D2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4F26154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（一）干扰或者阻挠测量标志建设单位依法使用土地或者在建筑物上建设永久性测量标志的；</w:t>
            </w:r>
          </w:p>
          <w:p w14:paraId="5089252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（二）工程建设单位未经批准擅自拆迁永久性测量标志或者使永久性测量标志失去使用效能的，或者拒绝按照国家有关规定支付迁建费用的；</w:t>
            </w:r>
          </w:p>
          <w:p w14:paraId="44C5903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（三）违反测绘操作规程进行测绘，使永久性测量标志受到损坏的；</w:t>
            </w:r>
          </w:p>
          <w:p w14:paraId="32F39B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（四）无证使用永久性测量标志并且拒绝县级以上人民政府管理测绘工作的部门监督和负责保管测量标志的单位和人员查询的。</w:t>
            </w:r>
          </w:p>
        </w:tc>
        <w:tc>
          <w:tcPr>
            <w:tcW w:w="3585" w:type="dxa"/>
            <w:vAlign w:val="center"/>
          </w:tcPr>
          <w:p w14:paraId="54C86FE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在永久性测量标志安全控制范围内从事危害测量标志安全和使用效能的活动的情况，应及时制止（对正在实施的违法行为，下达《责令停止违法行为通知书》）,并进行审查核实，符合立案条件的予以立案。</w:t>
            </w:r>
          </w:p>
          <w:p w14:paraId="5DAD0F8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在永久性测量标志安全控制范围内从事危害测量标志安全和使用效能的活动的情况，并制作笔录。调查时允许当事人辩解陈述。执法人员应保守有关秘密。</w:t>
            </w:r>
          </w:p>
          <w:p w14:paraId="512935B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DED89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24083B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在永久性测量标志安全控制范围内从事危害测量标志安全和使用效能的活动的事实进行认定，依法制作行《政处罚决定书》，载明违反法律法规或规章的事实和证据、行政处罚的具体依据和内容，告知当事人陈述申辩或者听证情况等内容，告知申请行政复议或提起行政诉讼的权利。</w:t>
            </w:r>
          </w:p>
          <w:p w14:paraId="3BCFE9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1D330E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B296BD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01DC4E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B31599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FF2FB9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2CC853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C5238A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770F8A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20568B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A7BF50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5B6B8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5925A8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80D688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938361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FE122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A11CB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618E0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02DFB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23A6F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C0883C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F98F07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5CFF8D1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DFE3697">
            <w:pPr>
              <w:snapToGrid w:val="0"/>
              <w:spacing w:line="240" w:lineRule="atLeast"/>
              <w:jc w:val="center"/>
              <w:rPr>
                <w:rFonts w:ascii="仿宋_GB2312" w:hAnsi="仿宋_GB2312" w:eastAsia="仿宋_GB2312" w:cs="仿宋_GB2312"/>
                <w:sz w:val="20"/>
                <w:szCs w:val="20"/>
              </w:rPr>
            </w:pPr>
          </w:p>
        </w:tc>
      </w:tr>
    </w:tbl>
    <w:p w14:paraId="16B59234"/>
    <w:p w14:paraId="652A5182"/>
    <w:p w14:paraId="1793E2F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36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435B4C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3BFA191">
            <w:pPr>
              <w:spacing w:line="240" w:lineRule="atLeast"/>
              <w:rPr>
                <w:rFonts w:asciiTheme="majorEastAsia" w:hAnsiTheme="majorEastAsia" w:eastAsiaTheme="majorEastAsia" w:cstheme="majorEastAsia"/>
                <w:spacing w:val="-20"/>
                <w:sz w:val="20"/>
                <w:szCs w:val="20"/>
              </w:rPr>
            </w:pPr>
          </w:p>
          <w:p w14:paraId="4DF3B8C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088AC5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942A19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55B0D2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ABC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4E41A81">
            <w:pPr>
              <w:spacing w:line="240" w:lineRule="atLeast"/>
              <w:jc w:val="left"/>
              <w:rPr>
                <w:rFonts w:ascii="仿宋_GB2312" w:hAnsi="仿宋_GB2312" w:eastAsia="仿宋_GB2312" w:cs="仿宋_GB2312"/>
                <w:sz w:val="20"/>
                <w:szCs w:val="20"/>
              </w:rPr>
            </w:pPr>
          </w:p>
        </w:tc>
        <w:tc>
          <w:tcPr>
            <w:tcW w:w="555" w:type="dxa"/>
            <w:vMerge w:val="continue"/>
          </w:tcPr>
          <w:p w14:paraId="3B7D55C9">
            <w:pPr>
              <w:spacing w:line="240" w:lineRule="atLeast"/>
              <w:jc w:val="left"/>
              <w:rPr>
                <w:rFonts w:ascii="仿宋_GB2312" w:hAnsi="仿宋_GB2312" w:eastAsia="仿宋_GB2312" w:cs="仿宋_GB2312"/>
                <w:sz w:val="20"/>
                <w:szCs w:val="20"/>
              </w:rPr>
            </w:pPr>
          </w:p>
        </w:tc>
        <w:tc>
          <w:tcPr>
            <w:tcW w:w="784" w:type="dxa"/>
            <w:vAlign w:val="center"/>
          </w:tcPr>
          <w:p w14:paraId="14B0FBF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63C191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CF889D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90D793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77AB73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20B2AF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337E1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9DC353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E13A37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8E03B6E">
            <w:pPr>
              <w:spacing w:line="240" w:lineRule="atLeast"/>
              <w:jc w:val="left"/>
              <w:rPr>
                <w:rFonts w:ascii="仿宋_GB2312" w:hAnsi="仿宋_GB2312" w:eastAsia="仿宋_GB2312" w:cs="仿宋_GB2312"/>
                <w:sz w:val="20"/>
                <w:szCs w:val="20"/>
              </w:rPr>
            </w:pPr>
          </w:p>
        </w:tc>
      </w:tr>
      <w:tr w14:paraId="12F4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DFA59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169</w:t>
            </w:r>
          </w:p>
        </w:tc>
        <w:tc>
          <w:tcPr>
            <w:tcW w:w="555" w:type="dxa"/>
            <w:vAlign w:val="center"/>
          </w:tcPr>
          <w:p w14:paraId="52DF683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E1F31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16587C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622C308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对擅自拆除永久性测量标志或者使永久性测量标志失去使用效能，或者拒绝支付迁建费用行为的处罚</w:t>
            </w:r>
          </w:p>
        </w:tc>
        <w:tc>
          <w:tcPr>
            <w:tcW w:w="660" w:type="dxa"/>
            <w:vAlign w:val="center"/>
          </w:tcPr>
          <w:p w14:paraId="1B67173F">
            <w:pPr>
              <w:snapToGrid w:val="0"/>
              <w:spacing w:line="240" w:lineRule="atLeast"/>
              <w:jc w:val="center"/>
              <w:rPr>
                <w:rFonts w:ascii="仿宋_GB2312" w:hAnsi="仿宋_GB2312" w:eastAsia="仿宋_GB2312" w:cs="仿宋_GB2312"/>
                <w:sz w:val="20"/>
                <w:szCs w:val="20"/>
              </w:rPr>
            </w:pPr>
          </w:p>
        </w:tc>
        <w:tc>
          <w:tcPr>
            <w:tcW w:w="615" w:type="dxa"/>
            <w:vAlign w:val="center"/>
          </w:tcPr>
          <w:p w14:paraId="05A61C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A5437C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9558E5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22E437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722346E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（四）擅自拆迁永久性测量标志或者使永久性测量标志失去使用效能，或者拒绝支付迁建费用；</w:t>
            </w:r>
          </w:p>
          <w:p w14:paraId="1DC9174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2.【行政法规】《中华人民共和国测量标志保护条例》（1996年国务院令第203号发布，2011年国务院令第588号修订）  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66B16A9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（二）工程建设单位未经批准擅自拆迁永久性测量标志或者使永久性测量标志失去使用效能的，或者拒绝按照国家有关规定支付迁建费用的。</w:t>
            </w:r>
          </w:p>
        </w:tc>
        <w:tc>
          <w:tcPr>
            <w:tcW w:w="3585" w:type="dxa"/>
            <w:vAlign w:val="center"/>
          </w:tcPr>
          <w:p w14:paraId="57C5F45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擅自拆除永久性测量标志或者使永久性测量标志失去使用效能，或者拒绝支付迁建费用的情况，应及时制止（对正在实施的违法行为，下达《责令停止违法行为通知书》）,并进行审查核实，符合立案条件的予以立案。</w:t>
            </w:r>
          </w:p>
          <w:p w14:paraId="748167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拆除永久性测量标志或者使永久性测量标志失去使用效能，或者拒绝支付迁建费用的情况，并制作笔录。调查时允许当事人辩解陈述。执法人员应保守有关秘密。</w:t>
            </w:r>
          </w:p>
          <w:p w14:paraId="0AD3A9B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0DAA92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42CCC75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擅自拆除永久性测量标志或者使永久性测量标志失去使用效能，或者拒绝支付迁建费用的事实进行认定，依法制作《行政处罚决定书》，载明违反法律法规或规章的事实和证据、行政处罚的具体依据和内容，告知当事人陈述申辩或者听证情况等内容，告知申请行政复议或提起行政诉讼的权利。</w:t>
            </w:r>
          </w:p>
          <w:p w14:paraId="0BFA871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C41660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BE192D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3B1E39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92EE37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531D67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9A408E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62423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57CF6C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618E76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6B24EB2">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70E9A9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5934BE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0BEB77E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BA873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6CF1F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2F03B1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9CA8F8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8DA86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6FAC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849172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14174F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5F4DD6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42A833C">
            <w:pPr>
              <w:snapToGrid w:val="0"/>
              <w:spacing w:line="240" w:lineRule="atLeast"/>
              <w:jc w:val="center"/>
              <w:rPr>
                <w:rFonts w:ascii="仿宋_GB2312" w:hAnsi="仿宋_GB2312" w:eastAsia="仿宋_GB2312" w:cs="仿宋_GB2312"/>
                <w:sz w:val="20"/>
                <w:szCs w:val="20"/>
              </w:rPr>
            </w:pPr>
          </w:p>
        </w:tc>
      </w:tr>
    </w:tbl>
    <w:p w14:paraId="44A04D8B"/>
    <w:p w14:paraId="3AC65479"/>
    <w:p w14:paraId="5D725ED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59B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32F5C7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D20A714">
            <w:pPr>
              <w:spacing w:line="240" w:lineRule="atLeast"/>
              <w:rPr>
                <w:rFonts w:asciiTheme="majorEastAsia" w:hAnsiTheme="majorEastAsia" w:eastAsiaTheme="majorEastAsia" w:cstheme="majorEastAsia"/>
                <w:spacing w:val="-20"/>
                <w:sz w:val="20"/>
                <w:szCs w:val="20"/>
              </w:rPr>
            </w:pPr>
          </w:p>
          <w:p w14:paraId="50C6E37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A8988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B37DDD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D4B763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02F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3221A18">
            <w:pPr>
              <w:spacing w:line="240" w:lineRule="atLeast"/>
              <w:jc w:val="left"/>
              <w:rPr>
                <w:rFonts w:ascii="仿宋_GB2312" w:hAnsi="仿宋_GB2312" w:eastAsia="仿宋_GB2312" w:cs="仿宋_GB2312"/>
                <w:sz w:val="20"/>
                <w:szCs w:val="20"/>
              </w:rPr>
            </w:pPr>
          </w:p>
        </w:tc>
        <w:tc>
          <w:tcPr>
            <w:tcW w:w="555" w:type="dxa"/>
            <w:vMerge w:val="continue"/>
          </w:tcPr>
          <w:p w14:paraId="5DDBB502">
            <w:pPr>
              <w:spacing w:line="240" w:lineRule="atLeast"/>
              <w:jc w:val="left"/>
              <w:rPr>
                <w:rFonts w:ascii="仿宋_GB2312" w:hAnsi="仿宋_GB2312" w:eastAsia="仿宋_GB2312" w:cs="仿宋_GB2312"/>
                <w:sz w:val="20"/>
                <w:szCs w:val="20"/>
              </w:rPr>
            </w:pPr>
          </w:p>
        </w:tc>
        <w:tc>
          <w:tcPr>
            <w:tcW w:w="784" w:type="dxa"/>
            <w:vAlign w:val="center"/>
          </w:tcPr>
          <w:p w14:paraId="593C0CA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213D35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B59CCE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635105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75A8DA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8F64E1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606FE9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373FC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F02623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12AE215">
            <w:pPr>
              <w:spacing w:line="240" w:lineRule="atLeast"/>
              <w:jc w:val="left"/>
              <w:rPr>
                <w:rFonts w:ascii="仿宋_GB2312" w:hAnsi="仿宋_GB2312" w:eastAsia="仿宋_GB2312" w:cs="仿宋_GB2312"/>
                <w:sz w:val="20"/>
                <w:szCs w:val="20"/>
              </w:rPr>
            </w:pPr>
          </w:p>
        </w:tc>
      </w:tr>
      <w:tr w14:paraId="20A5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C2F38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170</w:t>
            </w:r>
          </w:p>
        </w:tc>
        <w:tc>
          <w:tcPr>
            <w:tcW w:w="555" w:type="dxa"/>
            <w:vAlign w:val="center"/>
          </w:tcPr>
          <w:p w14:paraId="6A51D7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344178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4465A9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5CD7C7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对违反操作规程使用永久性测量标志，造成永久性测量标志毁损行为的处罚</w:t>
            </w:r>
          </w:p>
        </w:tc>
        <w:tc>
          <w:tcPr>
            <w:tcW w:w="660" w:type="dxa"/>
            <w:vAlign w:val="center"/>
          </w:tcPr>
          <w:p w14:paraId="6719B3BB">
            <w:pPr>
              <w:snapToGrid w:val="0"/>
              <w:spacing w:line="240" w:lineRule="atLeast"/>
              <w:jc w:val="center"/>
              <w:rPr>
                <w:rFonts w:ascii="仿宋_GB2312" w:hAnsi="仿宋_GB2312" w:eastAsia="仿宋_GB2312" w:cs="仿宋_GB2312"/>
                <w:sz w:val="20"/>
                <w:szCs w:val="20"/>
              </w:rPr>
            </w:pPr>
          </w:p>
        </w:tc>
        <w:tc>
          <w:tcPr>
            <w:tcW w:w="615" w:type="dxa"/>
            <w:vAlign w:val="center"/>
          </w:tcPr>
          <w:p w14:paraId="59A7B0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7E11E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5F36F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四十一条：任何单位和个人不得损毁或者擅自移动永久性测量标志和正在使用中的临时性测量标志，不得侵占永久性测量标志用地，不得在永久性测量标志安全控制范围内从事危害测量标志安全和使用效能的活动。</w:t>
            </w:r>
          </w:p>
          <w:p w14:paraId="6914C77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十四条：违反本法规定，有下列行为之一的，给予警告，责令改正，可以并处二十万元以下的罚款；对直接负责的主管人员和其他直接责任人员，依法给予处分；造成损失的，依法承担赔偿责任；构成犯罪的，依法追究刑事责任：</w:t>
            </w:r>
          </w:p>
          <w:p w14:paraId="64616D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（五）违反操作规程使用永久性测量标志，造成永久性测量标志毁损。</w:t>
            </w:r>
          </w:p>
        </w:tc>
        <w:tc>
          <w:tcPr>
            <w:tcW w:w="3585" w:type="dxa"/>
            <w:vAlign w:val="center"/>
          </w:tcPr>
          <w:p w14:paraId="08569E3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违反操作规程使用永久性测量标志，造成永久性测量标志损毁或损坏的情况，应及时制止（对正在实施的违法行为，下达《责令停止违法行为通知书》）,并进行审查核实，符合立案条件的予以立案。</w:t>
            </w:r>
          </w:p>
          <w:p w14:paraId="5BDD87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违反操作规程使用永久性测量标志，造成永久性测量标志损毁或损坏的情况，并制作笔录。调查时允许当事人辩解陈述。执法人员应保守有关秘密。</w:t>
            </w:r>
          </w:p>
          <w:p w14:paraId="3E9A07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1B67E8D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D04FED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违反操作规程使用永久性测量标志，造成永久性测量标志损毁或损坏的事实进行认定，依法制作《行政处罚决定书》，载明违反法律法规或规章的事实和证据、行政处罚的具体依据和内容，告知当事人陈述申辩或者听证情况等内容，告知申请行政复议或提起行政诉讼的权利。</w:t>
            </w:r>
          </w:p>
          <w:p w14:paraId="6F38E3E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4DBE94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5B1F4C3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8D54B4D">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769595A">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C3A63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D14AA2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5746F9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20B6AC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9AE179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75ED61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480B8F2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471E1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E19BB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B3A39B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40C213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46FFA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04400A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330135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EE932A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5D0E8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991C2E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2E0996E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72B26BA0">
            <w:pPr>
              <w:snapToGrid w:val="0"/>
              <w:spacing w:line="240" w:lineRule="atLeast"/>
              <w:jc w:val="center"/>
              <w:rPr>
                <w:rFonts w:ascii="仿宋_GB2312" w:hAnsi="仿宋_GB2312" w:eastAsia="仿宋_GB2312" w:cs="仿宋_GB2312"/>
                <w:sz w:val="20"/>
                <w:szCs w:val="20"/>
              </w:rPr>
            </w:pPr>
          </w:p>
        </w:tc>
      </w:tr>
    </w:tbl>
    <w:p w14:paraId="364EADA6"/>
    <w:p w14:paraId="64597686"/>
    <w:p w14:paraId="2DB538B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518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7A47D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FE9B4C2">
            <w:pPr>
              <w:spacing w:line="240" w:lineRule="atLeast"/>
              <w:rPr>
                <w:rFonts w:asciiTheme="majorEastAsia" w:hAnsiTheme="majorEastAsia" w:eastAsiaTheme="majorEastAsia" w:cstheme="majorEastAsia"/>
                <w:spacing w:val="-20"/>
                <w:sz w:val="20"/>
                <w:szCs w:val="20"/>
              </w:rPr>
            </w:pPr>
          </w:p>
          <w:p w14:paraId="00D6E53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10A6E4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42895C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38C2A4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F2F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6DC9206">
            <w:pPr>
              <w:spacing w:line="240" w:lineRule="atLeast"/>
              <w:jc w:val="left"/>
              <w:rPr>
                <w:rFonts w:ascii="仿宋_GB2312" w:hAnsi="仿宋_GB2312" w:eastAsia="仿宋_GB2312" w:cs="仿宋_GB2312"/>
                <w:sz w:val="20"/>
                <w:szCs w:val="20"/>
              </w:rPr>
            </w:pPr>
          </w:p>
        </w:tc>
        <w:tc>
          <w:tcPr>
            <w:tcW w:w="555" w:type="dxa"/>
            <w:vMerge w:val="continue"/>
          </w:tcPr>
          <w:p w14:paraId="31917F0E">
            <w:pPr>
              <w:spacing w:line="240" w:lineRule="atLeast"/>
              <w:jc w:val="left"/>
              <w:rPr>
                <w:rFonts w:ascii="仿宋_GB2312" w:hAnsi="仿宋_GB2312" w:eastAsia="仿宋_GB2312" w:cs="仿宋_GB2312"/>
                <w:sz w:val="20"/>
                <w:szCs w:val="20"/>
              </w:rPr>
            </w:pPr>
          </w:p>
        </w:tc>
        <w:tc>
          <w:tcPr>
            <w:tcW w:w="784" w:type="dxa"/>
            <w:vAlign w:val="center"/>
          </w:tcPr>
          <w:p w14:paraId="32A9120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B60914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8DD53C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7E5F8B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85E161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0B90AC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4E890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9280E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C0D1DF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6F61FDC">
            <w:pPr>
              <w:spacing w:line="240" w:lineRule="atLeast"/>
              <w:jc w:val="left"/>
              <w:rPr>
                <w:rFonts w:ascii="仿宋_GB2312" w:hAnsi="仿宋_GB2312" w:eastAsia="仿宋_GB2312" w:cs="仿宋_GB2312"/>
                <w:sz w:val="20"/>
                <w:szCs w:val="20"/>
              </w:rPr>
            </w:pPr>
          </w:p>
        </w:tc>
      </w:tr>
      <w:tr w14:paraId="3CD6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D06310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171</w:t>
            </w:r>
          </w:p>
        </w:tc>
        <w:tc>
          <w:tcPr>
            <w:tcW w:w="555" w:type="dxa"/>
            <w:vAlign w:val="center"/>
          </w:tcPr>
          <w:p w14:paraId="30725E3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3F8F4F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80294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A28C3F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对其他有损测量标志安全和使用效能行为的处罚</w:t>
            </w:r>
          </w:p>
        </w:tc>
        <w:tc>
          <w:tcPr>
            <w:tcW w:w="660" w:type="dxa"/>
            <w:vAlign w:val="center"/>
          </w:tcPr>
          <w:p w14:paraId="68FDC226">
            <w:pPr>
              <w:snapToGrid w:val="0"/>
              <w:spacing w:line="240" w:lineRule="atLeast"/>
              <w:jc w:val="center"/>
              <w:rPr>
                <w:rFonts w:ascii="仿宋_GB2312" w:hAnsi="仿宋_GB2312" w:eastAsia="仿宋_GB2312" w:cs="仿宋_GB2312"/>
                <w:sz w:val="20"/>
                <w:szCs w:val="20"/>
              </w:rPr>
            </w:pPr>
          </w:p>
        </w:tc>
        <w:tc>
          <w:tcPr>
            <w:tcW w:w="615" w:type="dxa"/>
            <w:vAlign w:val="center"/>
          </w:tcPr>
          <w:p w14:paraId="05D05D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99CC86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12F3019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【行政法规】《中华人民共和国测量标志保护条例》（1996年国务院令第203号发布，2011年国务院令第588号修订）第二十二条：测量标志受国家保护，禁止下列有损测量标志安全和使测量标志失去使用效能的行为：</w:t>
            </w:r>
          </w:p>
          <w:p w14:paraId="25A7353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（七）其他有损测量标志安全和使用效能的。</w:t>
            </w:r>
          </w:p>
          <w:p w14:paraId="7546693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7FB436A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（一）干扰或者阻挠测量标志建设单位依法使用土地或者在建筑物上建设永久性测量标志的；</w:t>
            </w:r>
          </w:p>
          <w:p w14:paraId="1FAF54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（二）工程建设单位未经批准擅自拆迁永久性测量标志或者使永久性测量标志失去使用效能的，或者拒绝按照国家有关规定支付迁建费用的；</w:t>
            </w:r>
          </w:p>
          <w:p w14:paraId="481A9E2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（三）违反测绘操作规程进行测绘，使永久性测量标志受到损坏的；</w:t>
            </w:r>
          </w:p>
          <w:p w14:paraId="79D2C94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（四）无证使用永久性测量标志并且拒绝县级以上人民政府管理测绘工作的部门监督和负责保管测量标志的单位和人员查询的。</w:t>
            </w:r>
          </w:p>
        </w:tc>
        <w:tc>
          <w:tcPr>
            <w:tcW w:w="3585" w:type="dxa"/>
            <w:vAlign w:val="center"/>
          </w:tcPr>
          <w:p w14:paraId="60103F0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其他有损测量标志安全和使用效能的情况，应及时制止（对正在实施的违法行为，下达《责令停止违法行为通知书》）,并进行审查核实，符合立案条件的予以立案。</w:t>
            </w:r>
          </w:p>
          <w:p w14:paraId="5B04229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2.调查责任：执法人员不得少于两人，出示证件、表明身份；通过搜集证据、现场了解核实其他有损测量标志安全和使用效能的情况，并制作笔录。调查时允许当事人辩解陈述。执法人员应保守有关秘密。</w:t>
            </w:r>
          </w:p>
          <w:p w14:paraId="5740F0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B3B78B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CF545D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其他有损测量标志安全和使用效能的事实进行认定，依法制作《行政处罚决定书》，载明违反法律法规或规章的事实和证据、行政处罚的具体依据和内容，告知当事人陈述申辩或者听证情况等内容，告知申请行政复议或提起行政诉讼的权利。</w:t>
            </w:r>
          </w:p>
          <w:p w14:paraId="098FDDF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4B0F807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B54EEE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541D84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63B18850">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F57F1D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F830A2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C771E4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D43462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773430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ADFB207">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1DF981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5324B5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70CD9C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5F084E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BC326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C96B0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50BC90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3CCEB8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9CCCC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FBDA0F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662D49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0E9C73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6D9CB2B">
            <w:pPr>
              <w:snapToGrid w:val="0"/>
              <w:spacing w:line="240" w:lineRule="atLeast"/>
              <w:jc w:val="center"/>
              <w:rPr>
                <w:rFonts w:ascii="仿宋_GB2312" w:hAnsi="仿宋_GB2312" w:eastAsia="仿宋_GB2312" w:cs="仿宋_GB2312"/>
                <w:sz w:val="20"/>
                <w:szCs w:val="20"/>
              </w:rPr>
            </w:pPr>
          </w:p>
        </w:tc>
      </w:tr>
    </w:tbl>
    <w:p w14:paraId="6F1BE386"/>
    <w:p w14:paraId="522A0365"/>
    <w:p w14:paraId="27199CA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547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73424A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785B7C0">
            <w:pPr>
              <w:spacing w:line="240" w:lineRule="atLeast"/>
              <w:rPr>
                <w:rFonts w:asciiTheme="majorEastAsia" w:hAnsiTheme="majorEastAsia" w:eastAsiaTheme="majorEastAsia" w:cstheme="majorEastAsia"/>
                <w:spacing w:val="-20"/>
                <w:sz w:val="20"/>
                <w:szCs w:val="20"/>
              </w:rPr>
            </w:pPr>
          </w:p>
          <w:p w14:paraId="300F03F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CC1D3E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806280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848DDC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825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2FDDB39">
            <w:pPr>
              <w:spacing w:line="240" w:lineRule="atLeast"/>
              <w:jc w:val="left"/>
              <w:rPr>
                <w:rFonts w:ascii="仿宋_GB2312" w:hAnsi="仿宋_GB2312" w:eastAsia="仿宋_GB2312" w:cs="仿宋_GB2312"/>
                <w:sz w:val="20"/>
                <w:szCs w:val="20"/>
              </w:rPr>
            </w:pPr>
          </w:p>
        </w:tc>
        <w:tc>
          <w:tcPr>
            <w:tcW w:w="555" w:type="dxa"/>
            <w:vMerge w:val="continue"/>
          </w:tcPr>
          <w:p w14:paraId="752214D6">
            <w:pPr>
              <w:spacing w:line="240" w:lineRule="atLeast"/>
              <w:jc w:val="left"/>
              <w:rPr>
                <w:rFonts w:ascii="仿宋_GB2312" w:hAnsi="仿宋_GB2312" w:eastAsia="仿宋_GB2312" w:cs="仿宋_GB2312"/>
                <w:sz w:val="20"/>
                <w:szCs w:val="20"/>
              </w:rPr>
            </w:pPr>
          </w:p>
        </w:tc>
        <w:tc>
          <w:tcPr>
            <w:tcW w:w="784" w:type="dxa"/>
            <w:vAlign w:val="center"/>
          </w:tcPr>
          <w:p w14:paraId="3E849B1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09BF36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F3D9D7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869791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B83AE9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7927EA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C97C6E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40E812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71C517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ECBAF70">
            <w:pPr>
              <w:spacing w:line="240" w:lineRule="atLeast"/>
              <w:jc w:val="left"/>
              <w:rPr>
                <w:rFonts w:ascii="仿宋_GB2312" w:hAnsi="仿宋_GB2312" w:eastAsia="仿宋_GB2312" w:cs="仿宋_GB2312"/>
                <w:sz w:val="20"/>
                <w:szCs w:val="20"/>
              </w:rPr>
            </w:pPr>
          </w:p>
        </w:tc>
      </w:tr>
      <w:tr w14:paraId="3F75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207D1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172</w:t>
            </w:r>
          </w:p>
        </w:tc>
        <w:tc>
          <w:tcPr>
            <w:tcW w:w="555" w:type="dxa"/>
            <w:vAlign w:val="center"/>
          </w:tcPr>
          <w:p w14:paraId="567321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437BD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18FF1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024FCA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对干扰或者阻挠测量标志建设单位依法使用土地或者在建筑物上建设永久性测量标志行为的处罚</w:t>
            </w:r>
          </w:p>
        </w:tc>
        <w:tc>
          <w:tcPr>
            <w:tcW w:w="660" w:type="dxa"/>
            <w:vAlign w:val="center"/>
          </w:tcPr>
          <w:p w14:paraId="61936D3D">
            <w:pPr>
              <w:snapToGrid w:val="0"/>
              <w:spacing w:line="240" w:lineRule="atLeast"/>
              <w:jc w:val="center"/>
              <w:rPr>
                <w:rFonts w:ascii="仿宋_GB2312" w:hAnsi="仿宋_GB2312" w:eastAsia="仿宋_GB2312" w:cs="仿宋_GB2312"/>
                <w:sz w:val="20"/>
                <w:szCs w:val="20"/>
              </w:rPr>
            </w:pPr>
          </w:p>
        </w:tc>
        <w:tc>
          <w:tcPr>
            <w:tcW w:w="615" w:type="dxa"/>
            <w:vAlign w:val="center"/>
          </w:tcPr>
          <w:p w14:paraId="6510522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B6C0A7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6DEBDB9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量标志保护条例》（1996年国务院令第203号发布，2011年国务院令第588号修订）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5383159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（一）干扰或者阻挠测量标志建设单位依法使用土地或者在建筑物上建设永久性测量标志的。</w:t>
            </w:r>
          </w:p>
        </w:tc>
        <w:tc>
          <w:tcPr>
            <w:tcW w:w="3585" w:type="dxa"/>
            <w:vAlign w:val="center"/>
          </w:tcPr>
          <w:p w14:paraId="03666F2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干扰或者阻挠测量标志建设单位依法使用土地或者在建筑物上建设永久性测量标志的情况，应及时制止（对正在实施的违法行为，下达《责令停止违法行为通知书》）,并进行审查核实，符合立案条件的予以立案。</w:t>
            </w:r>
          </w:p>
          <w:p w14:paraId="0294A31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干扰或者阻挠测量标志建设单位依法使用土地或者在建筑物上建设永久性测量标志的情况，并制作笔录。调查时允许当事人辩解陈述。执法人员应保守有关秘密。</w:t>
            </w:r>
          </w:p>
          <w:p w14:paraId="134E430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375F527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59D516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干扰或者阻挠测量标志建设单位依法使用土地或者在建筑物上建设永久性测量标志的事实进行认定，依法制作《行政处罚决定书》，载明违反法律法规或规章的事实和证据、行政处罚的具体依据和内容，告知当事人陈述申辩或者听证情况等内容，告知申请行政复议或提起行政诉讼的权利。</w:t>
            </w:r>
          </w:p>
          <w:p w14:paraId="67F02A5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834D4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C98600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5C308ED8">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75C6941">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7B2376B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5EB4590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76B757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ABB0561">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276F08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7A9EDD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E6D02F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10FA4A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1EF88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7BF82D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E56DBA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1FB808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806DBA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69A35C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79CBA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7A8BC3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A2F07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CA42E7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DC1EB93">
            <w:pPr>
              <w:snapToGrid w:val="0"/>
              <w:spacing w:line="240" w:lineRule="atLeast"/>
              <w:jc w:val="center"/>
              <w:rPr>
                <w:rFonts w:ascii="仿宋_GB2312" w:hAnsi="仿宋_GB2312" w:eastAsia="仿宋_GB2312" w:cs="仿宋_GB2312"/>
                <w:sz w:val="20"/>
                <w:szCs w:val="20"/>
              </w:rPr>
            </w:pPr>
          </w:p>
        </w:tc>
      </w:tr>
    </w:tbl>
    <w:p w14:paraId="0D833BD0"/>
    <w:p w14:paraId="1C8DDA76"/>
    <w:p w14:paraId="52673D5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A31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366569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EA57EF1">
            <w:pPr>
              <w:spacing w:line="240" w:lineRule="atLeast"/>
              <w:rPr>
                <w:rFonts w:asciiTheme="majorEastAsia" w:hAnsiTheme="majorEastAsia" w:eastAsiaTheme="majorEastAsia" w:cstheme="majorEastAsia"/>
                <w:spacing w:val="-20"/>
                <w:sz w:val="20"/>
                <w:szCs w:val="20"/>
              </w:rPr>
            </w:pPr>
          </w:p>
          <w:p w14:paraId="1A5B209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0DBD03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F27FF6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57BB0A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52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F27A17C">
            <w:pPr>
              <w:spacing w:line="240" w:lineRule="atLeast"/>
              <w:jc w:val="left"/>
              <w:rPr>
                <w:rFonts w:ascii="仿宋_GB2312" w:hAnsi="仿宋_GB2312" w:eastAsia="仿宋_GB2312" w:cs="仿宋_GB2312"/>
                <w:sz w:val="20"/>
                <w:szCs w:val="20"/>
              </w:rPr>
            </w:pPr>
          </w:p>
        </w:tc>
        <w:tc>
          <w:tcPr>
            <w:tcW w:w="555" w:type="dxa"/>
            <w:vMerge w:val="continue"/>
          </w:tcPr>
          <w:p w14:paraId="64940F02">
            <w:pPr>
              <w:spacing w:line="240" w:lineRule="atLeast"/>
              <w:jc w:val="left"/>
              <w:rPr>
                <w:rFonts w:ascii="仿宋_GB2312" w:hAnsi="仿宋_GB2312" w:eastAsia="仿宋_GB2312" w:cs="仿宋_GB2312"/>
                <w:sz w:val="20"/>
                <w:szCs w:val="20"/>
              </w:rPr>
            </w:pPr>
          </w:p>
        </w:tc>
        <w:tc>
          <w:tcPr>
            <w:tcW w:w="784" w:type="dxa"/>
            <w:vAlign w:val="center"/>
          </w:tcPr>
          <w:p w14:paraId="000CD36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EFCBE0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0972A0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9447E4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A39B39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3ECA15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0489CF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A89FA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1C4F56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A708A50">
            <w:pPr>
              <w:spacing w:line="240" w:lineRule="atLeast"/>
              <w:jc w:val="left"/>
              <w:rPr>
                <w:rFonts w:ascii="仿宋_GB2312" w:hAnsi="仿宋_GB2312" w:eastAsia="仿宋_GB2312" w:cs="仿宋_GB2312"/>
                <w:sz w:val="20"/>
                <w:szCs w:val="20"/>
              </w:rPr>
            </w:pPr>
          </w:p>
        </w:tc>
      </w:tr>
      <w:tr w14:paraId="55F0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D18A7C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173</w:t>
            </w:r>
          </w:p>
        </w:tc>
        <w:tc>
          <w:tcPr>
            <w:tcW w:w="555" w:type="dxa"/>
            <w:vAlign w:val="center"/>
          </w:tcPr>
          <w:p w14:paraId="6C444D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05FB04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ED70C5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03BF5D8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对无证使用永久性测量标志并且拒绝县级以上人民政府管理测绘工作的部门监督和负责保管测量标志的单位和人员查询行为的处罚</w:t>
            </w:r>
          </w:p>
        </w:tc>
        <w:tc>
          <w:tcPr>
            <w:tcW w:w="660" w:type="dxa"/>
            <w:vAlign w:val="center"/>
          </w:tcPr>
          <w:p w14:paraId="62D1F218">
            <w:pPr>
              <w:snapToGrid w:val="0"/>
              <w:spacing w:line="240" w:lineRule="atLeast"/>
              <w:jc w:val="center"/>
              <w:rPr>
                <w:rFonts w:ascii="仿宋_GB2312" w:hAnsi="仿宋_GB2312" w:eastAsia="仿宋_GB2312" w:cs="仿宋_GB2312"/>
                <w:sz w:val="20"/>
                <w:szCs w:val="20"/>
              </w:rPr>
            </w:pPr>
          </w:p>
        </w:tc>
        <w:tc>
          <w:tcPr>
            <w:tcW w:w="615" w:type="dxa"/>
            <w:vAlign w:val="center"/>
          </w:tcPr>
          <w:p w14:paraId="023181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66DBCD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48D076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量标志保护条例》（1996年国务院令第203号发布，2011年国务院令第588号修订）第二十三条：有本条例第二十二条禁止的行为之一，或者有下列行为之一的，由县级以上人民政府管理测绘工作的部门责令限期改正，给予警告，并可以根据情节处以5万元以下的罚款；对负有直接责任的主管人员和其他直接责任人员，依法给予行政处分；造成损失的，应当依法承担赔偿责任：</w:t>
            </w:r>
          </w:p>
          <w:p w14:paraId="0B63980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（四）无证使用永久性测量标志并且拒绝县级以上人民政府管理测绘工作的部门监督和负责保管测量标志的单位和人员查询的。</w:t>
            </w:r>
          </w:p>
        </w:tc>
        <w:tc>
          <w:tcPr>
            <w:tcW w:w="3585" w:type="dxa"/>
            <w:vAlign w:val="center"/>
          </w:tcPr>
          <w:p w14:paraId="2ED4AEB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无证使用永久性测量标志并且拒绝县级以上人民政府管理测绘工作的部门监督和负责保管测量标志的单位和人员查询的情况，应及时制止（对正在实施的违法行为，下达《责令停止违法行为通知书》）,并进行审查核实，符合立案条件的予以立案。</w:t>
            </w:r>
          </w:p>
          <w:p w14:paraId="223A480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无证使用永久性测量标志并且拒绝县级以上人民政府管理测绘工作的部门监督和负责保管测量标志的单位和个人查询的情况，并制作笔录。调查时允许当事人辩解陈述。执法人员应保守有关秘密。</w:t>
            </w:r>
          </w:p>
          <w:p w14:paraId="4476345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9C2C3D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C231F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无证使用永久性测量标志并且拒绝县级以上人民政府管理测绘工作的部门监督和负责保管测量标志的单位和个人查询的事实进行认定，依法制作《行政处罚决定书》，载明违反法律法规或规章的事实和证据、行政处罚的具体依据和内容，告知当事人陈述申辩或者听证情况等内容，告知申请行政复议或提起行政诉讼的权利。</w:t>
            </w:r>
          </w:p>
          <w:p w14:paraId="528BB0D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5B149A0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4943D2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6AA77F4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FE237D3">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D2FC25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19CB503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FD5CCA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1A31CF4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AF6F34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2745BD70">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76F184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9DA15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CAB7B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15D9A93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981A56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33434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014E95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C49149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3A45DE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97F08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515B70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601FD7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D930C3F">
            <w:pPr>
              <w:snapToGrid w:val="0"/>
              <w:spacing w:line="240" w:lineRule="atLeast"/>
              <w:jc w:val="center"/>
              <w:rPr>
                <w:rFonts w:ascii="仿宋_GB2312" w:hAnsi="仿宋_GB2312" w:eastAsia="仿宋_GB2312" w:cs="仿宋_GB2312"/>
                <w:sz w:val="20"/>
                <w:szCs w:val="20"/>
              </w:rPr>
            </w:pPr>
          </w:p>
        </w:tc>
      </w:tr>
    </w:tbl>
    <w:p w14:paraId="4C044EAF"/>
    <w:p w14:paraId="7AFEDEE6"/>
    <w:p w14:paraId="23DEBBA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F22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187061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1778BB0">
            <w:pPr>
              <w:spacing w:line="240" w:lineRule="atLeast"/>
              <w:rPr>
                <w:rFonts w:asciiTheme="majorEastAsia" w:hAnsiTheme="majorEastAsia" w:eastAsiaTheme="majorEastAsia" w:cstheme="majorEastAsia"/>
                <w:spacing w:val="-20"/>
                <w:sz w:val="20"/>
                <w:szCs w:val="20"/>
              </w:rPr>
            </w:pPr>
          </w:p>
          <w:p w14:paraId="6C803CC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B8ED64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BA5D78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C5F1BD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635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32E0E77">
            <w:pPr>
              <w:spacing w:line="240" w:lineRule="atLeast"/>
              <w:jc w:val="left"/>
              <w:rPr>
                <w:rFonts w:ascii="仿宋_GB2312" w:hAnsi="仿宋_GB2312" w:eastAsia="仿宋_GB2312" w:cs="仿宋_GB2312"/>
                <w:sz w:val="20"/>
                <w:szCs w:val="20"/>
              </w:rPr>
            </w:pPr>
          </w:p>
        </w:tc>
        <w:tc>
          <w:tcPr>
            <w:tcW w:w="555" w:type="dxa"/>
            <w:vMerge w:val="continue"/>
          </w:tcPr>
          <w:p w14:paraId="1FA82372">
            <w:pPr>
              <w:spacing w:line="240" w:lineRule="atLeast"/>
              <w:jc w:val="left"/>
              <w:rPr>
                <w:rFonts w:ascii="仿宋_GB2312" w:hAnsi="仿宋_GB2312" w:eastAsia="仿宋_GB2312" w:cs="仿宋_GB2312"/>
                <w:sz w:val="20"/>
                <w:szCs w:val="20"/>
              </w:rPr>
            </w:pPr>
          </w:p>
        </w:tc>
        <w:tc>
          <w:tcPr>
            <w:tcW w:w="784" w:type="dxa"/>
            <w:vAlign w:val="center"/>
          </w:tcPr>
          <w:p w14:paraId="3370F09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1BD802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B58CF2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EDFF57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D965D5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88F3E8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923ACF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6D5A3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C56B46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DC3BDBA">
            <w:pPr>
              <w:spacing w:line="240" w:lineRule="atLeast"/>
              <w:jc w:val="left"/>
              <w:rPr>
                <w:rFonts w:ascii="仿宋_GB2312" w:hAnsi="仿宋_GB2312" w:eastAsia="仿宋_GB2312" w:cs="仿宋_GB2312"/>
                <w:sz w:val="20"/>
                <w:szCs w:val="20"/>
              </w:rPr>
            </w:pPr>
          </w:p>
        </w:tc>
      </w:tr>
      <w:tr w14:paraId="1EF1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4FF11B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174</w:t>
            </w:r>
          </w:p>
        </w:tc>
        <w:tc>
          <w:tcPr>
            <w:tcW w:w="555" w:type="dxa"/>
            <w:vAlign w:val="center"/>
          </w:tcPr>
          <w:p w14:paraId="16F300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6BD9B1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DEF81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052975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对地理信息生产、保管、利用单位未对属于国家秘密的地理信息的获取、持有、提供、利用情况进行登记、长期保存的，泄露国家秘密行为的处罚</w:t>
            </w:r>
          </w:p>
        </w:tc>
        <w:tc>
          <w:tcPr>
            <w:tcW w:w="660" w:type="dxa"/>
            <w:vAlign w:val="center"/>
          </w:tcPr>
          <w:p w14:paraId="77C4E768">
            <w:pPr>
              <w:snapToGrid w:val="0"/>
              <w:spacing w:line="240" w:lineRule="atLeast"/>
              <w:jc w:val="center"/>
              <w:rPr>
                <w:rFonts w:ascii="仿宋_GB2312" w:hAnsi="仿宋_GB2312" w:eastAsia="仿宋_GB2312" w:cs="仿宋_GB2312"/>
                <w:sz w:val="20"/>
                <w:szCs w:val="20"/>
              </w:rPr>
            </w:pPr>
          </w:p>
        </w:tc>
        <w:tc>
          <w:tcPr>
            <w:tcW w:w="615" w:type="dxa"/>
            <w:vAlign w:val="center"/>
          </w:tcPr>
          <w:p w14:paraId="6CBA3B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A4437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331C10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测绘法》第六十五条第一款：违反本法规定，地理信息生产、保管、利用单位未对属于国家秘密的地理信息的获取、持有、提供、利用情况进行登记、长期保存的，给予警告，责令改正，可以并处二十万元以下的罚款；泄露国家秘密的，责令停业整顿，并处降低测绘资质等级或者吊销测绘资质证书；构成犯罪的，依法追究刑事责任。</w:t>
            </w:r>
          </w:p>
        </w:tc>
        <w:tc>
          <w:tcPr>
            <w:tcW w:w="3585" w:type="dxa"/>
            <w:vAlign w:val="center"/>
          </w:tcPr>
          <w:p w14:paraId="5E19B6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地理信息生产、保管、利用单位未对属于国家秘密的地理信息的获取、持有、提供、利用情况进行登记、长期保存的，泄露国家秘密的情况，应及时制止（对正在实施的违法行为，下达《责令停止违法行为通知书》）,并进行审查核实，符合立案条件的予以立案。</w:t>
            </w:r>
          </w:p>
          <w:p w14:paraId="6E6571E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地理信息生产、保管、利用单位未对属于国家秘密的地理信息的获取、持有、提供、利用情况进行登记、长期保存的，泄露国家秘密的情况，并制作笔录。调查时允许当事人辩解陈述。执法人员应保守有关秘密。</w:t>
            </w:r>
          </w:p>
          <w:p w14:paraId="38C993C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FE75EE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639F9A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地理信息生产、保管、利用单位未对属于国家秘密的地理信息的获取、持有、提供、利用情况进行登记、长期保存的事实进行认定，依法制作《行政处罚决定书》，载明违反法律法规或规章的事实和证据、行政处罚的具体依据和内容，告知当事人陈述申辩或者听证情况等内容，告知申请行政复议或提起行政诉讼的权利。</w:t>
            </w:r>
          </w:p>
          <w:p w14:paraId="6238BE2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E2342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BFAF0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A06865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706F41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D7BB2D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E21377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713121F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67505CA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9DAB63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4E26753F">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2F8F2D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7EE06FF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4F6CCCF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AC8710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10546B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B5890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654DF9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DCB02D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19E9AD6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4CB2445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09A0B0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0B43EC3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BB54ED5">
            <w:pPr>
              <w:snapToGrid w:val="0"/>
              <w:spacing w:line="240" w:lineRule="atLeast"/>
              <w:jc w:val="center"/>
              <w:rPr>
                <w:rFonts w:ascii="仿宋_GB2312" w:hAnsi="仿宋_GB2312" w:eastAsia="仿宋_GB2312" w:cs="仿宋_GB2312"/>
                <w:sz w:val="20"/>
                <w:szCs w:val="20"/>
              </w:rPr>
            </w:pPr>
          </w:p>
        </w:tc>
      </w:tr>
    </w:tbl>
    <w:p w14:paraId="40428B50"/>
    <w:p w14:paraId="66E21CA0"/>
    <w:p w14:paraId="3405C07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412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651C75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11789C9">
            <w:pPr>
              <w:spacing w:line="240" w:lineRule="atLeast"/>
              <w:rPr>
                <w:rFonts w:asciiTheme="majorEastAsia" w:hAnsiTheme="majorEastAsia" w:eastAsiaTheme="majorEastAsia" w:cstheme="majorEastAsia"/>
                <w:spacing w:val="-20"/>
                <w:sz w:val="20"/>
                <w:szCs w:val="20"/>
              </w:rPr>
            </w:pPr>
          </w:p>
          <w:p w14:paraId="7811A8B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F3BDBC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F061CE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45BC11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721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20D5EBE">
            <w:pPr>
              <w:spacing w:line="240" w:lineRule="atLeast"/>
              <w:jc w:val="left"/>
              <w:rPr>
                <w:rFonts w:ascii="仿宋_GB2312" w:hAnsi="仿宋_GB2312" w:eastAsia="仿宋_GB2312" w:cs="仿宋_GB2312"/>
                <w:sz w:val="20"/>
                <w:szCs w:val="20"/>
              </w:rPr>
            </w:pPr>
          </w:p>
        </w:tc>
        <w:tc>
          <w:tcPr>
            <w:tcW w:w="555" w:type="dxa"/>
            <w:vMerge w:val="continue"/>
          </w:tcPr>
          <w:p w14:paraId="15502C73">
            <w:pPr>
              <w:spacing w:line="240" w:lineRule="atLeast"/>
              <w:jc w:val="left"/>
              <w:rPr>
                <w:rFonts w:ascii="仿宋_GB2312" w:hAnsi="仿宋_GB2312" w:eastAsia="仿宋_GB2312" w:cs="仿宋_GB2312"/>
                <w:sz w:val="20"/>
                <w:szCs w:val="20"/>
              </w:rPr>
            </w:pPr>
          </w:p>
        </w:tc>
        <w:tc>
          <w:tcPr>
            <w:tcW w:w="784" w:type="dxa"/>
            <w:vAlign w:val="center"/>
          </w:tcPr>
          <w:p w14:paraId="3657EDF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0C04E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91959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B7F937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269F02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8B198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C0315A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C8B18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A81725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61A81A1">
            <w:pPr>
              <w:spacing w:line="240" w:lineRule="atLeast"/>
              <w:jc w:val="left"/>
              <w:rPr>
                <w:rFonts w:ascii="仿宋_GB2312" w:hAnsi="仿宋_GB2312" w:eastAsia="仿宋_GB2312" w:cs="仿宋_GB2312"/>
                <w:sz w:val="20"/>
                <w:szCs w:val="20"/>
              </w:rPr>
            </w:pPr>
          </w:p>
        </w:tc>
      </w:tr>
      <w:tr w14:paraId="381D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D9F72E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175</w:t>
            </w:r>
          </w:p>
        </w:tc>
        <w:tc>
          <w:tcPr>
            <w:tcW w:w="555" w:type="dxa"/>
            <w:vAlign w:val="center"/>
          </w:tcPr>
          <w:p w14:paraId="5B50CCB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206BB1A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D8C29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5A1C29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对违法获取、持有、提供、利用属于国家秘密的地理信息行为的处罚</w:t>
            </w:r>
          </w:p>
        </w:tc>
        <w:tc>
          <w:tcPr>
            <w:tcW w:w="660" w:type="dxa"/>
            <w:vAlign w:val="center"/>
          </w:tcPr>
          <w:p w14:paraId="6249FF28">
            <w:pPr>
              <w:snapToGrid w:val="0"/>
              <w:spacing w:line="240" w:lineRule="atLeast"/>
              <w:jc w:val="center"/>
              <w:rPr>
                <w:rFonts w:ascii="仿宋_GB2312" w:hAnsi="仿宋_GB2312" w:eastAsia="仿宋_GB2312" w:cs="仿宋_GB2312"/>
                <w:sz w:val="20"/>
                <w:szCs w:val="20"/>
              </w:rPr>
            </w:pPr>
          </w:p>
        </w:tc>
        <w:tc>
          <w:tcPr>
            <w:tcW w:w="615" w:type="dxa"/>
            <w:vAlign w:val="center"/>
          </w:tcPr>
          <w:p w14:paraId="52EAB1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DE8AA2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4F5F7C6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测绘法》第六十五条第二款：违反本法规定，获取、持有、提供、利用属于国家秘密的地理信息的，给予警告，责令停止违法行为，没收违法所得，可以并处违法所得二倍以下的罚款；对直接负责的主管人员和其他直接责任人员，依法给予处分；造成损失的，依法承担赔偿责任；构成犯罪的，依法追究刑事责任。</w:t>
            </w:r>
          </w:p>
        </w:tc>
        <w:tc>
          <w:tcPr>
            <w:tcW w:w="3585" w:type="dxa"/>
            <w:vAlign w:val="center"/>
          </w:tcPr>
          <w:p w14:paraId="3D04290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违法获取、持有、提供、利用属于国家秘密的地理信息的情况，应及时制止（对正在实施的违法行为，下达《责令停止违法行为通知书》）,并进行审查核实，符合立案条件的予以立案。</w:t>
            </w:r>
          </w:p>
          <w:p w14:paraId="59F2F6D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违法获取、持有、提供、利用属于国家秘密的地理信息的情况，并制作笔录。调查时允许当事人辩解陈述。执法人员应保守有关秘密。</w:t>
            </w:r>
          </w:p>
          <w:p w14:paraId="59E7EB1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7C81A7B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58EC291">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违法获取、持有、提供、利用属于国家秘密的地理信息的事实进行认定，依法制作《行政处罚决定书》，载明违反法律法规或规章的事实和证据、行政处罚的具体依据和内容，告知当事人陈述申辩或者听证情况等内容，告知申请行政复议或提起行政诉讼的权利。</w:t>
            </w:r>
          </w:p>
          <w:p w14:paraId="6EBCE54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03ACF91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7A8D6E4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255DC1D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FD072C2">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17F073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B698E1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6CBC6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78494BD">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2D483E7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800651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C840F6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B15718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C417D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A90EE4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6AF72DB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8D82C5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D17902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2D6CCB2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DC0EA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533FD56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3D24874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9BFCE9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379E5A4">
            <w:pPr>
              <w:snapToGrid w:val="0"/>
              <w:spacing w:line="240" w:lineRule="atLeast"/>
              <w:jc w:val="center"/>
              <w:rPr>
                <w:rFonts w:ascii="仿宋_GB2312" w:hAnsi="仿宋_GB2312" w:eastAsia="仿宋_GB2312" w:cs="仿宋_GB2312"/>
                <w:sz w:val="20"/>
                <w:szCs w:val="20"/>
              </w:rPr>
            </w:pPr>
          </w:p>
        </w:tc>
      </w:tr>
    </w:tbl>
    <w:p w14:paraId="09A469A1"/>
    <w:p w14:paraId="12504C6D"/>
    <w:p w14:paraId="74FFBCC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FC8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AEAAB0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2455C57">
            <w:pPr>
              <w:spacing w:line="240" w:lineRule="atLeast"/>
              <w:rPr>
                <w:rFonts w:asciiTheme="majorEastAsia" w:hAnsiTheme="majorEastAsia" w:eastAsiaTheme="majorEastAsia" w:cstheme="majorEastAsia"/>
                <w:spacing w:val="-20"/>
                <w:sz w:val="20"/>
                <w:szCs w:val="20"/>
              </w:rPr>
            </w:pPr>
          </w:p>
          <w:p w14:paraId="6363B96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74798E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CBB2C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B97DC6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26F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F120A1F">
            <w:pPr>
              <w:spacing w:line="240" w:lineRule="atLeast"/>
              <w:jc w:val="left"/>
              <w:rPr>
                <w:rFonts w:ascii="仿宋_GB2312" w:hAnsi="仿宋_GB2312" w:eastAsia="仿宋_GB2312" w:cs="仿宋_GB2312"/>
                <w:sz w:val="20"/>
                <w:szCs w:val="20"/>
              </w:rPr>
            </w:pPr>
          </w:p>
        </w:tc>
        <w:tc>
          <w:tcPr>
            <w:tcW w:w="555" w:type="dxa"/>
            <w:vMerge w:val="continue"/>
          </w:tcPr>
          <w:p w14:paraId="4398B250">
            <w:pPr>
              <w:spacing w:line="240" w:lineRule="atLeast"/>
              <w:jc w:val="left"/>
              <w:rPr>
                <w:rFonts w:ascii="仿宋_GB2312" w:hAnsi="仿宋_GB2312" w:eastAsia="仿宋_GB2312" w:cs="仿宋_GB2312"/>
                <w:sz w:val="20"/>
                <w:szCs w:val="20"/>
              </w:rPr>
            </w:pPr>
          </w:p>
        </w:tc>
        <w:tc>
          <w:tcPr>
            <w:tcW w:w="784" w:type="dxa"/>
            <w:vAlign w:val="center"/>
          </w:tcPr>
          <w:p w14:paraId="61EDF3E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EE92CB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463BC7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52B040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D026C0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CD5090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875D0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5D3AAD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8263BD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1922168">
            <w:pPr>
              <w:spacing w:line="240" w:lineRule="atLeast"/>
              <w:jc w:val="left"/>
              <w:rPr>
                <w:rFonts w:ascii="仿宋_GB2312" w:hAnsi="仿宋_GB2312" w:eastAsia="仿宋_GB2312" w:cs="仿宋_GB2312"/>
                <w:sz w:val="20"/>
                <w:szCs w:val="20"/>
              </w:rPr>
            </w:pPr>
          </w:p>
        </w:tc>
      </w:tr>
      <w:tr w14:paraId="4CCF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7595D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176</w:t>
            </w:r>
          </w:p>
        </w:tc>
        <w:tc>
          <w:tcPr>
            <w:tcW w:w="555" w:type="dxa"/>
            <w:vAlign w:val="center"/>
          </w:tcPr>
          <w:p w14:paraId="5BD6D4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56BBB7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7281029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2FDA348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对测绘成果保管单位未按照测绘成果资料的保管制度管理测绘成果资料，造成测绘成果资料损毁、散失行为的处罚</w:t>
            </w:r>
          </w:p>
        </w:tc>
        <w:tc>
          <w:tcPr>
            <w:tcW w:w="660" w:type="dxa"/>
            <w:vAlign w:val="center"/>
          </w:tcPr>
          <w:p w14:paraId="262B886F">
            <w:pPr>
              <w:snapToGrid w:val="0"/>
              <w:spacing w:line="240" w:lineRule="atLeast"/>
              <w:jc w:val="center"/>
              <w:rPr>
                <w:rFonts w:ascii="仿宋_GB2312" w:hAnsi="仿宋_GB2312" w:eastAsia="仿宋_GB2312" w:cs="仿宋_GB2312"/>
                <w:sz w:val="20"/>
                <w:szCs w:val="20"/>
              </w:rPr>
            </w:pPr>
          </w:p>
        </w:tc>
        <w:tc>
          <w:tcPr>
            <w:tcW w:w="615" w:type="dxa"/>
            <w:vAlign w:val="center"/>
          </w:tcPr>
          <w:p w14:paraId="247E68C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1E6201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7DB669D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绘成果管理条例》（2006年国务院令第469号）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14:paraId="61A7AD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（一）未按照测绘成果资料的保管制度管理测绘成果资料，造成测绘成果资料损毁、散失的。</w:t>
            </w:r>
          </w:p>
        </w:tc>
        <w:tc>
          <w:tcPr>
            <w:tcW w:w="3585" w:type="dxa"/>
            <w:vAlign w:val="center"/>
          </w:tcPr>
          <w:p w14:paraId="12438E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保管单位未按照测绘成果资料的保管制度管理测绘成果资料，造成测绘成果资料损毁散失的情况，应及时制止（对正在实施的违法行为，下达《责令停止违法行为通知书》）,并进行审查核实，符合立案条件的予以立案。</w:t>
            </w:r>
          </w:p>
          <w:p w14:paraId="025EFF2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对测绘成果保管单位未按照测绘成果资料的保管制度管理测绘成果资料，造成测绘成果资料损毁散失的情况，并制作笔录。调查时允许当事人辩解陈述。执法人员应保守有关秘密。</w:t>
            </w:r>
          </w:p>
          <w:p w14:paraId="4112C3B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013025B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C702BC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测绘成果保管单位未按照测绘成果资料的保管制度管理测绘成果资料，造成测绘成果资料损毁散失的事实进行认定，依法制作《行政处罚决定书》，载明违反法律法规或规章的事实和证据、行政处罚的具体依据和内容，告知当事人陈述申辩或者听证情况等内容，告知申请行政复议或提起行政诉讼的权利。</w:t>
            </w:r>
          </w:p>
          <w:p w14:paraId="1502180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D9617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D5710C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7D16CEA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5C5A50B7">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222DA0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7C542D8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2881EBC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4246C3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0BBB41B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98FBA2A">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173CF1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5E7C05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A23924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C78A8C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7514D8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457C22D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4874D0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F4C730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75A73C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40B974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7CBC95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18DD69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3A7AC0E5">
            <w:pPr>
              <w:snapToGrid w:val="0"/>
              <w:spacing w:line="240" w:lineRule="atLeast"/>
              <w:jc w:val="center"/>
              <w:rPr>
                <w:rFonts w:ascii="仿宋_GB2312" w:hAnsi="仿宋_GB2312" w:eastAsia="仿宋_GB2312" w:cs="仿宋_GB2312"/>
                <w:sz w:val="20"/>
                <w:szCs w:val="20"/>
              </w:rPr>
            </w:pPr>
          </w:p>
        </w:tc>
      </w:tr>
    </w:tbl>
    <w:p w14:paraId="5B081C84"/>
    <w:p w14:paraId="54DC9E6C"/>
    <w:p w14:paraId="6A5EE24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70F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2C9B71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9C94FBC">
            <w:pPr>
              <w:spacing w:line="240" w:lineRule="atLeast"/>
              <w:rPr>
                <w:rFonts w:asciiTheme="majorEastAsia" w:hAnsiTheme="majorEastAsia" w:eastAsiaTheme="majorEastAsia" w:cstheme="majorEastAsia"/>
                <w:spacing w:val="-20"/>
                <w:sz w:val="20"/>
                <w:szCs w:val="20"/>
              </w:rPr>
            </w:pPr>
          </w:p>
          <w:p w14:paraId="7D9844E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D937DE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6ABF30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62130B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BA8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7349576">
            <w:pPr>
              <w:spacing w:line="240" w:lineRule="atLeast"/>
              <w:jc w:val="left"/>
              <w:rPr>
                <w:rFonts w:ascii="仿宋_GB2312" w:hAnsi="仿宋_GB2312" w:eastAsia="仿宋_GB2312" w:cs="仿宋_GB2312"/>
                <w:sz w:val="20"/>
                <w:szCs w:val="20"/>
              </w:rPr>
            </w:pPr>
          </w:p>
        </w:tc>
        <w:tc>
          <w:tcPr>
            <w:tcW w:w="555" w:type="dxa"/>
            <w:vMerge w:val="continue"/>
          </w:tcPr>
          <w:p w14:paraId="53CCF0DA">
            <w:pPr>
              <w:spacing w:line="240" w:lineRule="atLeast"/>
              <w:jc w:val="left"/>
              <w:rPr>
                <w:rFonts w:ascii="仿宋_GB2312" w:hAnsi="仿宋_GB2312" w:eastAsia="仿宋_GB2312" w:cs="仿宋_GB2312"/>
                <w:sz w:val="20"/>
                <w:szCs w:val="20"/>
              </w:rPr>
            </w:pPr>
          </w:p>
        </w:tc>
        <w:tc>
          <w:tcPr>
            <w:tcW w:w="784" w:type="dxa"/>
            <w:vAlign w:val="center"/>
          </w:tcPr>
          <w:p w14:paraId="57BC923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040A28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B12F1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CAB52A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465622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7E8B31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E80F5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C689BA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29BD45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EC5AC23">
            <w:pPr>
              <w:spacing w:line="240" w:lineRule="atLeast"/>
              <w:jc w:val="left"/>
              <w:rPr>
                <w:rFonts w:ascii="仿宋_GB2312" w:hAnsi="仿宋_GB2312" w:eastAsia="仿宋_GB2312" w:cs="仿宋_GB2312"/>
                <w:sz w:val="20"/>
                <w:szCs w:val="20"/>
              </w:rPr>
            </w:pPr>
          </w:p>
        </w:tc>
      </w:tr>
      <w:tr w14:paraId="119C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049307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177</w:t>
            </w:r>
          </w:p>
        </w:tc>
        <w:tc>
          <w:tcPr>
            <w:tcW w:w="555" w:type="dxa"/>
            <w:vAlign w:val="center"/>
          </w:tcPr>
          <w:p w14:paraId="6EA148C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1BBC63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6F8509B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75D3086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对测绘成果保管单位擅自转让汇交的测绘成果资料行为的处罚</w:t>
            </w:r>
          </w:p>
        </w:tc>
        <w:tc>
          <w:tcPr>
            <w:tcW w:w="660" w:type="dxa"/>
            <w:vAlign w:val="center"/>
          </w:tcPr>
          <w:p w14:paraId="4328B968">
            <w:pPr>
              <w:snapToGrid w:val="0"/>
              <w:spacing w:line="240" w:lineRule="atLeast"/>
              <w:jc w:val="center"/>
              <w:rPr>
                <w:rFonts w:ascii="仿宋_GB2312" w:hAnsi="仿宋_GB2312" w:eastAsia="仿宋_GB2312" w:cs="仿宋_GB2312"/>
                <w:sz w:val="20"/>
                <w:szCs w:val="20"/>
              </w:rPr>
            </w:pPr>
          </w:p>
        </w:tc>
        <w:tc>
          <w:tcPr>
            <w:tcW w:w="615" w:type="dxa"/>
            <w:vAlign w:val="center"/>
          </w:tcPr>
          <w:p w14:paraId="6CCA56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9A7A60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A42C73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中华人民共和国测绘成果管理条例》（2006年国务院令第469号）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14:paraId="70C741E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（二）擅自转让汇交的测绘成果资料的。</w:t>
            </w:r>
          </w:p>
          <w:p w14:paraId="3D5DE29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7月25日广西壮族自治区第十三届人民代表大会常务委员会第十次会议第二次修订）第五十三条：违反本条例第二十六条第一款规定，擅自复制、转让或者转借涉密测绘成果的，由县级以上人民政府测绘地理信息主管部门给予警告，责令停止违法行为，没收违法所得，可以并处违法所得一倍以上二倍以下的罚款；对直接负责的主管人员和其他直接责任人员，依法给予处分；造成损失的，依法承担赔偿责任。</w:t>
            </w:r>
          </w:p>
        </w:tc>
        <w:tc>
          <w:tcPr>
            <w:tcW w:w="3585" w:type="dxa"/>
            <w:vAlign w:val="center"/>
          </w:tcPr>
          <w:p w14:paraId="12D21F5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保管单位擅自转让汇交的测绘成果资料的情况，应及时制止（对正在实施的违法行为，下达《责令停止违法行为通知书》）,并进行审查核实，符合立案条件的予以立案。</w:t>
            </w:r>
          </w:p>
          <w:p w14:paraId="2CD766A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成果保管单位擅自转让汇交的测绘成果资料的情况，并制作笔录。调查时允许当事人辩解陈述。执法人员应保守有关秘密。</w:t>
            </w:r>
          </w:p>
          <w:p w14:paraId="074FE2A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62545316">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0BE244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在测绘活动中测绘成果保管单位擅自转让汇交的测绘成果资料的事实进行认定，依法制作《行政处罚决定书》，载明违反法律法规或规章的事实和证据、行政处罚的具体依据和内容，告知当事人陈述申辩或者听证情况等内容，告知申请行政复议或提起行政诉讼的权利。</w:t>
            </w:r>
          </w:p>
          <w:p w14:paraId="772DCDD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21135A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14E912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F1C69D3">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009C331F">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A92197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1A9139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316A914">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380481E">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61353475">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360979B3">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2A8E6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1BCF8C7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283B4A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2BFA57A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2EBA1A1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9E6DAA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1E9B03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17DDCF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DFC6F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619DF0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72473A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7DB9E8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6DD3FC7C">
            <w:pPr>
              <w:snapToGrid w:val="0"/>
              <w:spacing w:line="240" w:lineRule="atLeast"/>
              <w:jc w:val="center"/>
              <w:rPr>
                <w:rFonts w:ascii="仿宋_GB2312" w:hAnsi="仿宋_GB2312" w:eastAsia="仿宋_GB2312" w:cs="仿宋_GB2312"/>
                <w:sz w:val="20"/>
                <w:szCs w:val="20"/>
              </w:rPr>
            </w:pPr>
          </w:p>
        </w:tc>
      </w:tr>
    </w:tbl>
    <w:p w14:paraId="1BCC4323"/>
    <w:p w14:paraId="1F3DB17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494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F47137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D858BC1">
            <w:pPr>
              <w:spacing w:line="240" w:lineRule="atLeast"/>
              <w:rPr>
                <w:rFonts w:asciiTheme="majorEastAsia" w:hAnsiTheme="majorEastAsia" w:eastAsiaTheme="majorEastAsia" w:cstheme="majorEastAsia"/>
                <w:spacing w:val="-20"/>
                <w:sz w:val="20"/>
                <w:szCs w:val="20"/>
              </w:rPr>
            </w:pPr>
          </w:p>
          <w:p w14:paraId="06ACF8B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1E5212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39FC65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FA3175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A2F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1686C47">
            <w:pPr>
              <w:spacing w:line="240" w:lineRule="atLeast"/>
              <w:jc w:val="left"/>
              <w:rPr>
                <w:rFonts w:ascii="仿宋_GB2312" w:hAnsi="仿宋_GB2312" w:eastAsia="仿宋_GB2312" w:cs="仿宋_GB2312"/>
                <w:sz w:val="20"/>
                <w:szCs w:val="20"/>
              </w:rPr>
            </w:pPr>
          </w:p>
        </w:tc>
        <w:tc>
          <w:tcPr>
            <w:tcW w:w="555" w:type="dxa"/>
            <w:vMerge w:val="continue"/>
          </w:tcPr>
          <w:p w14:paraId="31A3412C">
            <w:pPr>
              <w:spacing w:line="240" w:lineRule="atLeast"/>
              <w:jc w:val="left"/>
              <w:rPr>
                <w:rFonts w:ascii="仿宋_GB2312" w:hAnsi="仿宋_GB2312" w:eastAsia="仿宋_GB2312" w:cs="仿宋_GB2312"/>
                <w:sz w:val="20"/>
                <w:szCs w:val="20"/>
              </w:rPr>
            </w:pPr>
          </w:p>
        </w:tc>
        <w:tc>
          <w:tcPr>
            <w:tcW w:w="784" w:type="dxa"/>
            <w:vAlign w:val="center"/>
          </w:tcPr>
          <w:p w14:paraId="065510B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0980F1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1578B2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B0E405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13393F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6B9ACA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E08155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0BC5AA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A64CAF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2C81E6E">
            <w:pPr>
              <w:spacing w:line="240" w:lineRule="atLeast"/>
              <w:jc w:val="left"/>
              <w:rPr>
                <w:rFonts w:ascii="仿宋_GB2312" w:hAnsi="仿宋_GB2312" w:eastAsia="仿宋_GB2312" w:cs="仿宋_GB2312"/>
                <w:sz w:val="20"/>
                <w:szCs w:val="20"/>
              </w:rPr>
            </w:pPr>
          </w:p>
        </w:tc>
      </w:tr>
      <w:tr w14:paraId="7C9D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915C36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178</w:t>
            </w:r>
          </w:p>
        </w:tc>
        <w:tc>
          <w:tcPr>
            <w:tcW w:w="555" w:type="dxa"/>
            <w:vAlign w:val="center"/>
          </w:tcPr>
          <w:p w14:paraId="71EF30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6DDA4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7ED985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5836CE1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对擅自复制、转让或者转借涉密测绘成果行为的处罚</w:t>
            </w:r>
          </w:p>
        </w:tc>
        <w:tc>
          <w:tcPr>
            <w:tcW w:w="660" w:type="dxa"/>
            <w:vAlign w:val="center"/>
          </w:tcPr>
          <w:p w14:paraId="4BC5A1C3">
            <w:pPr>
              <w:snapToGrid w:val="0"/>
              <w:spacing w:line="240" w:lineRule="atLeast"/>
              <w:jc w:val="center"/>
              <w:rPr>
                <w:rFonts w:ascii="仿宋_GB2312" w:hAnsi="仿宋_GB2312" w:eastAsia="仿宋_GB2312" w:cs="仿宋_GB2312"/>
                <w:sz w:val="20"/>
                <w:szCs w:val="20"/>
              </w:rPr>
            </w:pPr>
          </w:p>
        </w:tc>
        <w:tc>
          <w:tcPr>
            <w:tcW w:w="615" w:type="dxa"/>
            <w:vAlign w:val="center"/>
          </w:tcPr>
          <w:p w14:paraId="0FAC8F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75CA64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C534AC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7月25日广西壮族自治区第十三届人民代表大会常务委员会第十次会议第二次修订）第五十三条：违反本条例第二十六条第一款规定，擅自复制、转让或者转借涉密测绘成果的，由县级以上人民政府测绘地理信息主管部门给予警告，责令停止违法行为，没收违法所得，可以并处违法所得一倍以上二倍以下的罚款；对直接负责的主管人员和其他直接责任人员，依法给予处分；造成损失的，依法承担赔偿责任。</w:t>
            </w:r>
          </w:p>
        </w:tc>
        <w:tc>
          <w:tcPr>
            <w:tcW w:w="3585" w:type="dxa"/>
            <w:vAlign w:val="center"/>
          </w:tcPr>
          <w:p w14:paraId="38D3302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擅自复制、转让或者转借涉密测绘成果的情况，应及时制止（对正在实施的违法行为，下达《责令停止违法行为通知书》）,并进行审查核实，符合立案条件的予以立案。</w:t>
            </w:r>
          </w:p>
          <w:p w14:paraId="2A2261F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2.调查责任：执法人员不得少于两人，出示证件、表明身份；通过搜集证据、现场了解核实擅自复制、转让或者转借涉密测绘成果的情况，并制作笔录。调查时允许当事人辩解陈述。执法人员应保守有关秘密。</w:t>
            </w:r>
          </w:p>
          <w:p w14:paraId="3306B13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50F150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C5C29C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擅自复制、转让或者转借涉密测绘成果的事实进行认定，依法制作《行政处罚决定书》，载明违反法律法规或规章的事实和证据、行政处罚的具体依据和内容，告知当事人陈述申辩或者听证情况等内容，告知申请行政复议或提起行政诉讼的权利。</w:t>
            </w:r>
          </w:p>
          <w:p w14:paraId="424A845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6．送达责任：《绘行政处罚决定书》按法律规定的方式送达当事人。</w:t>
            </w:r>
          </w:p>
          <w:p w14:paraId="5847E76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269F0D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129EB7F0">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7551A1D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6F9580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00D71EF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15C50A5F">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4329456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5ADB6F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77D0A2DC">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3C63AA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6CECE53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83D10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3C84E30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AA4E98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E78504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1BD533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DC05C8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2B62B1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189F1F7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2D24AA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75BD21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10903D8">
            <w:pPr>
              <w:snapToGrid w:val="0"/>
              <w:spacing w:line="240" w:lineRule="atLeast"/>
              <w:jc w:val="center"/>
              <w:rPr>
                <w:rFonts w:ascii="仿宋_GB2312" w:hAnsi="仿宋_GB2312" w:eastAsia="仿宋_GB2312" w:cs="仿宋_GB2312"/>
                <w:sz w:val="20"/>
                <w:szCs w:val="20"/>
              </w:rPr>
            </w:pPr>
          </w:p>
        </w:tc>
      </w:tr>
    </w:tbl>
    <w:p w14:paraId="08158C16"/>
    <w:p w14:paraId="7C1AD4C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CAF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FE50D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4974961">
            <w:pPr>
              <w:spacing w:line="240" w:lineRule="atLeast"/>
              <w:rPr>
                <w:rFonts w:asciiTheme="majorEastAsia" w:hAnsiTheme="majorEastAsia" w:eastAsiaTheme="majorEastAsia" w:cstheme="majorEastAsia"/>
                <w:spacing w:val="-20"/>
                <w:sz w:val="20"/>
                <w:szCs w:val="20"/>
              </w:rPr>
            </w:pPr>
          </w:p>
          <w:p w14:paraId="016CD2C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801032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6D3879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C38E38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25F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6C7750E">
            <w:pPr>
              <w:spacing w:line="240" w:lineRule="atLeast"/>
              <w:jc w:val="left"/>
              <w:rPr>
                <w:rFonts w:ascii="仿宋_GB2312" w:hAnsi="仿宋_GB2312" w:eastAsia="仿宋_GB2312" w:cs="仿宋_GB2312"/>
                <w:sz w:val="20"/>
                <w:szCs w:val="20"/>
              </w:rPr>
            </w:pPr>
          </w:p>
        </w:tc>
        <w:tc>
          <w:tcPr>
            <w:tcW w:w="555" w:type="dxa"/>
            <w:vMerge w:val="continue"/>
          </w:tcPr>
          <w:p w14:paraId="49AA3FD1">
            <w:pPr>
              <w:spacing w:line="240" w:lineRule="atLeast"/>
              <w:jc w:val="left"/>
              <w:rPr>
                <w:rFonts w:ascii="仿宋_GB2312" w:hAnsi="仿宋_GB2312" w:eastAsia="仿宋_GB2312" w:cs="仿宋_GB2312"/>
                <w:sz w:val="20"/>
                <w:szCs w:val="20"/>
              </w:rPr>
            </w:pPr>
          </w:p>
        </w:tc>
        <w:tc>
          <w:tcPr>
            <w:tcW w:w="784" w:type="dxa"/>
            <w:vAlign w:val="center"/>
          </w:tcPr>
          <w:p w14:paraId="6EABF4F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FE52C6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9F80C2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337E71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B2E376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AB9183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38DA0A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5E386F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04DC01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F6289D8">
            <w:pPr>
              <w:spacing w:line="240" w:lineRule="atLeast"/>
              <w:jc w:val="left"/>
              <w:rPr>
                <w:rFonts w:ascii="仿宋_GB2312" w:hAnsi="仿宋_GB2312" w:eastAsia="仿宋_GB2312" w:cs="仿宋_GB2312"/>
                <w:sz w:val="20"/>
                <w:szCs w:val="20"/>
              </w:rPr>
            </w:pPr>
          </w:p>
        </w:tc>
      </w:tr>
      <w:tr w14:paraId="3003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269951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179</w:t>
            </w:r>
          </w:p>
        </w:tc>
        <w:tc>
          <w:tcPr>
            <w:tcW w:w="555" w:type="dxa"/>
            <w:vAlign w:val="center"/>
          </w:tcPr>
          <w:p w14:paraId="0E8CDA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1E3F663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16E7B4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AFCC73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对测绘成果保管单位未依法向测绘成果的使用人提供测绘成果资料行为的处罚</w:t>
            </w:r>
          </w:p>
        </w:tc>
        <w:tc>
          <w:tcPr>
            <w:tcW w:w="660" w:type="dxa"/>
            <w:vAlign w:val="center"/>
          </w:tcPr>
          <w:p w14:paraId="7B7CF64F">
            <w:pPr>
              <w:snapToGrid w:val="0"/>
              <w:spacing w:line="240" w:lineRule="atLeast"/>
              <w:jc w:val="center"/>
              <w:rPr>
                <w:rFonts w:ascii="仿宋_GB2312" w:hAnsi="仿宋_GB2312" w:eastAsia="仿宋_GB2312" w:cs="仿宋_GB2312"/>
                <w:sz w:val="20"/>
                <w:szCs w:val="20"/>
              </w:rPr>
            </w:pPr>
          </w:p>
        </w:tc>
        <w:tc>
          <w:tcPr>
            <w:tcW w:w="615" w:type="dxa"/>
            <w:vAlign w:val="center"/>
          </w:tcPr>
          <w:p w14:paraId="087602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93ABA1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D3E26A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【行政法规】《中华人民共和国测绘成果管理条例》（2006年国务院令第469号）　第二十八条：违反本条例规定，测绘成果保管单位有下列行为之一的，由测绘行政主管部门给予警告，责令改正；有违法所得的，没收违法所得；造成损失的，依法承担赔偿责任；对直接负责的主管人员和其他直接责任人员，依法给予处分：</w:t>
            </w:r>
          </w:p>
          <w:p w14:paraId="13420FE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（三） 未依法向测绘成果的使用人提供测绘成果资料的。</w:t>
            </w:r>
          </w:p>
        </w:tc>
        <w:tc>
          <w:tcPr>
            <w:tcW w:w="3585" w:type="dxa"/>
            <w:vAlign w:val="center"/>
          </w:tcPr>
          <w:p w14:paraId="4D55A9F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成果保管单位未依法向测绘成果的使用人提供测绘成果资料的情况，应及时制止（对正在实施的违法行为，下达《责令停止违法行为通知书》）,并进行审查核实，符合立案条件的予以立案。</w:t>
            </w:r>
          </w:p>
          <w:p w14:paraId="30FAAE3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成果保管单位未依法向测绘成果的使用人提供测绘成果资料的情况，并制作笔录。调查时允许当事人辩解陈述。执法人员应保守有关秘密。</w:t>
            </w:r>
          </w:p>
          <w:p w14:paraId="2596511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4972D0D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1986BF7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成果保管单位未依法向测绘成果的使用人提供测绘成果资料的事实进行认定，依法制作《行政处罚决定书》，载明违反法律法规或规章的事实和证据、行政处罚的具体依据和内容，告知当事人陈述申辩或者听证情况等内容，告知申请行政复议或提起行政诉讼的权利。</w:t>
            </w:r>
          </w:p>
          <w:p w14:paraId="2A0DF528">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6D22BB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00EEC65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6294C06">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16515FE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552452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202A1E8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0C919D13">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0A4B5E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1933EFD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0915B61B">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1E6CDF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9D0B76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1C43103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A7EE2A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4F9857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0E4460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5C691B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7DC153C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7CC485D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0E7F82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4BB6434">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D545D2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54C8DF16">
            <w:pPr>
              <w:snapToGrid w:val="0"/>
              <w:spacing w:line="240" w:lineRule="atLeast"/>
              <w:jc w:val="center"/>
              <w:rPr>
                <w:rFonts w:ascii="仿宋_GB2312" w:hAnsi="仿宋_GB2312" w:eastAsia="仿宋_GB2312" w:cs="仿宋_GB2312"/>
                <w:sz w:val="20"/>
                <w:szCs w:val="20"/>
              </w:rPr>
            </w:pPr>
          </w:p>
        </w:tc>
      </w:tr>
    </w:tbl>
    <w:p w14:paraId="3805CFA3"/>
    <w:p w14:paraId="66C1A462"/>
    <w:p w14:paraId="6C3D9EE7"/>
    <w:p w14:paraId="7A858F2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45D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EC2407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5C55A04">
            <w:pPr>
              <w:spacing w:line="240" w:lineRule="atLeast"/>
              <w:rPr>
                <w:rFonts w:asciiTheme="majorEastAsia" w:hAnsiTheme="majorEastAsia" w:eastAsiaTheme="majorEastAsia" w:cstheme="majorEastAsia"/>
                <w:spacing w:val="-20"/>
                <w:sz w:val="20"/>
                <w:szCs w:val="20"/>
              </w:rPr>
            </w:pPr>
          </w:p>
          <w:p w14:paraId="26D405D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934FD1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A06F9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05A8DC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904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A10FB4B">
            <w:pPr>
              <w:spacing w:line="240" w:lineRule="atLeast"/>
              <w:jc w:val="left"/>
              <w:rPr>
                <w:rFonts w:ascii="仿宋_GB2312" w:hAnsi="仿宋_GB2312" w:eastAsia="仿宋_GB2312" w:cs="仿宋_GB2312"/>
                <w:sz w:val="20"/>
                <w:szCs w:val="20"/>
              </w:rPr>
            </w:pPr>
          </w:p>
        </w:tc>
        <w:tc>
          <w:tcPr>
            <w:tcW w:w="555" w:type="dxa"/>
            <w:vMerge w:val="continue"/>
          </w:tcPr>
          <w:p w14:paraId="1C84B21F">
            <w:pPr>
              <w:spacing w:line="240" w:lineRule="atLeast"/>
              <w:jc w:val="left"/>
              <w:rPr>
                <w:rFonts w:ascii="仿宋_GB2312" w:hAnsi="仿宋_GB2312" w:eastAsia="仿宋_GB2312" w:cs="仿宋_GB2312"/>
                <w:sz w:val="20"/>
                <w:szCs w:val="20"/>
              </w:rPr>
            </w:pPr>
          </w:p>
        </w:tc>
        <w:tc>
          <w:tcPr>
            <w:tcW w:w="784" w:type="dxa"/>
            <w:vAlign w:val="center"/>
          </w:tcPr>
          <w:p w14:paraId="6D6C905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87294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106334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189E15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48B866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D82B0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CDB5B8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4A88D7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6BBECB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BFDEF04">
            <w:pPr>
              <w:spacing w:line="240" w:lineRule="atLeast"/>
              <w:jc w:val="left"/>
              <w:rPr>
                <w:rFonts w:ascii="仿宋_GB2312" w:hAnsi="仿宋_GB2312" w:eastAsia="仿宋_GB2312" w:cs="仿宋_GB2312"/>
                <w:sz w:val="20"/>
                <w:szCs w:val="20"/>
              </w:rPr>
            </w:pPr>
          </w:p>
        </w:tc>
      </w:tr>
      <w:tr w14:paraId="2C89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7D650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180</w:t>
            </w:r>
          </w:p>
        </w:tc>
        <w:tc>
          <w:tcPr>
            <w:tcW w:w="555" w:type="dxa"/>
            <w:vAlign w:val="center"/>
          </w:tcPr>
          <w:p w14:paraId="1850D0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6A4A12E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0D1CE4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510A71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对损毁、破坏测绘地理信息基础设施或者从事危害测绘地理信息基础设施安全和使用效能活动行为的处罚</w:t>
            </w:r>
          </w:p>
        </w:tc>
        <w:tc>
          <w:tcPr>
            <w:tcW w:w="660" w:type="dxa"/>
            <w:vAlign w:val="center"/>
          </w:tcPr>
          <w:p w14:paraId="09519490">
            <w:pPr>
              <w:snapToGrid w:val="0"/>
              <w:spacing w:line="240" w:lineRule="atLeast"/>
              <w:jc w:val="center"/>
              <w:rPr>
                <w:rFonts w:ascii="仿宋_GB2312" w:hAnsi="仿宋_GB2312" w:eastAsia="仿宋_GB2312" w:cs="仿宋_GB2312"/>
                <w:sz w:val="20"/>
                <w:szCs w:val="20"/>
              </w:rPr>
            </w:pPr>
          </w:p>
        </w:tc>
        <w:tc>
          <w:tcPr>
            <w:tcW w:w="615" w:type="dxa"/>
            <w:vAlign w:val="center"/>
          </w:tcPr>
          <w:p w14:paraId="17261C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E17889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385332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一条第一款：任何单位和个人不得损毁、破坏测绘地理信息基础设施，不得从事危害测绘地理信息基础设施安全和使用效能的活动。</w:t>
            </w:r>
          </w:p>
          <w:p w14:paraId="37CD777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四条：违反本条例第四十一条第一款规定，损毁、破坏测绘地理信息基础设施或者从事危害测绘地理信息基础设施安全和使用效能活动的，由县级以上人民政府测绘地理信息主管部门给予警告，责令改正，可以并处五千元以上十万元以下的罚款；情节严重的，可以并处十万元以上二十万元以下的罚款；对直接负责的主管人员和其他直接责任人员，依法给予处分；造成损失的，依法承担赔偿责任。</w:t>
            </w:r>
          </w:p>
        </w:tc>
        <w:tc>
          <w:tcPr>
            <w:tcW w:w="3585" w:type="dxa"/>
            <w:vAlign w:val="center"/>
          </w:tcPr>
          <w:p w14:paraId="37CBF5DB">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损毁、破坏测绘地理信息基础设施或者从事危害测绘地理信息基础设施安全和使用效能活动的情况，应及时制止（对正在实施的违法行为，下达《责令停止违法行为通知书》）,并进行审查核实，符合立案条件的予以立案。</w:t>
            </w:r>
          </w:p>
          <w:p w14:paraId="78D3FB9E">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损毁、破坏测绘地理信息基础设施或者从事危害测绘地理信息基础设施安全和使用效能活动的情况，并制作笔录。调查时允许当事人辩解陈述。执法人员应保守有关秘密。</w:t>
            </w:r>
          </w:p>
          <w:p w14:paraId="1D00E1B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20D11A1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6CE54F40">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损毁、破坏测绘地理信息基础设施或者从事危害测绘地理信息基础设施安全和使用效能活动的事实进行认定，依法制作《行政处罚决定书》，载明违反法律法规或规章的事实和证据、行政处罚的具体依据和内容，告知当事人陈述申辩或者听证情况等内容，告知申请行政复议或提起行政诉讼的权利。</w:t>
            </w:r>
          </w:p>
          <w:p w14:paraId="50241E7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6．送达责任：《绘行政处罚决定书》按法律规定的方式送达当事人。</w:t>
            </w:r>
          </w:p>
          <w:p w14:paraId="4216793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4747BD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44052197">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54DDD8C">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DD2777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3FDC9E3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4878F316">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323B9A2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39CE251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63617E86">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6166321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08C59832">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5FB554F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4617FCD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5D74EF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3A7B530F">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09FE842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48824E5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531D659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2FF6E5B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032BEDC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4704956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05D893BD">
            <w:pPr>
              <w:snapToGrid w:val="0"/>
              <w:spacing w:line="240" w:lineRule="atLeast"/>
              <w:jc w:val="center"/>
              <w:rPr>
                <w:rFonts w:ascii="仿宋_GB2312" w:hAnsi="仿宋_GB2312" w:eastAsia="仿宋_GB2312" w:cs="仿宋_GB2312"/>
                <w:sz w:val="20"/>
                <w:szCs w:val="20"/>
              </w:rPr>
            </w:pPr>
          </w:p>
        </w:tc>
      </w:tr>
    </w:tbl>
    <w:p w14:paraId="0A5EF45D"/>
    <w:p w14:paraId="1059046C"/>
    <w:p w14:paraId="569952A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9A2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53217A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2CE982F">
            <w:pPr>
              <w:spacing w:line="240" w:lineRule="atLeast"/>
              <w:rPr>
                <w:rFonts w:asciiTheme="majorEastAsia" w:hAnsiTheme="majorEastAsia" w:eastAsiaTheme="majorEastAsia" w:cstheme="majorEastAsia"/>
                <w:spacing w:val="-20"/>
                <w:sz w:val="20"/>
                <w:szCs w:val="20"/>
              </w:rPr>
            </w:pPr>
          </w:p>
          <w:p w14:paraId="1025A778">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9C55A7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08213C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F30B52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26A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D9F5EFE">
            <w:pPr>
              <w:spacing w:line="240" w:lineRule="atLeast"/>
              <w:jc w:val="left"/>
              <w:rPr>
                <w:rFonts w:ascii="仿宋_GB2312" w:hAnsi="仿宋_GB2312" w:eastAsia="仿宋_GB2312" w:cs="仿宋_GB2312"/>
                <w:sz w:val="20"/>
                <w:szCs w:val="20"/>
              </w:rPr>
            </w:pPr>
          </w:p>
        </w:tc>
        <w:tc>
          <w:tcPr>
            <w:tcW w:w="555" w:type="dxa"/>
            <w:vMerge w:val="continue"/>
          </w:tcPr>
          <w:p w14:paraId="066D9A42">
            <w:pPr>
              <w:spacing w:line="240" w:lineRule="atLeast"/>
              <w:jc w:val="left"/>
              <w:rPr>
                <w:rFonts w:ascii="仿宋_GB2312" w:hAnsi="仿宋_GB2312" w:eastAsia="仿宋_GB2312" w:cs="仿宋_GB2312"/>
                <w:sz w:val="20"/>
                <w:szCs w:val="20"/>
              </w:rPr>
            </w:pPr>
          </w:p>
        </w:tc>
        <w:tc>
          <w:tcPr>
            <w:tcW w:w="784" w:type="dxa"/>
            <w:vAlign w:val="center"/>
          </w:tcPr>
          <w:p w14:paraId="2E7A7A9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A4FAB0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CC55B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360F5A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778279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AE2B1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380261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038401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8EE175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9162672">
            <w:pPr>
              <w:spacing w:line="240" w:lineRule="atLeast"/>
              <w:jc w:val="left"/>
              <w:rPr>
                <w:rFonts w:ascii="仿宋_GB2312" w:hAnsi="仿宋_GB2312" w:eastAsia="仿宋_GB2312" w:cs="仿宋_GB2312"/>
                <w:sz w:val="20"/>
                <w:szCs w:val="20"/>
              </w:rPr>
            </w:pPr>
          </w:p>
        </w:tc>
      </w:tr>
      <w:tr w14:paraId="0718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B79905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181</w:t>
            </w:r>
          </w:p>
        </w:tc>
        <w:tc>
          <w:tcPr>
            <w:tcW w:w="555" w:type="dxa"/>
            <w:vAlign w:val="center"/>
          </w:tcPr>
          <w:p w14:paraId="2F0EF21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3618FF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F0AC64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4E7BFA6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对测绘单位将测绘项目违法分包行为的处罚</w:t>
            </w:r>
          </w:p>
        </w:tc>
        <w:tc>
          <w:tcPr>
            <w:tcW w:w="660" w:type="dxa"/>
            <w:vAlign w:val="center"/>
          </w:tcPr>
          <w:p w14:paraId="25A2731F">
            <w:pPr>
              <w:snapToGrid w:val="0"/>
              <w:spacing w:line="240" w:lineRule="atLeast"/>
              <w:jc w:val="center"/>
              <w:rPr>
                <w:rFonts w:ascii="仿宋_GB2312" w:hAnsi="仿宋_GB2312" w:eastAsia="仿宋_GB2312" w:cs="仿宋_GB2312"/>
                <w:sz w:val="20"/>
                <w:szCs w:val="20"/>
              </w:rPr>
            </w:pPr>
          </w:p>
        </w:tc>
        <w:tc>
          <w:tcPr>
            <w:tcW w:w="615" w:type="dxa"/>
            <w:vAlign w:val="center"/>
          </w:tcPr>
          <w:p w14:paraId="1210BD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F7C08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2FB9694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六条第三款：测绘单位不得将承包的测绘项目转包。测绘单位拟将测绘项目部分非主体、非关键性工作分包的，应当在投标文件中载明；接受分包的单位应当具备相应的测绘资质条件，不得将测绘项目再次分包。</w:t>
            </w:r>
          </w:p>
          <w:p w14:paraId="273E9D4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第五十五条：违反本条例第四十六条第三款规定，测绘单位将测绘项目违法分包的，由县级以上人民政府测绘地理信息主管部门责令改正，没收违法所得，处分包项目金额千分之五以上千分之十以下的罚款。</w:t>
            </w:r>
          </w:p>
        </w:tc>
        <w:tc>
          <w:tcPr>
            <w:tcW w:w="3585" w:type="dxa"/>
            <w:vAlign w:val="center"/>
          </w:tcPr>
          <w:p w14:paraId="2174A219">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单位将测绘项目违法分包的情况，应及时制止（对正在实施的违法行为，下达《责令停止违法行为通知书》）,并进行审查核实，符合立案条件的予以立案。</w:t>
            </w:r>
          </w:p>
          <w:p w14:paraId="50273497">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2.调查责任：执法人员不得少于两人，出示证件、表明身份；通过搜集证据、现场了解核实测绘单位将测绘项目违法分包的情况，并制作笔录。调查时允许当事人辩解陈述。执法人员应保守有关秘密。</w:t>
            </w:r>
          </w:p>
          <w:p w14:paraId="49F4E1A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AED448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7743A8BD">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单位将测绘项目违法分包的事实进行认定，依法制作《行政处罚决定书》，载明违反法律法规或规章的事实和证据、行政处罚的具体依据和内容，告知当事人陈述申辩或者听证情况等内容，告知申请行政复议或提起行政诉讼的权利。</w:t>
            </w:r>
          </w:p>
          <w:p w14:paraId="07B8409A">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BC856F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14FCBFB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0BAA983F">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49C1C4C4">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4373F460">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4537D74A">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A606599">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29980EEB">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72DA767C">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54F365F1">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0A680E39">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425DC27C">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3D0BDDB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6453869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19A4593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61CD096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7442112A">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0C65ECD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B07650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3A28A506">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602356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3819A5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4E8DD72B">
            <w:pPr>
              <w:snapToGrid w:val="0"/>
              <w:spacing w:line="240" w:lineRule="atLeast"/>
              <w:jc w:val="center"/>
              <w:rPr>
                <w:rFonts w:ascii="仿宋_GB2312" w:hAnsi="仿宋_GB2312" w:eastAsia="仿宋_GB2312" w:cs="仿宋_GB2312"/>
                <w:sz w:val="20"/>
                <w:szCs w:val="20"/>
              </w:rPr>
            </w:pPr>
          </w:p>
        </w:tc>
      </w:tr>
    </w:tbl>
    <w:p w14:paraId="293D25A0"/>
    <w:p w14:paraId="1BA498F0"/>
    <w:p w14:paraId="3654735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799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6BE091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B721C14">
            <w:pPr>
              <w:spacing w:line="240" w:lineRule="atLeast"/>
              <w:rPr>
                <w:rFonts w:asciiTheme="majorEastAsia" w:hAnsiTheme="majorEastAsia" w:eastAsiaTheme="majorEastAsia" w:cstheme="majorEastAsia"/>
                <w:spacing w:val="-20"/>
                <w:sz w:val="20"/>
                <w:szCs w:val="20"/>
              </w:rPr>
            </w:pPr>
          </w:p>
          <w:p w14:paraId="7A2ECC6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EADC9A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067107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9A428D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B10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6DD1B98">
            <w:pPr>
              <w:spacing w:line="240" w:lineRule="atLeast"/>
              <w:jc w:val="left"/>
              <w:rPr>
                <w:rFonts w:ascii="仿宋_GB2312" w:hAnsi="仿宋_GB2312" w:eastAsia="仿宋_GB2312" w:cs="仿宋_GB2312"/>
                <w:sz w:val="20"/>
                <w:szCs w:val="20"/>
              </w:rPr>
            </w:pPr>
          </w:p>
        </w:tc>
        <w:tc>
          <w:tcPr>
            <w:tcW w:w="555" w:type="dxa"/>
            <w:vMerge w:val="continue"/>
          </w:tcPr>
          <w:p w14:paraId="064CEBE7">
            <w:pPr>
              <w:spacing w:line="240" w:lineRule="atLeast"/>
              <w:jc w:val="left"/>
              <w:rPr>
                <w:rFonts w:ascii="仿宋_GB2312" w:hAnsi="仿宋_GB2312" w:eastAsia="仿宋_GB2312" w:cs="仿宋_GB2312"/>
                <w:sz w:val="20"/>
                <w:szCs w:val="20"/>
              </w:rPr>
            </w:pPr>
          </w:p>
        </w:tc>
        <w:tc>
          <w:tcPr>
            <w:tcW w:w="784" w:type="dxa"/>
            <w:vAlign w:val="center"/>
          </w:tcPr>
          <w:p w14:paraId="02DF881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8967F9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81CE91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F24934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E05EA8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66C1081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06299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B4691B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1DE267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AB88890">
            <w:pPr>
              <w:spacing w:line="240" w:lineRule="atLeast"/>
              <w:jc w:val="left"/>
              <w:rPr>
                <w:rFonts w:ascii="仿宋_GB2312" w:hAnsi="仿宋_GB2312" w:eastAsia="仿宋_GB2312" w:cs="仿宋_GB2312"/>
                <w:sz w:val="20"/>
                <w:szCs w:val="20"/>
              </w:rPr>
            </w:pPr>
          </w:p>
        </w:tc>
      </w:tr>
      <w:tr w14:paraId="32D3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DF973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182</w:t>
            </w:r>
          </w:p>
        </w:tc>
        <w:tc>
          <w:tcPr>
            <w:tcW w:w="555" w:type="dxa"/>
            <w:vAlign w:val="center"/>
          </w:tcPr>
          <w:p w14:paraId="5EFB90D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4D88EB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2C55E6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处罚</w:t>
            </w:r>
          </w:p>
        </w:tc>
        <w:tc>
          <w:tcPr>
            <w:tcW w:w="784" w:type="dxa"/>
            <w:vAlign w:val="center"/>
          </w:tcPr>
          <w:p w14:paraId="3A37EB0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对测绘单位实施测绘项目不按照规定备案行为的处罚</w:t>
            </w:r>
          </w:p>
        </w:tc>
        <w:tc>
          <w:tcPr>
            <w:tcW w:w="660" w:type="dxa"/>
            <w:vAlign w:val="center"/>
          </w:tcPr>
          <w:p w14:paraId="1EB28356">
            <w:pPr>
              <w:snapToGrid w:val="0"/>
              <w:spacing w:line="240" w:lineRule="atLeast"/>
              <w:jc w:val="center"/>
              <w:rPr>
                <w:rFonts w:ascii="仿宋_GB2312" w:hAnsi="仿宋_GB2312" w:eastAsia="仿宋_GB2312" w:cs="仿宋_GB2312"/>
                <w:sz w:val="20"/>
                <w:szCs w:val="20"/>
              </w:rPr>
            </w:pPr>
          </w:p>
        </w:tc>
        <w:tc>
          <w:tcPr>
            <w:tcW w:w="615" w:type="dxa"/>
            <w:vAlign w:val="center"/>
          </w:tcPr>
          <w:p w14:paraId="3535AAA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11A6EB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5E4DDF92">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八条第一款：使用财政资金或者所在地为国界线本自治区一侧两千米范围内的测绘项目，测绘单位应当在实施该项目前，向项目所在地县级以上人民政府测绘地理信息主管部门备案。</w:t>
            </w:r>
          </w:p>
          <w:p w14:paraId="38D42F8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十六条：违反本条例第四十八条第一款规定，测绘单位实施测绘项目不按照规定备案的，由县级以上人民政府测绘地理信息主管部门给予警告，责令限期改正；逾期不改正的，处五千元以上五万元以下的罚款。</w:t>
            </w:r>
          </w:p>
        </w:tc>
        <w:tc>
          <w:tcPr>
            <w:tcW w:w="3585" w:type="dxa"/>
            <w:vAlign w:val="center"/>
          </w:tcPr>
          <w:p w14:paraId="194270BC">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对于日常监督检查发现或举报投诉，涉嫌测绘单位实施测绘项目不按照规定备案的情况，应及时制止（对正在实施的违法行为，下达《责令停止违法行为通知书》）,并进行审查核实，符合立案条件的予以立案。</w:t>
            </w:r>
          </w:p>
          <w:p w14:paraId="1ADE8FA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2.调查责任：执法人员不得少于两人，出示证件、表明身份；通过搜集证据、现场了解核实测绘单位实施测绘项目不按照规定备案的情况，并制作笔录。调查时允许当事人辩解陈述。执法人员应保守有关秘密。</w:t>
            </w:r>
          </w:p>
          <w:p w14:paraId="572D7945">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3.审查责任：对调查结果进行审核；提出是否给予当事人处罚和给予何种处罚的意见。</w:t>
            </w:r>
          </w:p>
          <w:p w14:paraId="522D1E5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4.告知责任：作出行政处罚决定前，应制作《行政处罚告知书》送达当事人，告知当事人违法事实及其享有的陈述、申辩等权利。符合听证规定的，制作并送达《行政处罚听证告知书》。</w:t>
            </w:r>
          </w:p>
          <w:p w14:paraId="57E1A99F">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决定责任：对测绘单位实施测绘项目不按照规定备案的事实进行认定，依法制作《行政处罚决定书》，载明违反法律法规或规章的事实和证据、行政处罚的具体依据和内容，告知当事人陈述申辩或者听证情况等内容，告知申请行政复议或提起行政诉讼的权利。</w:t>
            </w:r>
          </w:p>
          <w:p w14:paraId="67062453">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6.送达责任：《行政处罚决定书》按法律规定的方式送达当事人。</w:t>
            </w:r>
          </w:p>
          <w:p w14:paraId="15AD5B84">
            <w:pPr>
              <w:widowControl/>
              <w:adjustRightInd w:val="0"/>
              <w:snapToGrid w:val="0"/>
              <w:spacing w:line="23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执行责任：依照生效的行政处罚决定，监督当事人履行。当事人逾期不履行行政处罚决定的，可依法采取加处罚款、申请人民法院强制执行，或向当事人单位、上级主管部门通报，或向社会通报，或停办相关审批手续等。</w:t>
            </w:r>
          </w:p>
          <w:p w14:paraId="36EA8F8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8.其他法律法规规章文件规定应履行的责任。</w:t>
            </w:r>
          </w:p>
        </w:tc>
        <w:tc>
          <w:tcPr>
            <w:tcW w:w="9515" w:type="dxa"/>
            <w:vAlign w:val="center"/>
          </w:tcPr>
          <w:p w14:paraId="316D9165">
            <w:pPr>
              <w:widowControl/>
              <w:adjustRightInd w:val="0"/>
              <w:snapToGrid w:val="0"/>
              <w:spacing w:line="234" w:lineRule="exact"/>
              <w:ind w:firstLine="400" w:firstLineChars="200"/>
              <w:rPr>
                <w:rFonts w:eastAsia="仿宋_GB2312"/>
                <w:snapToGrid w:val="0"/>
                <w:color w:val="000000"/>
                <w:spacing w:val="-2"/>
                <w:sz w:val="20"/>
                <w:szCs w:val="20"/>
              </w:rPr>
            </w:pPr>
            <w:r>
              <w:rPr>
                <w:rFonts w:hint="eastAsia" w:eastAsia="仿宋_GB2312"/>
                <w:snapToGrid w:val="0"/>
                <w:color w:val="000000"/>
                <w:sz w:val="20"/>
                <w:szCs w:val="20"/>
              </w:rPr>
              <w:t>1.【部门规章】《自然资源行政处罚办法》（2014年国土资源部令第60号公布，2020年自然资源部令第6号修正）</w:t>
            </w:r>
            <w:r>
              <w:rPr>
                <w:rFonts w:hint="eastAsia" w:eastAsia="仿宋_GB2312"/>
                <w:snapToGrid w:val="0"/>
                <w:color w:val="000000"/>
                <w:spacing w:val="-2"/>
                <w:sz w:val="20"/>
                <w:szCs w:val="20"/>
              </w:rPr>
              <w:t>第十一条：自然资源主管部门发现自然人、法人或者其他组织行为涉嫌违法的，应当及时核查。对正在实施的违法行为，应当依法及时下达《责令停止违法行为通知书》予以制止。</w:t>
            </w:r>
          </w:p>
          <w:p w14:paraId="30FB466E">
            <w:pPr>
              <w:widowControl/>
              <w:adjustRightInd w:val="0"/>
              <w:snapToGrid w:val="0"/>
              <w:spacing w:line="234" w:lineRule="exact"/>
              <w:ind w:firstLine="392" w:firstLineChars="200"/>
              <w:rPr>
                <w:rFonts w:eastAsia="仿宋_GB2312"/>
                <w:snapToGrid w:val="0"/>
                <w:color w:val="000000"/>
                <w:sz w:val="20"/>
                <w:szCs w:val="20"/>
              </w:rPr>
            </w:pPr>
            <w:r>
              <w:rPr>
                <w:rFonts w:hint="eastAsia" w:eastAsia="仿宋_GB2312"/>
                <w:snapToGrid w:val="0"/>
                <w:color w:val="000000"/>
                <w:spacing w:val="-2"/>
                <w:sz w:val="20"/>
                <w:szCs w:val="20"/>
              </w:rPr>
              <w:t>第十二条：符合下列条件的，自然资源主管部门应当在十个工作日内予以立案：⑴有明确的行为人。⑵有违反自然资源管理法律法规的事实。⑶依照自然资源管理法律法规应当追究法律责任。⑷属于本级本部门管辖。⑸违法行为没有超过追诉时效。违法行为轻微并及时纠正，没有造成危害后果的，可以不予立案。</w:t>
            </w:r>
          </w:p>
          <w:p w14:paraId="33D7AA6E">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2—1.【法律】《中华人民共和国行政处罚法》第三十七条：行政机关在调查或者进行检查时，执法</w:t>
            </w:r>
            <w:r>
              <w:rPr>
                <w:rFonts w:hint="eastAsia" w:eastAsia="仿宋_GB2312"/>
                <w:snapToGrid w:val="0"/>
                <w:color w:val="000000"/>
                <w:spacing w:val="-2"/>
                <w:sz w:val="20"/>
                <w:szCs w:val="20"/>
              </w:rPr>
              <w:t>员不得少于两人，并应当向当事人或者有关人员出示证件。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14:paraId="6EAFB5B2">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2.【部门规章】《自然资源行政处罚办法》（2014年国土资源部令第60号公布，2020年自然资源部令第6号修正）第十三条：立案后，自然资源主管部门应当指定案件承办人员，及时组织调查取证。调查取证时，案件调查人员应当不少于二人，并应当向被调查人出示执法证件。</w:t>
            </w:r>
          </w:p>
          <w:p w14:paraId="65A1FC00">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第十四条：调查人员与案件有直接利害关系的，应当回避。</w:t>
            </w:r>
          </w:p>
          <w:p w14:paraId="7C8B0417">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第二十条：当事人请求自行提供陈述材料的，应当准许。必要时，调查人员也可以要求当事人自行书写。当事人应当在其提供的陈述材料上签名、按手印或者盖章。</w:t>
            </w:r>
          </w:p>
          <w:p w14:paraId="5F1C8518">
            <w:pPr>
              <w:widowControl/>
              <w:adjustRightInd w:val="0"/>
              <w:snapToGrid w:val="0"/>
              <w:spacing w:line="234"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第二十一条：询问应当个别进行，并制作询问笔录。询问笔录应当记载询问的时间、地点和询问情况等。</w:t>
            </w:r>
          </w:p>
          <w:p w14:paraId="1F5DD905">
            <w:pPr>
              <w:widowControl/>
              <w:adjustRightInd w:val="0"/>
              <w:snapToGrid w:val="0"/>
              <w:spacing w:line="234"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3.【部门规章】《自然资源行政处罚办法》（2014年国土资源部令第60号公布，2020年自然资源部令第6号修正）第二十五条：自然资源主管部门在审理案件调查报告时，应当就下列事项进行审理：（一）事实是否清楚、证据是否确凿；（二）定性是否准确；（三）适用法律是否正确；（四）程序是否合法；（五）拟定的处理意见是否适当。经审理发现调查报告存在问题的，可以要求调查人员重新调查或者补充调查。</w:t>
            </w:r>
          </w:p>
          <w:p w14:paraId="7746151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自然资源行政处罚办法》（2014年国土资源部令第60号公布，2020年自然资源部令第6号修正）第二十七条：违法行为依法需要给予行政处罚的，自然资源主管部门应当制作《行政处罚告知书》，按照法律规定的方式，送达当事人。当事人有权进行陈述和申辩。陈述和申辩应当在收到《行政处罚告知书》后三个工作日内提出。口头形式提出的，案件承办人员应当制作笔录。</w:t>
            </w:r>
          </w:p>
          <w:p w14:paraId="2A236998">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第二十八条：……当事人要求听证的，应当在收到《行政处罚听证告知书》后三个工作日内提出。</w:t>
            </w:r>
          </w:p>
          <w:p w14:paraId="2AA859C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5—1.【法律】《中华人民共和国行政处罚法》第三十八条：调查终结，行政机关负责人应当对调查结果进行审查，根据不同情况，分别作出决定。</w:t>
            </w:r>
          </w:p>
          <w:p w14:paraId="586A3A6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第三十九条：行政机关……应当制作《行政处罚决定书》。</w:t>
            </w:r>
          </w:p>
          <w:p w14:paraId="3058EFC1">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2AA5E8C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二条：自然资源主管部门应当自立案之日起六十日内作出行政处罚决定。案情复杂不能在规定期限内作出行政处罚决定的，报本级自然资源主管部门负责人批准，可以适当延长，但延长期限原则上不超过三十日，案情特别复杂的除外。</w:t>
            </w:r>
          </w:p>
          <w:p w14:paraId="183E5ADD">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6—1.【法律】《中华人民共和国行政处罚法》第四十条：行政处罚决定书应当在宣告后当场交付当事人；当事人不在场的，行政机关应当在七日内依照民事诉讼法的有关规定，将行政处罚决定书送达当事人。</w:t>
            </w:r>
          </w:p>
          <w:p w14:paraId="573DEBB3">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6—2.【部门规章】《自然资源行政处罚办法》（2014年国土资源部令第60号公布，2020年自然资源部令第6号修正）第二十九条：……《行政处罚决定书》一经送达，即发生法律效力。当事人对行政处罚决定不服申请行政复议或者提起行政诉讼的，在行政复议或者行政诉讼期间，行政处罚决定不停止执行；法律另有规定的除外。</w:t>
            </w:r>
          </w:p>
          <w:p w14:paraId="0441DF87">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7—1.【法律】《中华人民共和国行政处罚法》第四十四条：行政处罚决定依法作出后，当事人应当在行政处罚决定的期限内，予以履行。</w:t>
            </w:r>
          </w:p>
          <w:p w14:paraId="0B131F8B">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一条：当事人逾期不履行行政处罚决定的，作出行政处罚决定的行政机关可以采取下列措施：（一）到期不缴纳罚款的，每日按罚款数额的百分之三加处罚款；（二）根据法律规定，将查封、扣押的财物拍卖或者将冻结的存款划拨抵缴罚款；（三）申请人民法院强制执行。</w:t>
            </w:r>
          </w:p>
          <w:p w14:paraId="4BB9FE15">
            <w:pPr>
              <w:widowControl/>
              <w:adjustRightInd w:val="0"/>
              <w:snapToGrid w:val="0"/>
              <w:spacing w:line="23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7—2.【部门规章】《自然资源行政处罚办法》（2014年国土资源部令第60号公布，2020年自然资源部令第6号修正）第三十三条：行政处罚决定生效后，当事人逾期不履行的，自然资源主管部门除采取法律法规规定的措施外，还可以采取以下措施：（一）向本级人民政府和上一级自然资源主管部门报告；（二）向当事人所在单位或者其上级主管部门通报；（三）向社会公开通报；（四）停止办理或者告知相关部门停止办理当事人与本案有关的许可、审批、登记等手续。</w:t>
            </w:r>
          </w:p>
          <w:p w14:paraId="6CC0433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第三十六条：自然资源主管部门申请人民法院强制执行前，应当催告当事人履行义务。</w:t>
            </w:r>
          </w:p>
        </w:tc>
        <w:tc>
          <w:tcPr>
            <w:tcW w:w="330" w:type="dxa"/>
            <w:vAlign w:val="center"/>
          </w:tcPr>
          <w:p w14:paraId="219290BF">
            <w:pPr>
              <w:snapToGrid w:val="0"/>
              <w:spacing w:line="240" w:lineRule="atLeast"/>
              <w:jc w:val="center"/>
              <w:rPr>
                <w:rFonts w:ascii="仿宋_GB2312" w:hAnsi="仿宋_GB2312" w:eastAsia="仿宋_GB2312" w:cs="仿宋_GB2312"/>
                <w:sz w:val="20"/>
                <w:szCs w:val="20"/>
              </w:rPr>
            </w:pPr>
          </w:p>
        </w:tc>
      </w:tr>
    </w:tbl>
    <w:p w14:paraId="0EFED8AD"/>
    <w:p w14:paraId="2900702C"/>
    <w:p w14:paraId="6D3A56CB"/>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0D4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29AC05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0CE4B6F">
            <w:pPr>
              <w:spacing w:line="240" w:lineRule="atLeast"/>
              <w:rPr>
                <w:rFonts w:asciiTheme="majorEastAsia" w:hAnsiTheme="majorEastAsia" w:eastAsiaTheme="majorEastAsia" w:cstheme="majorEastAsia"/>
                <w:spacing w:val="-20"/>
                <w:sz w:val="20"/>
                <w:szCs w:val="20"/>
              </w:rPr>
            </w:pPr>
          </w:p>
          <w:p w14:paraId="51731B6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0E20D9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54AB51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8E881C7">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EB3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02243A4">
            <w:pPr>
              <w:spacing w:line="240" w:lineRule="atLeast"/>
              <w:jc w:val="left"/>
              <w:rPr>
                <w:rFonts w:ascii="仿宋_GB2312" w:hAnsi="仿宋_GB2312" w:eastAsia="仿宋_GB2312" w:cs="仿宋_GB2312"/>
                <w:sz w:val="20"/>
                <w:szCs w:val="20"/>
              </w:rPr>
            </w:pPr>
          </w:p>
        </w:tc>
        <w:tc>
          <w:tcPr>
            <w:tcW w:w="555" w:type="dxa"/>
            <w:vMerge w:val="continue"/>
          </w:tcPr>
          <w:p w14:paraId="23DFA155">
            <w:pPr>
              <w:spacing w:line="240" w:lineRule="atLeast"/>
              <w:jc w:val="left"/>
              <w:rPr>
                <w:rFonts w:ascii="仿宋_GB2312" w:hAnsi="仿宋_GB2312" w:eastAsia="仿宋_GB2312" w:cs="仿宋_GB2312"/>
                <w:sz w:val="20"/>
                <w:szCs w:val="20"/>
              </w:rPr>
            </w:pPr>
          </w:p>
        </w:tc>
        <w:tc>
          <w:tcPr>
            <w:tcW w:w="784" w:type="dxa"/>
            <w:vAlign w:val="center"/>
          </w:tcPr>
          <w:p w14:paraId="294AEFF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BD714C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5BD1EF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6895C3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6A85D3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B0E6F0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428B7A0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10D0C5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1A5F88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B7F921A">
            <w:pPr>
              <w:spacing w:line="240" w:lineRule="atLeast"/>
              <w:jc w:val="left"/>
              <w:rPr>
                <w:rFonts w:ascii="仿宋_GB2312" w:hAnsi="仿宋_GB2312" w:eastAsia="仿宋_GB2312" w:cs="仿宋_GB2312"/>
                <w:sz w:val="20"/>
                <w:szCs w:val="20"/>
              </w:rPr>
            </w:pPr>
          </w:p>
        </w:tc>
      </w:tr>
      <w:tr w14:paraId="54BF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10AEC4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183</w:t>
            </w:r>
          </w:p>
        </w:tc>
        <w:tc>
          <w:tcPr>
            <w:tcW w:w="555" w:type="dxa"/>
            <w:vAlign w:val="center"/>
          </w:tcPr>
          <w:p w14:paraId="4380C1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w:t>
            </w:r>
          </w:p>
          <w:p w14:paraId="078A47D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w:t>
            </w:r>
          </w:p>
          <w:p w14:paraId="38BC56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强制</w:t>
            </w:r>
          </w:p>
        </w:tc>
        <w:tc>
          <w:tcPr>
            <w:tcW w:w="784" w:type="dxa"/>
            <w:vAlign w:val="center"/>
          </w:tcPr>
          <w:p w14:paraId="16266B9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查封、扣押与涉嫌违法测绘行为直接相关的设备、工具、原材料、测绘成果资料等</w:t>
            </w:r>
          </w:p>
        </w:tc>
        <w:tc>
          <w:tcPr>
            <w:tcW w:w="660" w:type="dxa"/>
            <w:vAlign w:val="center"/>
          </w:tcPr>
          <w:p w14:paraId="20532701">
            <w:pPr>
              <w:snapToGrid w:val="0"/>
              <w:spacing w:line="240" w:lineRule="atLeast"/>
              <w:jc w:val="center"/>
              <w:rPr>
                <w:rFonts w:ascii="仿宋_GB2312" w:hAnsi="仿宋_GB2312" w:eastAsia="仿宋_GB2312" w:cs="仿宋_GB2312"/>
                <w:sz w:val="20"/>
                <w:szCs w:val="20"/>
              </w:rPr>
            </w:pPr>
          </w:p>
        </w:tc>
        <w:tc>
          <w:tcPr>
            <w:tcW w:w="615" w:type="dxa"/>
            <w:vAlign w:val="center"/>
          </w:tcPr>
          <w:p w14:paraId="5C6F06C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FB8F6D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78934C42">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4759DC4E">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50018B3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tc>
        <w:tc>
          <w:tcPr>
            <w:tcW w:w="3585" w:type="dxa"/>
            <w:vAlign w:val="center"/>
          </w:tcPr>
          <w:p w14:paraId="056D6DFF">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1.立案责任：检查发现需要依法查封、扣押与涉嫌违法测绘行为直接相关的设备、工具、原材料、测绘成果资料等，立案并实施查封、扣押。</w:t>
            </w:r>
          </w:p>
          <w:p w14:paraId="28A3D861">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2.告知责任：告知当事人拟实施行政强制措施的决定及事实、理由或证据；当事人依法享有的陈诉权、申辩权。制作并送达《扣押凭证》</w:t>
            </w:r>
          </w:p>
          <w:p w14:paraId="1EDC75E7">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3.执行责任：依照生效的行政强制措施决定，实施查封、扣押与涉嫌违法测绘行为直接相关的设备、工具、原材料、测绘成果资料等。对查封、扣押的设备、工具、原材料、测绘成果资料等妥善保管。</w:t>
            </w:r>
          </w:p>
          <w:p w14:paraId="57377B13">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4.解除责任：及时作出解除扣押决定。</w:t>
            </w:r>
          </w:p>
          <w:p w14:paraId="5C91A29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794BB270">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强制法》第十八条：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情况紧急，需要当场实施行政强制措施的，行政执法人员应当在二十四小时内向行政机关负责人报告，并补办批准手续。行政机关负责人认为不应当采取行政强制措施的，应当立即解除。</w:t>
            </w:r>
          </w:p>
          <w:p w14:paraId="61E5F667">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2.【法律】《中华人民共和国行政强制法》第二十四条：行政机关决定实施查封　、扣押的，应当履行本法第十八条规定的程序，制作并当场交付查封、扣押决定书和清单。查封、扣押决定书应当载明下列事项：（一）当事人的姓名或者名称、地址；（二）查封、扣押的理由、依据和期限；（三）查封、扣押场所、设施或者财物的名称、数量等；（四）申请行政复议或者提起行政诉讼的途径和期限；（五）行政机关的名称、印章和日期。查封、扣押清单一式二份，由当事人和行政机关分别保存。第二十五条查封、扣押的期限不得超过三十日；情况复杂的，经行政机关负责人批准，可以延长，但是延长期限不得超过三十日。法律、法规另有规定的除外。延长查封、扣押的决定应当及时书面告知当事人，并说明理由。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14:paraId="3C3DA825">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3.【法律】《中华人民共和国行政强制法》第二十六条：对查封、扣押的场所　、设施或者财物，行政机关应当妥善保管，不得使用或者损毁；造成损失的，应当承担赔偿责任。对查封的场所、设施或者财物，行政机关可以委托第三人保管，第三人不得损毁或者擅自转移、处置。因第三人的原因造成的损失，行政机关先行赔付后，有权向第三人追偿。因查封、扣押发生的保管费用由行政机关承担。</w:t>
            </w:r>
          </w:p>
          <w:p w14:paraId="657CD7B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4.【法律】《中华人民共和国行政强制法》第二十八条：有下列情形之一的，行政机关应当及时作出解除查封、扣押决定： （一）当事人没有违法行为；（二）查封、扣押的场所、设施或者财物与违法行为无关；（三）行政机关对违法行为已经作出处理决定，不再需要查封、扣押；（四）查封、扣押期限已经届满；（五）其他不再需要采取查封、扣押措施的情形。解除查封、扣押应当立即退还财物；已将鲜活物品或者其他不易保管的财物拍卖或者变卖的，退还拍卖或者变卖所得款项。变卖价格明显低于市场价格，给当事人造成损失的，应当给予补偿。</w:t>
            </w:r>
          </w:p>
        </w:tc>
        <w:tc>
          <w:tcPr>
            <w:tcW w:w="330" w:type="dxa"/>
            <w:vAlign w:val="center"/>
          </w:tcPr>
          <w:p w14:paraId="26C67B72">
            <w:pPr>
              <w:snapToGrid w:val="0"/>
              <w:spacing w:line="240" w:lineRule="atLeast"/>
              <w:jc w:val="center"/>
              <w:rPr>
                <w:rFonts w:ascii="仿宋_GB2312" w:hAnsi="仿宋_GB2312" w:eastAsia="仿宋_GB2312" w:cs="仿宋_GB2312"/>
                <w:sz w:val="20"/>
                <w:szCs w:val="20"/>
              </w:rPr>
            </w:pPr>
          </w:p>
        </w:tc>
      </w:tr>
    </w:tbl>
    <w:p w14:paraId="4206729D"/>
    <w:p w14:paraId="32F2984C"/>
    <w:p w14:paraId="3B334CB9"/>
    <w:p w14:paraId="1C7A9C1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1E6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C78F09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8007555">
            <w:pPr>
              <w:spacing w:line="240" w:lineRule="atLeast"/>
              <w:rPr>
                <w:rFonts w:asciiTheme="majorEastAsia" w:hAnsiTheme="majorEastAsia" w:eastAsiaTheme="majorEastAsia" w:cstheme="majorEastAsia"/>
                <w:spacing w:val="-20"/>
                <w:sz w:val="20"/>
                <w:szCs w:val="20"/>
              </w:rPr>
            </w:pPr>
          </w:p>
          <w:p w14:paraId="2C56DB8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C8C67E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D85DD4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81F7CB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D8A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ACFE6B4">
            <w:pPr>
              <w:spacing w:line="240" w:lineRule="atLeast"/>
              <w:jc w:val="left"/>
              <w:rPr>
                <w:rFonts w:ascii="仿宋_GB2312" w:hAnsi="仿宋_GB2312" w:eastAsia="仿宋_GB2312" w:cs="仿宋_GB2312"/>
                <w:sz w:val="20"/>
                <w:szCs w:val="20"/>
              </w:rPr>
            </w:pPr>
          </w:p>
        </w:tc>
        <w:tc>
          <w:tcPr>
            <w:tcW w:w="555" w:type="dxa"/>
            <w:vMerge w:val="continue"/>
          </w:tcPr>
          <w:p w14:paraId="3DC54969">
            <w:pPr>
              <w:spacing w:line="240" w:lineRule="atLeast"/>
              <w:jc w:val="left"/>
              <w:rPr>
                <w:rFonts w:ascii="仿宋_GB2312" w:hAnsi="仿宋_GB2312" w:eastAsia="仿宋_GB2312" w:cs="仿宋_GB2312"/>
                <w:sz w:val="20"/>
                <w:szCs w:val="20"/>
              </w:rPr>
            </w:pPr>
          </w:p>
        </w:tc>
        <w:tc>
          <w:tcPr>
            <w:tcW w:w="784" w:type="dxa"/>
            <w:vAlign w:val="center"/>
          </w:tcPr>
          <w:p w14:paraId="5F8F637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63F42D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89F4D8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93D3C2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8617344">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FC6E70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12593C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DF9A2E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218CE8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83F9D23">
            <w:pPr>
              <w:spacing w:line="240" w:lineRule="atLeast"/>
              <w:jc w:val="left"/>
              <w:rPr>
                <w:rFonts w:ascii="仿宋_GB2312" w:hAnsi="仿宋_GB2312" w:eastAsia="仿宋_GB2312" w:cs="仿宋_GB2312"/>
                <w:sz w:val="20"/>
                <w:szCs w:val="20"/>
              </w:rPr>
            </w:pPr>
          </w:p>
        </w:tc>
      </w:tr>
      <w:tr w14:paraId="6BDB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267A0E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184</w:t>
            </w:r>
          </w:p>
        </w:tc>
        <w:tc>
          <w:tcPr>
            <w:tcW w:w="555" w:type="dxa"/>
            <w:vAlign w:val="center"/>
          </w:tcPr>
          <w:p w14:paraId="7E4A219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行政征收</w:t>
            </w:r>
          </w:p>
        </w:tc>
        <w:tc>
          <w:tcPr>
            <w:tcW w:w="784" w:type="dxa"/>
            <w:vAlign w:val="center"/>
          </w:tcPr>
          <w:p w14:paraId="2CFBDBD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不动产登记费征收</w:t>
            </w:r>
          </w:p>
        </w:tc>
        <w:tc>
          <w:tcPr>
            <w:tcW w:w="660" w:type="dxa"/>
            <w:vAlign w:val="center"/>
          </w:tcPr>
          <w:p w14:paraId="5EA70F5F">
            <w:pPr>
              <w:snapToGrid w:val="0"/>
              <w:spacing w:line="240" w:lineRule="atLeast"/>
              <w:jc w:val="center"/>
              <w:rPr>
                <w:rFonts w:ascii="仿宋_GB2312" w:hAnsi="仿宋_GB2312" w:eastAsia="仿宋_GB2312" w:cs="仿宋_GB2312"/>
                <w:sz w:val="20"/>
                <w:szCs w:val="20"/>
              </w:rPr>
            </w:pPr>
          </w:p>
        </w:tc>
        <w:tc>
          <w:tcPr>
            <w:tcW w:w="615" w:type="dxa"/>
            <w:vAlign w:val="center"/>
          </w:tcPr>
          <w:p w14:paraId="38EA22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2890FA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71EEE156">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1.【法律】《中华人民共和国民法典》第二百二十三条：不动产登记费按件收取，不得按照不动产的面积、体积或者价款的比例收取。</w:t>
            </w:r>
          </w:p>
          <w:p w14:paraId="048ABC0A">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2.【规范性文件】财政部、国家发展和改革委员会关于不动产登记收费有关政策问题的通知（财税〔2016〕79号）一、国土资源部和县级及以上地方不动产登记机构（以下简称不动产登记机构）办理下列不动产权利的首次登记、变更登记、转移登记、更正登记、异议登记时，收取不动产登记费。</w:t>
            </w:r>
          </w:p>
          <w:p w14:paraId="78363634">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3.【规范性文件】发展改革委、财政部印发的《关于不动产登记收费标准等有关问题的通知》（发改价格规〔2016〕2559号）第六条：已实行不动产统一登记制度的地方，不动产登记机构按上述规定收费标准收取不动产登记费，原分部门制定的有关土地登记、房屋登记收费标准，土地承包经营权证、林权证工本费标准，以及各地制定的其他有关土地、房屋登记资料查询、复制、证明的收费标准一律废止。</w:t>
            </w:r>
          </w:p>
          <w:p w14:paraId="46B24E83">
            <w:pPr>
              <w:snapToGrid w:val="0"/>
              <w:spacing w:line="240" w:lineRule="atLeast"/>
              <w:ind w:firstLine="392" w:firstLineChars="200"/>
              <w:rPr>
                <w:rFonts w:ascii="仿宋_GB2312" w:hAnsi="仿宋_GB2312" w:eastAsia="仿宋_GB2312" w:cs="仿宋_GB2312"/>
                <w:sz w:val="20"/>
                <w:szCs w:val="20"/>
              </w:rPr>
            </w:pPr>
            <w:r>
              <w:rPr>
                <w:rFonts w:hint="eastAsia" w:eastAsia="仿宋_GB2312"/>
                <w:snapToGrid w:val="0"/>
                <w:color w:val="000000"/>
                <w:spacing w:val="-2"/>
                <w:sz w:val="20"/>
                <w:szCs w:val="20"/>
              </w:rPr>
              <w:t>4．【规范性文件】</w:t>
            </w:r>
            <w:r>
              <w:rPr>
                <w:rFonts w:hint="eastAsia" w:eastAsia="仿宋_GB2312"/>
                <w:snapToGrid w:val="0"/>
                <w:color w:val="000000"/>
                <w:sz w:val="20"/>
                <w:szCs w:val="20"/>
              </w:rPr>
              <w:t>广西壮族</w:t>
            </w:r>
            <w:r>
              <w:rPr>
                <w:rFonts w:hint="eastAsia" w:eastAsia="仿宋_GB2312"/>
                <w:snapToGrid w:val="0"/>
                <w:color w:val="000000"/>
                <w:spacing w:val="-2"/>
                <w:sz w:val="20"/>
                <w:szCs w:val="20"/>
              </w:rPr>
              <w:t>自治区物价局、</w:t>
            </w:r>
            <w:r>
              <w:rPr>
                <w:rFonts w:hint="eastAsia" w:eastAsia="仿宋_GB2312"/>
                <w:snapToGrid w:val="0"/>
                <w:color w:val="000000"/>
                <w:sz w:val="20"/>
                <w:szCs w:val="20"/>
              </w:rPr>
              <w:t>广西壮族</w:t>
            </w:r>
            <w:r>
              <w:rPr>
                <w:rFonts w:hint="eastAsia" w:eastAsia="仿宋_GB2312"/>
                <w:snapToGrid w:val="0"/>
                <w:color w:val="000000"/>
                <w:spacing w:val="-2"/>
                <w:sz w:val="20"/>
                <w:szCs w:val="20"/>
              </w:rPr>
              <w:t>自治区财政厅、</w:t>
            </w:r>
            <w:r>
              <w:rPr>
                <w:rFonts w:hint="eastAsia" w:eastAsia="仿宋_GB2312"/>
                <w:snapToGrid w:val="0"/>
                <w:color w:val="000000"/>
                <w:sz w:val="20"/>
                <w:szCs w:val="20"/>
              </w:rPr>
              <w:t>广西壮族</w:t>
            </w:r>
            <w:r>
              <w:rPr>
                <w:rFonts w:hint="eastAsia" w:eastAsia="仿宋_GB2312"/>
                <w:snapToGrid w:val="0"/>
                <w:color w:val="000000"/>
                <w:spacing w:val="-2"/>
                <w:sz w:val="20"/>
                <w:szCs w:val="20"/>
              </w:rPr>
              <w:t>自治区国土资源厅《关于不动产登记收费等有关问题的通知》（桂价费〔2018〕14号）第二条：不动产登记机构在不动产登记收费过程中只能按规定收取不动产登记费和不动产权属证书工本费，不能强制或变相强制申请人接受其他指定的服务及收取费用。</w:t>
            </w:r>
          </w:p>
        </w:tc>
        <w:tc>
          <w:tcPr>
            <w:tcW w:w="3585" w:type="dxa"/>
            <w:vAlign w:val="center"/>
          </w:tcPr>
          <w:p w14:paraId="3C978AC9">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1.受理阶段责任：公示告知土地登记费征收标准、金额计算方式、征收适用类型、征收方式以及其他应当公示的内容；</w:t>
            </w:r>
          </w:p>
          <w:p w14:paraId="4349AF8B">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2.审核阶段责任：审查征收对象是否符合相关政府及相关部门规定的征收标准，符合减免要求的，应当予以减免。</w:t>
            </w:r>
          </w:p>
          <w:p w14:paraId="380871BB">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3.确定阶段责任：对需缴费的开票征收，缴入国库。</w:t>
            </w:r>
          </w:p>
          <w:p w14:paraId="37715E63">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4．事后监管阶段责任：对未及时缴费进行催报催缴。</w:t>
            </w:r>
          </w:p>
          <w:p w14:paraId="3E7D579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0ACDFFD7">
            <w:pPr>
              <w:widowControl/>
              <w:adjustRightInd w:val="0"/>
              <w:snapToGrid w:val="0"/>
              <w:spacing w:line="270" w:lineRule="exact"/>
              <w:ind w:firstLine="392" w:firstLineChars="200"/>
              <w:rPr>
                <w:rFonts w:eastAsia="仿宋_GB2312"/>
                <w:snapToGrid w:val="0"/>
                <w:color w:val="000000"/>
                <w:spacing w:val="-2"/>
                <w:sz w:val="20"/>
                <w:szCs w:val="20"/>
              </w:rPr>
            </w:pPr>
            <w:r>
              <w:rPr>
                <w:rFonts w:hint="eastAsia" w:eastAsia="仿宋_GB2312"/>
                <w:snapToGrid w:val="0"/>
                <w:color w:val="000000"/>
                <w:spacing w:val="-2"/>
                <w:sz w:val="20"/>
                <w:szCs w:val="20"/>
              </w:rPr>
              <w:t>1. 【规范性文件】发展改革委、财政部印发的《关于不动产登记收费标准等有关问题的通知》（发改价格规〔2016〕2559号）第六条：已实行不动产统一登记制度的地方，不动产登记机构按上述规定收费标准收取不动产登记费，原分部门制定的有关土地登记、房屋登记收费标准，土地承包经营权证、林权证本费标准，以及各地制定的其他有关土地、房屋登记资料查询、复制、证明的收费标准一律废止。</w:t>
            </w:r>
          </w:p>
          <w:p w14:paraId="7D2B65D5">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【规范性文件】财政部、 国家发展和改革委员会关于不动产登记收费有关政策问题的通知（ 财税〔2016〕79号）一、 国土资源部和县级及以上地方不动产登记机构（以下简称不动产登记机构）办理下列不动产权利的首次登记、变更登记、转移登记、更正登记、异议登记时，收取不动产登记费。</w:t>
            </w:r>
          </w:p>
          <w:p w14:paraId="503CE155">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 【规范性文件】财政部、 国家发展和改革委员会关于不动产登记收费有关政策问题的通知（ 财税〔2016〕79号）十一、国土资源部收取的不动产登记费收入，应全额上缴中央国库，纳入中央财政预算管理，具体收缴办法按照国库集中收缴有关规定执行。县级及以上地方不动产登记机构收取的不动产登记费收入，应全额上缴地方国库，纳入地方财政预算管理，具体缴库办法按照省级财政部门有关规定执行。不动产登记机构开展不动产登记等相关工作所需经费，由同级财政预算统筹安排。</w:t>
            </w:r>
          </w:p>
          <w:p w14:paraId="73DAAC5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4．【规范性文件】广西壮族自治区物价局 广西壮族自治区财政厅广西壮族自治区国土资源厅关于不动产登记收费等有关问题的通知（桂价费〔2018〕14号）第二条：不动产登记机构在不动产登记收费过程中只能按规定收取不动产登记费和不动产权属证书工本费，不能强制或变相强制申请人接受其他指定的服务及收取费用。</w:t>
            </w:r>
          </w:p>
        </w:tc>
        <w:tc>
          <w:tcPr>
            <w:tcW w:w="330" w:type="dxa"/>
            <w:vAlign w:val="center"/>
          </w:tcPr>
          <w:p w14:paraId="5AC080B5">
            <w:pPr>
              <w:snapToGrid w:val="0"/>
              <w:spacing w:line="240" w:lineRule="atLeast"/>
              <w:jc w:val="center"/>
              <w:rPr>
                <w:rFonts w:ascii="仿宋_GB2312" w:hAnsi="仿宋_GB2312" w:eastAsia="仿宋_GB2312" w:cs="仿宋_GB2312"/>
                <w:sz w:val="20"/>
                <w:szCs w:val="20"/>
              </w:rPr>
            </w:pPr>
          </w:p>
        </w:tc>
      </w:tr>
    </w:tbl>
    <w:p w14:paraId="7E5490A6"/>
    <w:p w14:paraId="041265FA"/>
    <w:p w14:paraId="619C4AF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3C58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8E6F12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0CC9DAC">
            <w:pPr>
              <w:spacing w:line="240" w:lineRule="atLeast"/>
              <w:rPr>
                <w:rFonts w:asciiTheme="majorEastAsia" w:hAnsiTheme="majorEastAsia" w:eastAsiaTheme="majorEastAsia" w:cstheme="majorEastAsia"/>
                <w:spacing w:val="-20"/>
                <w:sz w:val="20"/>
                <w:szCs w:val="20"/>
              </w:rPr>
            </w:pPr>
          </w:p>
          <w:p w14:paraId="0ACEF7A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D5789E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EA7E33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B207CC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015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86B97E6">
            <w:pPr>
              <w:spacing w:line="240" w:lineRule="atLeast"/>
              <w:jc w:val="left"/>
              <w:rPr>
                <w:rFonts w:ascii="仿宋_GB2312" w:hAnsi="仿宋_GB2312" w:eastAsia="仿宋_GB2312" w:cs="仿宋_GB2312"/>
                <w:sz w:val="20"/>
                <w:szCs w:val="20"/>
              </w:rPr>
            </w:pPr>
          </w:p>
        </w:tc>
        <w:tc>
          <w:tcPr>
            <w:tcW w:w="555" w:type="dxa"/>
            <w:vMerge w:val="continue"/>
          </w:tcPr>
          <w:p w14:paraId="29A60774">
            <w:pPr>
              <w:spacing w:line="240" w:lineRule="atLeast"/>
              <w:jc w:val="left"/>
              <w:rPr>
                <w:rFonts w:ascii="仿宋_GB2312" w:hAnsi="仿宋_GB2312" w:eastAsia="仿宋_GB2312" w:cs="仿宋_GB2312"/>
                <w:sz w:val="20"/>
                <w:szCs w:val="20"/>
              </w:rPr>
            </w:pPr>
          </w:p>
        </w:tc>
        <w:tc>
          <w:tcPr>
            <w:tcW w:w="784" w:type="dxa"/>
            <w:vAlign w:val="center"/>
          </w:tcPr>
          <w:p w14:paraId="286D53A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B226BC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4FEEB9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4C5A6C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52445D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0913C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C380C5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0E9C75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0344FA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36C6B37">
            <w:pPr>
              <w:spacing w:line="240" w:lineRule="atLeast"/>
              <w:jc w:val="left"/>
              <w:rPr>
                <w:rFonts w:ascii="仿宋_GB2312" w:hAnsi="仿宋_GB2312" w:eastAsia="仿宋_GB2312" w:cs="仿宋_GB2312"/>
                <w:sz w:val="20"/>
                <w:szCs w:val="20"/>
              </w:rPr>
            </w:pPr>
          </w:p>
        </w:tc>
      </w:tr>
      <w:tr w14:paraId="49F6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512D1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185</w:t>
            </w:r>
          </w:p>
        </w:tc>
        <w:tc>
          <w:tcPr>
            <w:tcW w:w="555" w:type="dxa"/>
            <w:vAlign w:val="center"/>
          </w:tcPr>
          <w:p w14:paraId="762D2C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70B2498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耕地开垦费征收</w:t>
            </w:r>
          </w:p>
        </w:tc>
        <w:tc>
          <w:tcPr>
            <w:tcW w:w="660" w:type="dxa"/>
            <w:vAlign w:val="center"/>
          </w:tcPr>
          <w:p w14:paraId="21006238">
            <w:pPr>
              <w:snapToGrid w:val="0"/>
              <w:spacing w:line="240" w:lineRule="atLeast"/>
              <w:jc w:val="center"/>
              <w:rPr>
                <w:rFonts w:ascii="仿宋_GB2312" w:hAnsi="仿宋_GB2312" w:eastAsia="仿宋_GB2312" w:cs="仿宋_GB2312"/>
                <w:sz w:val="20"/>
                <w:szCs w:val="20"/>
              </w:rPr>
            </w:pPr>
          </w:p>
        </w:tc>
        <w:tc>
          <w:tcPr>
            <w:tcW w:w="615" w:type="dxa"/>
            <w:vAlign w:val="center"/>
          </w:tcPr>
          <w:p w14:paraId="1A5EE1E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DD54A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783F25D8">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【法律】《中华人民共和国土地管理法》第三十条：国家保护耕地、严格控制耕地转为非耕地。</w:t>
            </w:r>
          </w:p>
          <w:p w14:paraId="1A526A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国家实行占用耕地补偿制度。非农业建设经批准占用耕地的，按照“占多少，垦多少”的原则，由占用耕地的单位负责开垦与所占用耕地的数量和质量相当的耕地；没有条件开垦或者开垦的耕地不符合要求的，应当按照省、自治区、直辖市的规定缴纳耕地开垦费，专款用于开垦新的耕地。</w:t>
            </w:r>
          </w:p>
        </w:tc>
        <w:tc>
          <w:tcPr>
            <w:tcW w:w="3585" w:type="dxa"/>
            <w:vAlign w:val="center"/>
          </w:tcPr>
          <w:p w14:paraId="7AAE76A8">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1.受理责任：依法受理或不予受理，并一次性告知不予受理的理由或需补充提供的资料。</w:t>
            </w:r>
          </w:p>
          <w:p w14:paraId="1167D16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2.审核责任：审核申请人提供的农用地转用方案、补充耕地方案或“先补后占”验收结果申报信息的准确性。</w:t>
            </w:r>
          </w:p>
          <w:p w14:paraId="3620C450">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3.决定责任：做出审核决定，开具《缴款通知书》。</w:t>
            </w:r>
          </w:p>
          <w:p w14:paraId="28DFE48E">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4．监管责任：自治区财政部门、价格、自然资源管理部门有权对缴费人缴纳耕地开垦费的情况进行检查。</w:t>
            </w:r>
          </w:p>
          <w:p w14:paraId="01F2945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29A82EC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1.【规范性文件】《广西壮族自治区财政厅 广西壮族自治区自然资源厅 广西壮族自治区发展和改革委员会关于规范和调整我区耕地开垦费征收标准和使用管理政策的通知》（桂财税〔2019〕35号）第二条第（二）款第4项 缴纳义务人根据《耕地开垦费缴款通知书》的要求，在规定时间内将应缴纳的耕地开垦费全额缴入自治区自然资源厅非税收入汇缴专户。第6项 属于自治区人民政府授权或委托设区市人民政府批准的乡镇批次用地农用地转用和土地征收用地、设区市人民政府批准不涉及征收土地的农用地转用缴纳耕地开垦费，由设区市国土资源行政管理部门参照上述程序组织征收。</w:t>
            </w:r>
          </w:p>
          <w:p w14:paraId="444D5DC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2—1.【规范性文件】《广西壮族自治区财政厅 广西壮族自治区自然资源厅 广西壮族自治区发展和改革委员会关于规范和调整我区耕地开垦费征收标准和使用管理政策的通知》（桂财税〔2019〕35号）第二条第（一）款 ：耕地开垦费征收标准。综合考虑耕地开发成本、补充耕地地力培肥、后期管护、占用耕地耕作层剥离利用等因素，按建设项目占用永久基本农田和一般耕地及地类、耕地质量等因素分别确定其征收标准。对经依法批准占用永久基本农田的，缴费标准按照耕地开垦费最高标准的两倍执行。批次用地、单独选址项目等非农建设（含基础设施重大项目）经批准占用耕地，无法自行落实占补平衡的，应当按照上述标准缴纳耕地开垦费。</w:t>
            </w:r>
          </w:p>
          <w:p w14:paraId="4AE81BC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2—2.【规范性文件】国务院《关于深化改革严格土地管理的决定》（国发〔2004〕28号）第二条第（十一）款 ：经批准占用基本农田的，征地补偿按法定最高标准执行，对以缴纳耕地开垦费方式补充耕地的，缴纳标准按当地最高标准执行。</w:t>
            </w:r>
          </w:p>
          <w:p w14:paraId="0BF8B2E8">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2—3.【规范性文件】国土资源部《关于严格土地利用总体规划实施管理的通知》（国土资发〔2012〕2号）第二条第（二）款 ：列入县、乡级土地利用总体规划设定的交通廊道内，或已列入土地利用总体规划重点建设项目清单的民生、环保等特殊项目，在不突破多划基本农田面积额度的前提下，占用基本农田保护区中规划多划的基本农田时，按一般耕地办理建设用地审批手续，不需另外补划基本农田，但用地单位必须落实补充耕地任务，按占用基本农田标准缴纳税费和对农民进行补偿。</w:t>
            </w:r>
          </w:p>
          <w:p w14:paraId="125B794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4．【规范性文件】《中共中央国务院关于加强耕地保护和改进占补平衡的意见》（中发〔2017〕4号）第三条第（七）款：对经依法批准占用永久基本农田的，缴费标准按照当地耕地开垦费最高标准的两倍执行。</w:t>
            </w:r>
          </w:p>
          <w:p w14:paraId="01B3376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2—5．【规范性文件】《广西壮族自治区财政厅 广西壮族自治区发展和改革委员会 广西壮族自治区自然资源厅关于进一步明确建设项目用地占用永久基本农田耕地开垦费有关事项的通知》（桂财规〔2019〕2号） 我区建设项目用地经批准占用永久基本农田，区分不同地类，耕地开垦费缴费标准分别按自治区财政厅、国土资源厅、物价局《关于调整广西耕地开垦费征收标准和使用政策有关问题的通知》（桂财税〔2016〕38号）中一般耕地类型水田（水浇地）地类和旱地地类最高征收标准的两倍执行，即占用永久基本农田（水浇地）的，耕地开垦费缴费标准不分耕地等别档次统一为80元/平方米（80万元/公顷）；占用永久基本农田旱地的，耕地开垦费缴费标准不分耕地等别档次统一为40元/平方米（40万元/公顷）。</w:t>
            </w:r>
          </w:p>
          <w:p w14:paraId="6541D43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3.【规范性文件】《广西壮族自治区财政厅 广西壮族自治区自然资源厅 广西壮族自治区发展和改革委员会关于规范和调整我区耕地开垦费征收标准和使用管理政策的通知》（桂财税〔2019〕35号）第二条第（二）款第2项：自治区自然资源厅依据批准的国土空间规划（土地利用总体规划）和土地利用年度计划对申报用地的缴纳义务人报送的农用地转用方案、补充耕地方案或“先补后占”验收结果进行审查，审定其是否应交纳耕地开垦费，以及应缴纳耕地开垦费的征收标准及数额，并下达《耕地开垦费缴款通知书》。第3项 《耕地开垦费缴款通知书》应明确缴纳义务人的名称、建设用地的地类、面积、耕地开垦费的征收标准和具体数额。</w:t>
            </w:r>
          </w:p>
          <w:p w14:paraId="21FAF30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4．【规范性文件】《广西壮族自治区财政厅 广西壮族自治区自然资源厅 广西壮族自治区发展和改革委员会关于规范和调整我区耕地开垦费征收标准和使用管理政策的通知》（桂财税〔2019〕35号）第四条第（一）款 ：各市、县财政、自然资源主管部门要制定全耕地开垦费资金征收使用管理制度和绩效评价制度，努力提高资金使用效益，切实加强耕地开垦费的征收使用管理。第（二）款 ：对擅自设立征收项目、提高征收标准、扩大征收范围、截留和挪用耕地开垦费等违法违纪行为以及不按照支出方向保障建设项目占用耕地“占一补一、占优补优、占水田补水田”的单位与个人，按有关法律、法规规定严肃处理，并追究主管人员及其他直接责任人员的行政、经济责任。涉嫌犯罪的，移送司法机关依法追究刑事责任。</w:t>
            </w:r>
          </w:p>
        </w:tc>
        <w:tc>
          <w:tcPr>
            <w:tcW w:w="330" w:type="dxa"/>
            <w:vAlign w:val="center"/>
          </w:tcPr>
          <w:p w14:paraId="44325C22">
            <w:pPr>
              <w:snapToGrid w:val="0"/>
              <w:spacing w:line="240" w:lineRule="atLeast"/>
              <w:jc w:val="center"/>
              <w:rPr>
                <w:rFonts w:ascii="仿宋_GB2312" w:hAnsi="仿宋_GB2312" w:eastAsia="仿宋_GB2312" w:cs="仿宋_GB2312"/>
                <w:sz w:val="20"/>
                <w:szCs w:val="20"/>
              </w:rPr>
            </w:pPr>
          </w:p>
        </w:tc>
      </w:tr>
    </w:tbl>
    <w:p w14:paraId="0DEC328C"/>
    <w:p w14:paraId="09AE75B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2865"/>
        <w:gridCol w:w="10235"/>
        <w:gridCol w:w="330"/>
      </w:tblGrid>
      <w:tr w14:paraId="6884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511D36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600F543">
            <w:pPr>
              <w:spacing w:line="240" w:lineRule="atLeast"/>
              <w:rPr>
                <w:rFonts w:asciiTheme="majorEastAsia" w:hAnsiTheme="majorEastAsia" w:eastAsiaTheme="majorEastAsia" w:cstheme="majorEastAsia"/>
                <w:spacing w:val="-20"/>
                <w:sz w:val="20"/>
                <w:szCs w:val="20"/>
              </w:rPr>
            </w:pPr>
          </w:p>
          <w:p w14:paraId="703E812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FD6309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023764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A3BDF6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564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5D4E6AA">
            <w:pPr>
              <w:spacing w:line="240" w:lineRule="atLeast"/>
              <w:jc w:val="left"/>
              <w:rPr>
                <w:rFonts w:ascii="仿宋_GB2312" w:hAnsi="仿宋_GB2312" w:eastAsia="仿宋_GB2312" w:cs="仿宋_GB2312"/>
                <w:sz w:val="20"/>
                <w:szCs w:val="20"/>
              </w:rPr>
            </w:pPr>
          </w:p>
        </w:tc>
        <w:tc>
          <w:tcPr>
            <w:tcW w:w="555" w:type="dxa"/>
            <w:vMerge w:val="continue"/>
          </w:tcPr>
          <w:p w14:paraId="0592642A">
            <w:pPr>
              <w:spacing w:line="240" w:lineRule="atLeast"/>
              <w:jc w:val="left"/>
              <w:rPr>
                <w:rFonts w:ascii="仿宋_GB2312" w:hAnsi="仿宋_GB2312" w:eastAsia="仿宋_GB2312" w:cs="仿宋_GB2312"/>
                <w:sz w:val="20"/>
                <w:szCs w:val="20"/>
              </w:rPr>
            </w:pPr>
          </w:p>
        </w:tc>
        <w:tc>
          <w:tcPr>
            <w:tcW w:w="784" w:type="dxa"/>
            <w:vAlign w:val="center"/>
          </w:tcPr>
          <w:p w14:paraId="6F8DE9D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6388B7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CD4C37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A5D1B7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8BED3A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159048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2865" w:type="dxa"/>
            <w:vAlign w:val="center"/>
          </w:tcPr>
          <w:p w14:paraId="434CA79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A3D58E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10235" w:type="dxa"/>
            <w:vAlign w:val="center"/>
          </w:tcPr>
          <w:p w14:paraId="2ED5C20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97CE964">
            <w:pPr>
              <w:spacing w:line="240" w:lineRule="atLeast"/>
              <w:jc w:val="left"/>
              <w:rPr>
                <w:rFonts w:ascii="仿宋_GB2312" w:hAnsi="仿宋_GB2312" w:eastAsia="仿宋_GB2312" w:cs="仿宋_GB2312"/>
                <w:sz w:val="20"/>
                <w:szCs w:val="20"/>
              </w:rPr>
            </w:pPr>
          </w:p>
        </w:tc>
      </w:tr>
      <w:tr w14:paraId="2FDC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BB987E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186</w:t>
            </w:r>
          </w:p>
        </w:tc>
        <w:tc>
          <w:tcPr>
            <w:tcW w:w="555" w:type="dxa"/>
            <w:vAlign w:val="center"/>
          </w:tcPr>
          <w:p w14:paraId="6D99F4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200FF79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土地闲置费征收</w:t>
            </w:r>
          </w:p>
        </w:tc>
        <w:tc>
          <w:tcPr>
            <w:tcW w:w="660" w:type="dxa"/>
            <w:vAlign w:val="center"/>
          </w:tcPr>
          <w:p w14:paraId="33302E63">
            <w:pPr>
              <w:snapToGrid w:val="0"/>
              <w:spacing w:line="240" w:lineRule="atLeast"/>
              <w:jc w:val="center"/>
              <w:rPr>
                <w:rFonts w:ascii="仿宋_GB2312" w:hAnsi="仿宋_GB2312" w:eastAsia="仿宋_GB2312" w:cs="仿宋_GB2312"/>
                <w:sz w:val="20"/>
                <w:szCs w:val="20"/>
              </w:rPr>
            </w:pPr>
          </w:p>
        </w:tc>
        <w:tc>
          <w:tcPr>
            <w:tcW w:w="615" w:type="dxa"/>
            <w:vAlign w:val="center"/>
          </w:tcPr>
          <w:p w14:paraId="0C6438F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C30AC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自然资源开发利用科</w:t>
            </w:r>
          </w:p>
        </w:tc>
        <w:tc>
          <w:tcPr>
            <w:tcW w:w="4605" w:type="dxa"/>
            <w:vAlign w:val="center"/>
          </w:tcPr>
          <w:p w14:paraId="517BAE8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二十六条：以出让方式取得土地使用权进行房地产开发的，必须按照土地使用权出让合同约定的土地用途、动工开发期限开发土地。超过出让合同约定的动工开发日期满一年未动工开发的，可以征收相当于土地使用权出让金百分之二十以下的土地闲置费；满二年未动工开发的，可以无偿收回土地使用权；但是，因不可抗力或者政府、政府有关部门的行为或者动工开发必需的前期工作造成动工开发迟延的除外。</w:t>
            </w:r>
          </w:p>
          <w:p w14:paraId="06B8A87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城市房地产开发经营管理条例》（1998年国务院令第248号发布，2020年国务院令第726号修订）第十五条：房地产开发企业应当按照土地使用权出让合同约定的土地用途、动工开发期限进行项目开发建设。出让合同约定的动工开发期限满1年未动工开发的，可以征收相当于土地使用权出让金20%以下的土地闲置费；满2年未动工开发的，可以无偿收回土地使用权。但是，因不可抗力或者政府、政府有关部门的行为或者动工开发必需的前期工作造成动工迟延的除外。</w:t>
            </w:r>
          </w:p>
          <w:p w14:paraId="3DF35F06">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3.【部门规章】《闲置土地处置办法》（2012年国土资源部令第53号）第十四条：除本办法第八条规定情形外，闲置土地按照下列方式处理：</w:t>
            </w:r>
          </w:p>
          <w:p w14:paraId="72AC5858">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未动工开发满1年的，由市、县国土资源主管部门报经本级人民政府批准后，向国有建设用地使用权人下达《征缴土地闲置费决定书》，按照土地出让或者划拨价款的20%征缴土地闲置费。土地闲置费不得列入生产成本。</w:t>
            </w:r>
          </w:p>
          <w:p w14:paraId="1FC050C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未动工开发满两年的，由市、县国土资源主管部门按照《中华人民共和国土地管理法》第三十七条和《中华人民共和国城市房地产管理法》第二十六条的规定，报经有批准权的人民政府批准后，向国有建设用地使用权人下达《收回国有建设用地使用权决定书》，无偿收回国有建设用地使用权。闲置土地设有抵押权的，同时抄送相关土地抵押权人。</w:t>
            </w:r>
          </w:p>
        </w:tc>
        <w:tc>
          <w:tcPr>
            <w:tcW w:w="2865" w:type="dxa"/>
            <w:vAlign w:val="center"/>
          </w:tcPr>
          <w:p w14:paraId="6474353B">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1.受理阶段责任：公示告知土地闲置费征收标准、金额计算方式、征收适用类型、征收方式以及其他应当公示的内容；</w:t>
            </w:r>
          </w:p>
          <w:p w14:paraId="7D9982AA">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2.审核阶段责任：审查征收对象是否符合相关政府及相关部门规定的征收标准，符合减免要求的，应当予以减免。</w:t>
            </w:r>
          </w:p>
          <w:p w14:paraId="1D1F958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3.确定阶段责任：对需缴费的开票征收，缴入国库。</w:t>
            </w:r>
          </w:p>
          <w:p w14:paraId="14BDC691">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4.事后监管阶段责任：对未及时缴费进行催报催缴。</w:t>
            </w:r>
          </w:p>
          <w:p w14:paraId="4C9EDB8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10235" w:type="dxa"/>
            <w:vAlign w:val="center"/>
          </w:tcPr>
          <w:p w14:paraId="22E6F033">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1.【部门规章】《闲置土地处置办法》（2012年国土资源部令第53号）第五条：市、县国土资源主管部门发现有涉嫌构成本办法第二条规定的闲置土地的，应当在三十日内开展调查核实，向国有建设用地使用权人发出《闲置土地调查通知书》。国有建设用地使用权人应当在接到《闲置土地调查通知书》之日起三十日内，按照要求提供土地开发利用情况、闲置原因以及相关说明等材料。 </w:t>
            </w:r>
          </w:p>
          <w:p w14:paraId="2774488B">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条：《闲置土地调查通知书》应当包括下列内容：（一）国有建设用地使用权人的姓名或者名称、地址；（二）涉嫌闲置土地的基本情况；（三）涉嫌闲置土地的事实和依据；（四）调查的主要内容及提交材料的期限；（五）国有建设用地使用权人的权利和义务；（六）其他需要调查的事项。</w:t>
            </w:r>
          </w:p>
          <w:p w14:paraId="26DF58D5">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闲置土地处置办法》（2012年国土资源部令第53号）第七条：市、县国土资源主管部门履行闲置土地调查职责，可以采取下列措施：（一）询问当事人及其他证人；（二）现场勘测、拍照、摄像；（三）查阅、复制与被调查人有关的土地资料；（四）要求被调查人就有关土地权利及使用问题作出说明。</w:t>
            </w:r>
          </w:p>
          <w:p w14:paraId="6D01D713">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3.【部门规章】《闲置土地处置办法》（2012年国土资源部令第53号）第九条：经调查核实，符合本办法第二条规定条件，构成闲置土地的，市、县国土资源主管部门应当向国有建设用地使用权人下达《闲置土地认定书》。 </w:t>
            </w:r>
          </w:p>
          <w:p w14:paraId="20125F9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第十条：《闲置土地认定书》应当载明下列事项：（一）国有建设用地使用权人的姓名或者名称、地址；（二）闲置土地的基本情况；（三）认定土地闲置的事实、依据；（四）闲置原因及认定结论；（五）其他需要说明的事项。 </w:t>
            </w:r>
          </w:p>
          <w:p w14:paraId="05D2164B">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一条：《闲置土地认定书》下达后，市、县国土资源主管部门应当通过门户网站等形式向社会公开闲置土地的位置、国有建设用地使用权人名称、闲置时间等信息；属于政府或者政府有关部门的行为导致土地闲置的，应当同时公开闲置原因，并书面告知有关政府或者政府部门。上级国土资源主管部门应当及时汇总下级国土资源主管部门上报的闲置土地信息，并在门户网站上公开。闲置土地在没有处置完毕前，相关信息应当长期公开。闲置土地处置完毕后，应当及时撤销相关信息。</w:t>
            </w:r>
          </w:p>
          <w:p w14:paraId="1312E03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二条：因本办法第八条规定情形造成土地闲置的，市、县国土资源主管部门应当与国有建设用地使用权人协商，选择下列方式处置：（一）延长动工开发期限。签订补充协议，重新约定动工开发、竣工期限和违约责任。从补充协议约定的动工开发日期起，延长动工开发期限最长不得超过一年；（二）调整土地用途、规划条件。按照新用途或者新规划条件重新办理相关用地手续，并按照新用途或者新规划条件核算、收缴或者退还土地价款。改变用途后的土地利用必须符合土地利用总体规划和城乡规划；（三）由政府安排临时使用。待原项目具备开发建设条件，国有建设用地使用权人重新开发建设。从安排临时使用之日起，临时使用期限最长不得超过两年；（四）协议有偿收回国有建设用地使用权；（五）置换土地。对已缴清土地价款、落实项目资金，且因规划依法修改造成闲置的，可以为国有建设用地使用权人置换其它价值相当、用途相同的国有建设用地进行开发建设。涉及出让土地的，应当重新签订土地出让合同，并在合同中注明为置换土地；（六）市、县国土资源主管部门还可以根据实际情况规定其他处置方式。除前款第四项规定外，动工开发时间按照新约定、规定的时间重新起算。符合本办法第二条第二款规定情形的闲置土地，依照本条规定的方式处置。</w:t>
            </w:r>
          </w:p>
          <w:p w14:paraId="4099761B">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市、县国土资源主管部门与国有建设用地使用权人协商一致后，应当拟订闲置土地处置方案，报本级人民政府批准后实施。闲置土地设有抵押权的，市、县国土资源主管部门在拟订闲置土地处置方案时，应当书面通知相关抵押权人。</w:t>
            </w:r>
          </w:p>
          <w:p w14:paraId="4FCC72C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四条：除本办法第八条规定情形外，闲置土地按照下列方式处理：（一）未动工开发满一年的，由市、县国土资源主管部门报经本级人民政府批准后，向国有建设用地使用权人下达《征缴土地闲置费决定书》，按照土地出让或者划拨价款的百分之二十征缴土地闲置费。土地闲置费不得列入生产成本；（二）未动工开发满两年的，由市、县国土资源主管部门按照《中华人民共和国土地管理法》第三十七条和《中华人民共和国城市房地产管理法》第二十六条的规定，报经有批准权的人民政府批准后，向国有建设用地使用权人下达《收回国有建设用地使用权决定书》，无偿收回国有建设用地使用权。闲置土地设有抵押权的，同时抄送相关土地抵押权人。</w:t>
            </w:r>
          </w:p>
          <w:p w14:paraId="5373848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部门规章】《闲置土地处置办法》（2012年国土资源部令第53号）第二十五条：市、县国土资源主管部门应当将本行政区域内的闲置土地信息按宗录入土地市场动态监测与监管系统备案。闲置土地按照规定处置完毕后，市、县国土资源主管部门应当及时更新该宗土地相关信息。闲置土地未按照规定备案的，不得采取本办法第十二条规定的方式处置。</w:t>
            </w:r>
          </w:p>
          <w:p w14:paraId="7E84FC8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第二十六条：市、县国土资源主管部门应当将国有建设用地使用权人闲置土地的信息抄送金融监管等部门。</w:t>
            </w:r>
          </w:p>
          <w:p w14:paraId="11656FE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部门规章】《闲置土地处置办法》（2012年国土资源部令第53号）第十五条：市、县国土资源主管部门在依照本办法第十四条规定作出征缴土地闲置费、收回国有建设用地使用权决定前，应当书面告知国有建设用地使用权人有申请听证的权利。国有建设用地使用权人要求举行听证的，市、县国土资源主管部门应当依照《国土资源听证规定》依法组织听证。</w:t>
            </w:r>
          </w:p>
        </w:tc>
        <w:tc>
          <w:tcPr>
            <w:tcW w:w="330" w:type="dxa"/>
            <w:vAlign w:val="center"/>
          </w:tcPr>
          <w:p w14:paraId="2D401182">
            <w:pPr>
              <w:snapToGrid w:val="0"/>
              <w:spacing w:line="240" w:lineRule="atLeast"/>
              <w:jc w:val="center"/>
              <w:rPr>
                <w:rFonts w:ascii="仿宋_GB2312" w:hAnsi="仿宋_GB2312" w:eastAsia="仿宋_GB2312" w:cs="仿宋_GB2312"/>
                <w:sz w:val="20"/>
                <w:szCs w:val="20"/>
              </w:rPr>
            </w:pPr>
          </w:p>
        </w:tc>
      </w:tr>
    </w:tbl>
    <w:p w14:paraId="5860C62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24A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7BA78D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CCC9079">
            <w:pPr>
              <w:spacing w:line="240" w:lineRule="atLeast"/>
              <w:rPr>
                <w:rFonts w:asciiTheme="majorEastAsia" w:hAnsiTheme="majorEastAsia" w:eastAsiaTheme="majorEastAsia" w:cstheme="majorEastAsia"/>
                <w:spacing w:val="-20"/>
                <w:sz w:val="20"/>
                <w:szCs w:val="20"/>
              </w:rPr>
            </w:pPr>
          </w:p>
          <w:p w14:paraId="79F83FE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16584F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2EA911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63617E9">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42A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64BE580">
            <w:pPr>
              <w:spacing w:line="240" w:lineRule="atLeast"/>
              <w:jc w:val="left"/>
              <w:rPr>
                <w:rFonts w:ascii="仿宋_GB2312" w:hAnsi="仿宋_GB2312" w:eastAsia="仿宋_GB2312" w:cs="仿宋_GB2312"/>
                <w:sz w:val="20"/>
                <w:szCs w:val="20"/>
              </w:rPr>
            </w:pPr>
          </w:p>
        </w:tc>
        <w:tc>
          <w:tcPr>
            <w:tcW w:w="555" w:type="dxa"/>
            <w:vMerge w:val="continue"/>
          </w:tcPr>
          <w:p w14:paraId="29227789">
            <w:pPr>
              <w:spacing w:line="240" w:lineRule="atLeast"/>
              <w:jc w:val="left"/>
              <w:rPr>
                <w:rFonts w:ascii="仿宋_GB2312" w:hAnsi="仿宋_GB2312" w:eastAsia="仿宋_GB2312" w:cs="仿宋_GB2312"/>
                <w:sz w:val="20"/>
                <w:szCs w:val="20"/>
              </w:rPr>
            </w:pPr>
          </w:p>
        </w:tc>
        <w:tc>
          <w:tcPr>
            <w:tcW w:w="784" w:type="dxa"/>
            <w:vAlign w:val="center"/>
          </w:tcPr>
          <w:p w14:paraId="702A4BF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DAC251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BD2CB8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DEFAD0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E1360B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3AC65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8C64EF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9A1A15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F71915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08F8113">
            <w:pPr>
              <w:spacing w:line="240" w:lineRule="atLeast"/>
              <w:jc w:val="left"/>
              <w:rPr>
                <w:rFonts w:ascii="仿宋_GB2312" w:hAnsi="仿宋_GB2312" w:eastAsia="仿宋_GB2312" w:cs="仿宋_GB2312"/>
                <w:sz w:val="20"/>
                <w:szCs w:val="20"/>
              </w:rPr>
            </w:pPr>
          </w:p>
        </w:tc>
      </w:tr>
      <w:tr w14:paraId="718A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1EDDA2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187</w:t>
            </w:r>
          </w:p>
        </w:tc>
        <w:tc>
          <w:tcPr>
            <w:tcW w:w="555" w:type="dxa"/>
            <w:vAlign w:val="center"/>
          </w:tcPr>
          <w:p w14:paraId="109F128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1997356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测绘成果使用费征收</w:t>
            </w:r>
          </w:p>
        </w:tc>
        <w:tc>
          <w:tcPr>
            <w:tcW w:w="660" w:type="dxa"/>
            <w:vAlign w:val="center"/>
          </w:tcPr>
          <w:p w14:paraId="3062CECB">
            <w:pPr>
              <w:snapToGrid w:val="0"/>
              <w:spacing w:line="240" w:lineRule="atLeast"/>
              <w:jc w:val="center"/>
              <w:rPr>
                <w:rFonts w:ascii="仿宋_GB2312" w:hAnsi="仿宋_GB2312" w:eastAsia="仿宋_GB2312" w:cs="仿宋_GB2312"/>
                <w:sz w:val="20"/>
                <w:szCs w:val="20"/>
              </w:rPr>
            </w:pPr>
          </w:p>
        </w:tc>
        <w:tc>
          <w:tcPr>
            <w:tcW w:w="615" w:type="dxa"/>
            <w:vAlign w:val="center"/>
          </w:tcPr>
          <w:p w14:paraId="76060E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4ACE9F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391A675A">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1.【法律】《中华人民共和国测绘法》第三十六条：基础测绘成果和国家投资完成的其他测绘成果，用于政府决策、国防建设和公共服务的，应当无偿提供。</w:t>
            </w:r>
          </w:p>
          <w:p w14:paraId="0F47E13E">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除前款规定情形外，测绘成果依法实行有偿使用制度。但是，各级人民政府及有关部门和军队因防灾减灾、应对突发事件、维护国家安全等公共利益的需要，可以无偿使用。</w:t>
            </w:r>
          </w:p>
          <w:p w14:paraId="37EFD6A6">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测绘成果使用的具体办法由国务院规定。</w:t>
            </w:r>
          </w:p>
          <w:p w14:paraId="69772B15">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2.【行政法规】《中华人民共和国测绘成果管理条例》（2006年国务院令第469号）第十九条：基础测绘成果和财政投资完成的其他测绘成果，用于国家机关决策和社会公益性事业的，应当无偿提供。</w:t>
            </w:r>
          </w:p>
          <w:p w14:paraId="24054741">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除前款规定外，测绘成果依法实行有偿使用制度。但是，各级人民政府及其有关部门和军队因防灾、减灾、国防建设等公共利益的需要，可以无偿使用测绘成果。</w:t>
            </w:r>
          </w:p>
          <w:p w14:paraId="2101D62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依法有偿使用测绘成果的，使用人与测绘项目出资人应当签订书面协议，明确双方的权利和义务。</w:t>
            </w:r>
          </w:p>
        </w:tc>
        <w:tc>
          <w:tcPr>
            <w:tcW w:w="3585" w:type="dxa"/>
            <w:vAlign w:val="center"/>
          </w:tcPr>
          <w:p w14:paraId="0D854698">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1.受理责任：公示测绘成果使用费征收需要提交的全部材料的目录，自收到申请材料5个工作日内作出不予受理、补正材料或者予以受理的决定。</w:t>
            </w:r>
          </w:p>
          <w:p w14:paraId="71EE75D3">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审核材料的准确性和真实性，提出审查意见。基础测绘成果和财政投资完成的其他测绘成果，用于国家机关决策和社会公益性事业的，应当无偿提供。除前款规定外，测绘成果依法实行有偿使用制度。但是，各级人民政府及其有关部门和军队因防灾、减灾、国防建设等公共利益的需要，可以无偿使用测绘成果。依法有偿使用测绘成果的，使用人与测绘项目出资人应当签订书面协议，明确双方的权利和义务。</w:t>
            </w:r>
          </w:p>
          <w:p w14:paraId="4124216B">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3.决定责任：做出审核决定，开具缴费凭证。</w:t>
            </w:r>
          </w:p>
          <w:p w14:paraId="12300738">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4．监管责任：建立涉密基础测绘成果资料提供使用档案，加强涉密基础测绘成果资料提供使用监督检查，保护测绘地理信息资源免遭破坏；</w:t>
            </w:r>
          </w:p>
          <w:p w14:paraId="6C2DC48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DECAEF9">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中华人民共和国测绘成果管理条例》（2006年国务院令第469号）第十七条：法人或者其他组织需要利用属于国家秘密的基础测绘成果的，应当提出明确的利用目的和范围，报测绘成果所在地的测绘行政主管部门审批。测绘行政主管部门审查同意的，应当以书面形式告知测绘成果的秘密等级、保密要求以及相关著作权保护要求。</w:t>
            </w:r>
          </w:p>
          <w:p w14:paraId="3E202B3F">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测绘成果管理条例》（2006年国务院令第469号）第十九条：基础测绘成果和财政投资完成的其他测绘成果，用于国家机关决策和社会公益性事业的，应当无偿提供。除前款规定外，测绘成果依法实行有偿使用制度。但是，各级人民政府及其有关部门和军队因防灾、减灾、国防建设等公共利益的需要，可以无偿使用测绘成果。依法有偿使用测绘成果的，使用人与测绘项目出资人应当签订书面协议，明确双方的权利和义务。</w:t>
            </w:r>
          </w:p>
          <w:p w14:paraId="123A6E12">
            <w:pPr>
              <w:widowControl/>
              <w:adjustRightInd w:val="0"/>
              <w:snapToGrid w:val="0"/>
              <w:spacing w:line="30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3.【规范性文件】《财政部 国家发展改革委关于清理规范一批行政事业收费有关政策的通知》（财税〔2017〕20号）自2017年4月1日起，取消或停征41项中央设立的行政事业性收费（具体项目见附件）。即附件第一点取消或停征的涉行政事业性收费第23项测绘成果成图资料收费。</w:t>
            </w:r>
          </w:p>
          <w:p w14:paraId="6E6246A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行政法规】《中华人民共和国测绘成果管理条例》（2006年国务院令第469号）第三条：国务院测绘行政主管部门负责全国测绘成果工作的统一监督管理。国务院其他有关部门按照职责分工，负责本部门有关的测绘成果工作。县级以上地方人民政府负责管理测绘工作的部门（以下称测绘行政主管部门）负责本行政区域测绘成果工作的统一监督管理。县级以上地方人民政府其他有关部门按照职责分工，负责本部门有关的测绘成果工作。</w:t>
            </w:r>
          </w:p>
        </w:tc>
        <w:tc>
          <w:tcPr>
            <w:tcW w:w="330" w:type="dxa"/>
            <w:vAlign w:val="center"/>
          </w:tcPr>
          <w:p w14:paraId="5D0F4994">
            <w:pPr>
              <w:snapToGrid w:val="0"/>
              <w:spacing w:line="240" w:lineRule="atLeast"/>
              <w:jc w:val="center"/>
              <w:rPr>
                <w:rFonts w:ascii="仿宋_GB2312" w:hAnsi="仿宋_GB2312" w:eastAsia="仿宋_GB2312" w:cs="仿宋_GB2312"/>
                <w:sz w:val="20"/>
                <w:szCs w:val="20"/>
              </w:rPr>
            </w:pPr>
          </w:p>
        </w:tc>
      </w:tr>
    </w:tbl>
    <w:p w14:paraId="43B6CEDE"/>
    <w:p w14:paraId="60FFD381"/>
    <w:p w14:paraId="2877A2F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6690"/>
        <w:gridCol w:w="3000"/>
        <w:gridCol w:w="8015"/>
        <w:gridCol w:w="330"/>
      </w:tblGrid>
      <w:tr w14:paraId="3A4D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75F5A6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1CD8A54">
            <w:pPr>
              <w:spacing w:line="240" w:lineRule="atLeast"/>
              <w:rPr>
                <w:rFonts w:asciiTheme="majorEastAsia" w:hAnsiTheme="majorEastAsia" w:eastAsiaTheme="majorEastAsia" w:cstheme="majorEastAsia"/>
                <w:spacing w:val="-20"/>
                <w:sz w:val="20"/>
                <w:szCs w:val="20"/>
              </w:rPr>
            </w:pPr>
          </w:p>
          <w:p w14:paraId="22054B9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859" w:type="dxa"/>
            <w:gridSpan w:val="5"/>
            <w:vAlign w:val="center"/>
          </w:tcPr>
          <w:p w14:paraId="5982562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015" w:type="dxa"/>
            <w:gridSpan w:val="2"/>
            <w:vAlign w:val="center"/>
          </w:tcPr>
          <w:p w14:paraId="041EED6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87AE77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6FC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652BBF2">
            <w:pPr>
              <w:spacing w:line="240" w:lineRule="atLeast"/>
              <w:jc w:val="left"/>
              <w:rPr>
                <w:rFonts w:ascii="仿宋_GB2312" w:hAnsi="仿宋_GB2312" w:eastAsia="仿宋_GB2312" w:cs="仿宋_GB2312"/>
                <w:sz w:val="20"/>
                <w:szCs w:val="20"/>
              </w:rPr>
            </w:pPr>
          </w:p>
        </w:tc>
        <w:tc>
          <w:tcPr>
            <w:tcW w:w="555" w:type="dxa"/>
            <w:vMerge w:val="continue"/>
          </w:tcPr>
          <w:p w14:paraId="09A842CB">
            <w:pPr>
              <w:spacing w:line="240" w:lineRule="atLeast"/>
              <w:jc w:val="left"/>
              <w:rPr>
                <w:rFonts w:ascii="仿宋_GB2312" w:hAnsi="仿宋_GB2312" w:eastAsia="仿宋_GB2312" w:cs="仿宋_GB2312"/>
                <w:sz w:val="20"/>
                <w:szCs w:val="20"/>
              </w:rPr>
            </w:pPr>
          </w:p>
        </w:tc>
        <w:tc>
          <w:tcPr>
            <w:tcW w:w="784" w:type="dxa"/>
            <w:vAlign w:val="center"/>
          </w:tcPr>
          <w:p w14:paraId="6510839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61BE17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5F60BA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29AD26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0BA2BE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690" w:type="dxa"/>
            <w:vAlign w:val="center"/>
          </w:tcPr>
          <w:p w14:paraId="6957780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000" w:type="dxa"/>
            <w:vAlign w:val="center"/>
          </w:tcPr>
          <w:p w14:paraId="7867BFE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DDE09B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015" w:type="dxa"/>
            <w:vAlign w:val="center"/>
          </w:tcPr>
          <w:p w14:paraId="581F420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7138526">
            <w:pPr>
              <w:spacing w:line="240" w:lineRule="atLeast"/>
              <w:jc w:val="left"/>
              <w:rPr>
                <w:rFonts w:ascii="仿宋_GB2312" w:hAnsi="仿宋_GB2312" w:eastAsia="仿宋_GB2312" w:cs="仿宋_GB2312"/>
                <w:sz w:val="20"/>
                <w:szCs w:val="20"/>
              </w:rPr>
            </w:pPr>
          </w:p>
        </w:tc>
      </w:tr>
      <w:tr w14:paraId="635D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05B1A6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188</w:t>
            </w:r>
          </w:p>
        </w:tc>
        <w:tc>
          <w:tcPr>
            <w:tcW w:w="555" w:type="dxa"/>
            <w:vAlign w:val="center"/>
          </w:tcPr>
          <w:p w14:paraId="75995FC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252B829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国有土地使用权出让征收</w:t>
            </w:r>
          </w:p>
        </w:tc>
        <w:tc>
          <w:tcPr>
            <w:tcW w:w="660" w:type="dxa"/>
            <w:vAlign w:val="center"/>
          </w:tcPr>
          <w:p w14:paraId="74C6857B">
            <w:pPr>
              <w:snapToGrid w:val="0"/>
              <w:spacing w:line="240" w:lineRule="atLeast"/>
              <w:jc w:val="center"/>
              <w:rPr>
                <w:rFonts w:ascii="仿宋_GB2312" w:hAnsi="仿宋_GB2312" w:eastAsia="仿宋_GB2312" w:cs="仿宋_GB2312"/>
                <w:sz w:val="20"/>
                <w:szCs w:val="20"/>
              </w:rPr>
            </w:pPr>
          </w:p>
        </w:tc>
        <w:tc>
          <w:tcPr>
            <w:tcW w:w="615" w:type="dxa"/>
            <w:vAlign w:val="center"/>
          </w:tcPr>
          <w:p w14:paraId="467C772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47A66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690" w:type="dxa"/>
            <w:vAlign w:val="center"/>
          </w:tcPr>
          <w:p w14:paraId="1C2D9A44">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1.【法律】《中华人民共和国土地管理法》第五条：国务院自然资源主管部门统一负责全国土地的管理和监督工作。</w:t>
            </w:r>
          </w:p>
          <w:p w14:paraId="5F4351EB">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县级以上地方人民政府自然资源主管部门的设置及其职责，由省、自治区、直辖市人民政府根据国务院有关规定确定。</w:t>
            </w:r>
          </w:p>
          <w:p w14:paraId="19836742">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第五十五条：以出让等有偿使用方式取得国有土地使用权的建设单位，按照国务院规定的标准和办法，缴纳土地使用权出让金等土地有偿使用费和其他费用后，方可使用土地。</w:t>
            </w:r>
          </w:p>
          <w:p w14:paraId="53D48225">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自本法施行之日起，新增建设用地的土地有偿使用费，百分之三十上缴中央财政，百分之七十留给有关地方人民政府。具体使用管理办法由国务院财政部门会同有关部门制定，并报国务院批准。</w:t>
            </w:r>
          </w:p>
          <w:p w14:paraId="3D5E66A2">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城镇房地产管理法》第四十条：以划拨方式取得的土地使用权的，转让房地产时，应当按照国务院规定，报有批准权的人民政府审批。有批准权的人民政府准予转让的，应当由受让方办理土地使用权出让手续，并依照国家有关规定缴纳土地使用权出让金。</w:t>
            </w:r>
          </w:p>
          <w:p w14:paraId="5DB68E6F">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以划拨方式取得的土地使用权的，转让房地产报批时，由批准的人民政府按照国务院规定决定可以不办理土地土地使用权出让手续的，转让方应该按照国务院规定将转让房地产所获收益中的土地收益上缴国家或者作其他处理。</w:t>
            </w:r>
          </w:p>
          <w:p w14:paraId="477B49D8">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3.【规范性文件】财政部、国土资源部、中国人民银行、监察部、审计署等《关于进一步加强土地出让收支管理的通知》（财综﹝2009﹞74号）二、加强征收管理，保障土地出让收入及时足额征收和缴入地方国库 保障土地出让收入及时足额缴入地方国库，是落实土地出让收支纳入地方基金预算管理的基础。除国务院有明确规定以外，任何地区和部门均不得减免缓缴或者变相减免土地出让收入。市县财政、国土资源管理部门、人民银行分支机构要各负其责，加强土地出让收入征管，确保土地出让收入及时足额缴入地方国库。</w:t>
            </w:r>
          </w:p>
          <w:p w14:paraId="291BC655">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严格土地出让收入征收管理。市县国土资源管理部门在国有土地出让合同、租赁合同、划拨决定书中，必须明确土地出让价款、租金和划拨土地价款的总额、缴付时间和缴付方式；对于经依法批准改变土地用途等土地使用条件的，市县国土资源管理部门必须在土地出让或租赁合同中明确应补缴的土地价款，缴款人应及时按合同有关规定缴款。对于未按规定缴清全部土地价款的单位或个人，市县国土资源管理部门不得核发国有土地使用证，也不得按土地价款缴纳比例分割发证。</w:t>
            </w:r>
          </w:p>
          <w:p w14:paraId="4835A1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二）确保土地出让收入及时入库。土地出让收入原则上采取就地直接缴库方式，商业银行应当把收缴的土地出让收入及时足额划转地方国库。市县财政部门已将土地出让收入收缴至非税收入汇缴专户的，要严格执行10个工作日划转地方国库的规定，不得超时滞留已收缴的土地出让收入。对于不按规定将已收缴的土地出让收入及时划转地方国库的，省级财政、国土资源管理、人民银行分支机构、监察、审计部门要予以纠正，并在全省范围内通报批评。各级人民银行分支机构要加强对商业银行代收土地出让收入业务的检查监督与管理。</w:t>
            </w:r>
          </w:p>
        </w:tc>
        <w:tc>
          <w:tcPr>
            <w:tcW w:w="3000" w:type="dxa"/>
            <w:vAlign w:val="center"/>
          </w:tcPr>
          <w:p w14:paraId="489EBB2C">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1.受理阶段责任：依法应当提交的材料：一次性告知补正材料，依法受理或不予受理（不予受理应当告知理由）。</w:t>
            </w:r>
          </w:p>
          <w:p w14:paraId="0B97217D">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2.审核阶段责任：审查征收对象是否符合相关政府及相关部门规定的征收标准，符合减免要求的，应当予以减免。</w:t>
            </w:r>
          </w:p>
          <w:p w14:paraId="6C39C5DB">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3.确定阶段责任：对需缴费的开票征收，缴入国库。</w:t>
            </w:r>
          </w:p>
          <w:p w14:paraId="5B6007F1">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4.事后监管责任：依法缴纳土地出让价款方可办理土地登记。</w:t>
            </w:r>
          </w:p>
          <w:p w14:paraId="2E9FDA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015" w:type="dxa"/>
            <w:vAlign w:val="center"/>
          </w:tcPr>
          <w:p w14:paraId="1345AF8A">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广西壮族自治区人民政府办公厅关于规范国有土地使用权出让收支管理的通知》（桂政办发〔2007〕97号）（二）国有土地使用权出让收入（以下简称土地出让收入）是指政府以出让等方式配置国有土地使用权取得的全部土地价款，包括受让人支付的征地和拆迁补偿费用、土地前期开发费用和土地出让收益等。土地价款的具体范围包括：以招标、拍卖、挂牌和协议方式出让国有土地使用权所确定的总成交价款；转让划拨国有土地使用权或依法利用原划拨土地进行经营性建设应当补缴的土地价款；变现处置抵押划拨国有土地使用权应当补缴的土地价款；转让房改房、经济适用住房按照规定应当补缴的土地价款；改变出让国有土地使用权的土地用途、容积率等土地使用条件应当补缴的土地价款，以及其他和国有土地使用权出让或变更有关的收入等。按照土地出让合同规定依法向受让人收取的定金、保证金和预付款，在土地出让合同生效后可以抵作土地价款。</w:t>
            </w:r>
          </w:p>
          <w:p w14:paraId="76842760">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国土资源管理部门依法出租国有土地向承租者收取的土地租金收入；出租划拨土地上的房屋应当上缴的土地收益；土地使用者以划拨方式取得国有土地使用权，依法向市、县人民政府缴纳的土地补偿费、安置补助费、地上附着物和青苗补偿费、拆迁补偿费等费用（不含征地管理费）；在土地招标、拍卖、挂牌和协议出让过程中按规定收取的违约金，一并纳入土地出让收入管理。</w:t>
            </w:r>
          </w:p>
          <w:p w14:paraId="7E3F4A51">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国有土地使用权出让收支管理办法》（财政部2006年12月31日财综[2006]68号）第七条：土地出让收入征收部门根据土地出让合同和划拨用地批准文件，开具缴款通知书，并按照财政部统一规定的政府收支分类科目填写“一般缴款书”，由国有土地使用权受让人依法缴纳土地出让收入。国有土地使用权受让人应按照缴款通知书的要求，在规定的时间内将应缴地方国库的土地出让收入，就地及时足额缴入地方国库。缴款通知书应当明确供应土地的面积、土地出让收入总额以及依法分期缴纳地方国库的具体数额和时限等。</w:t>
            </w:r>
          </w:p>
          <w:p w14:paraId="7AC07E06">
            <w:pPr>
              <w:widowControl/>
              <w:adjustRightInd w:val="0"/>
              <w:snapToGrid w:val="0"/>
              <w:spacing w:line="28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人民政府办公厅关于规范国有土地使用权出让收支管理的通知》（桂政办发〔2007〕97号）（三）土地出让收入由财政部门负责征收管理，可由国土资源管理部门负责具体征收。国土资源管理部门和财政部门应当督促土地使用者严格履行土地出让合同，确保将应缴的土地出让收入及时足额缴入地方国库。地方国库负责办理土地出让收入的收纳、划分、留解和拨付等各项业务，确保土地出让收支数据准确无误。对未按照合同约定足额缴纳土地出让收入，并提供有效缴款凭证的，国土资源管理部门不予核发国有土地使用证。要完善制度规定，对违规核发国有土地使用证的，收回土地使用证，并依照有关法律法规追究有关领导和人员的责任。已经实施政府非税收入收缴管理制度改革的市、县，土地出让收入纳入政府非税收入收缴管理制度改革范围，统一收缴票据，规范收缴程序，提高收缴效率。</w:t>
            </w:r>
          </w:p>
          <w:p w14:paraId="3622C7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国有土地使用权出让收支管理办法》（财政部2006年12月31日财综[2006]68号）第九条：市、县国土资源管理部门和财政部门应当督促国有土地使用权受让人严格履行国有土地出让合同，确保将应缴国库的土地出让收入及时足额缴入地方国库。对未按照缴款通知书规定及时足额缴纳土地出让收入，并提供有效缴款凭证的，国土资源管理部门不予核发国有土地使用证。国土资源管理部门要完善制度规定，对违规核发国有土地使用证的，应予收回和注销，并依照有关法律法规追究有关领导和人员的责任。</w:t>
            </w:r>
          </w:p>
        </w:tc>
        <w:tc>
          <w:tcPr>
            <w:tcW w:w="330" w:type="dxa"/>
            <w:vAlign w:val="center"/>
          </w:tcPr>
          <w:p w14:paraId="3DB8AAB2">
            <w:pPr>
              <w:snapToGrid w:val="0"/>
              <w:spacing w:line="240" w:lineRule="atLeast"/>
              <w:jc w:val="center"/>
              <w:rPr>
                <w:rFonts w:ascii="仿宋_GB2312" w:hAnsi="仿宋_GB2312" w:eastAsia="仿宋_GB2312" w:cs="仿宋_GB2312"/>
                <w:sz w:val="20"/>
                <w:szCs w:val="20"/>
              </w:rPr>
            </w:pPr>
          </w:p>
        </w:tc>
      </w:tr>
    </w:tbl>
    <w:p w14:paraId="094E8691"/>
    <w:p w14:paraId="66E15C63"/>
    <w:p w14:paraId="33F1E6D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787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9F2B58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F2E8FD6">
            <w:pPr>
              <w:spacing w:line="240" w:lineRule="atLeast"/>
              <w:rPr>
                <w:rFonts w:asciiTheme="majorEastAsia" w:hAnsiTheme="majorEastAsia" w:eastAsiaTheme="majorEastAsia" w:cstheme="majorEastAsia"/>
                <w:spacing w:val="-20"/>
                <w:sz w:val="20"/>
                <w:szCs w:val="20"/>
              </w:rPr>
            </w:pPr>
          </w:p>
          <w:p w14:paraId="0CC17CD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67F91D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C65F2A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9B31E7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A50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35DAAF6">
            <w:pPr>
              <w:spacing w:line="240" w:lineRule="atLeast"/>
              <w:jc w:val="left"/>
              <w:rPr>
                <w:rFonts w:ascii="仿宋_GB2312" w:hAnsi="仿宋_GB2312" w:eastAsia="仿宋_GB2312" w:cs="仿宋_GB2312"/>
                <w:sz w:val="20"/>
                <w:szCs w:val="20"/>
              </w:rPr>
            </w:pPr>
          </w:p>
        </w:tc>
        <w:tc>
          <w:tcPr>
            <w:tcW w:w="555" w:type="dxa"/>
            <w:vMerge w:val="continue"/>
          </w:tcPr>
          <w:p w14:paraId="0AECCCC5">
            <w:pPr>
              <w:spacing w:line="240" w:lineRule="atLeast"/>
              <w:jc w:val="left"/>
              <w:rPr>
                <w:rFonts w:ascii="仿宋_GB2312" w:hAnsi="仿宋_GB2312" w:eastAsia="仿宋_GB2312" w:cs="仿宋_GB2312"/>
                <w:sz w:val="20"/>
                <w:szCs w:val="20"/>
              </w:rPr>
            </w:pPr>
          </w:p>
        </w:tc>
        <w:tc>
          <w:tcPr>
            <w:tcW w:w="784" w:type="dxa"/>
            <w:vAlign w:val="center"/>
          </w:tcPr>
          <w:p w14:paraId="6CA7A83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749654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476386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E123D2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EFF05B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9AEE47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D0538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62E5D0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479414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6B16076">
            <w:pPr>
              <w:spacing w:line="240" w:lineRule="atLeast"/>
              <w:jc w:val="left"/>
              <w:rPr>
                <w:rFonts w:ascii="仿宋_GB2312" w:hAnsi="仿宋_GB2312" w:eastAsia="仿宋_GB2312" w:cs="仿宋_GB2312"/>
                <w:sz w:val="20"/>
                <w:szCs w:val="20"/>
              </w:rPr>
            </w:pPr>
          </w:p>
        </w:tc>
      </w:tr>
      <w:tr w14:paraId="7FF2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7CBF29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189</w:t>
            </w:r>
          </w:p>
        </w:tc>
        <w:tc>
          <w:tcPr>
            <w:tcW w:w="555" w:type="dxa"/>
            <w:vAlign w:val="center"/>
          </w:tcPr>
          <w:p w14:paraId="51EBCD2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行政征收</w:t>
            </w:r>
          </w:p>
        </w:tc>
        <w:tc>
          <w:tcPr>
            <w:tcW w:w="784" w:type="dxa"/>
            <w:vAlign w:val="center"/>
          </w:tcPr>
          <w:p w14:paraId="6B3DBA2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矿产资源采矿登记费征收</w:t>
            </w:r>
          </w:p>
        </w:tc>
        <w:tc>
          <w:tcPr>
            <w:tcW w:w="660" w:type="dxa"/>
            <w:vAlign w:val="center"/>
          </w:tcPr>
          <w:p w14:paraId="54882744">
            <w:pPr>
              <w:snapToGrid w:val="0"/>
              <w:spacing w:line="240" w:lineRule="atLeast"/>
              <w:jc w:val="center"/>
              <w:rPr>
                <w:rFonts w:ascii="仿宋_GB2312" w:hAnsi="仿宋_GB2312" w:eastAsia="仿宋_GB2312" w:cs="仿宋_GB2312"/>
                <w:sz w:val="20"/>
                <w:szCs w:val="20"/>
              </w:rPr>
            </w:pPr>
          </w:p>
        </w:tc>
        <w:tc>
          <w:tcPr>
            <w:tcW w:w="615" w:type="dxa"/>
            <w:vAlign w:val="center"/>
          </w:tcPr>
          <w:p w14:paraId="63B0EB0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7CED5E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229BC5F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矿产资源开采登记管理办法》（1998年国务院令第241号发布施行，2014年国务院令第653号修订）第二十七条：办理采矿登记手续，应当按照规定缴纳登记费。收费标准和管理、使用办法，由国务院物价主管部门会同国务院地质矿产主管部门、财政部门规定。</w:t>
            </w:r>
          </w:p>
        </w:tc>
        <w:tc>
          <w:tcPr>
            <w:tcW w:w="3585" w:type="dxa"/>
            <w:vAlign w:val="center"/>
          </w:tcPr>
          <w:p w14:paraId="4DA34016">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1.监管责任：自治区自然资源厅自然资源主管部门有权对暂停征收矿产资源勘查登记费、采矿登记费的执行情况进行检查。</w:t>
            </w:r>
          </w:p>
          <w:p w14:paraId="7D479FC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2.其他法律法规规章文件规定应履行的责任。</w:t>
            </w:r>
          </w:p>
        </w:tc>
        <w:tc>
          <w:tcPr>
            <w:tcW w:w="9515" w:type="dxa"/>
            <w:vAlign w:val="center"/>
          </w:tcPr>
          <w:p w14:paraId="74AD098F">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1.【规范性文件】财政部 国家发展改革委《关于取消、停征和免征一批行政事业性收费的通知》（财税〔2014〕101号）第一条：自2015年1月1日起，暂停征收12项中央级设立的行政事业性收费（含矿产资源勘查登记费、采矿登记费）。</w:t>
            </w:r>
          </w:p>
          <w:p w14:paraId="4A88641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第五条：对上述取消、停征和免征的行政事业性收费，各地区和有关部门不得以任何理由拖延或者拒绝执行，不得以其他名目或者转为经营服务性收费方式变相继续收费。</w:t>
            </w:r>
          </w:p>
        </w:tc>
        <w:tc>
          <w:tcPr>
            <w:tcW w:w="330" w:type="dxa"/>
            <w:vAlign w:val="center"/>
          </w:tcPr>
          <w:p w14:paraId="569F5B0E">
            <w:pPr>
              <w:snapToGrid w:val="0"/>
              <w:spacing w:line="240" w:lineRule="atLeast"/>
              <w:jc w:val="center"/>
              <w:rPr>
                <w:rFonts w:ascii="仿宋_GB2312" w:hAnsi="仿宋_GB2312" w:eastAsia="仿宋_GB2312" w:cs="仿宋_GB2312"/>
                <w:sz w:val="20"/>
                <w:szCs w:val="20"/>
              </w:rPr>
            </w:pPr>
          </w:p>
        </w:tc>
      </w:tr>
    </w:tbl>
    <w:p w14:paraId="4C78B890"/>
    <w:p w14:paraId="5456075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786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6378FB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41E8D45">
            <w:pPr>
              <w:spacing w:line="240" w:lineRule="atLeast"/>
              <w:rPr>
                <w:rFonts w:asciiTheme="majorEastAsia" w:hAnsiTheme="majorEastAsia" w:eastAsiaTheme="majorEastAsia" w:cstheme="majorEastAsia"/>
                <w:spacing w:val="-20"/>
                <w:sz w:val="20"/>
                <w:szCs w:val="20"/>
              </w:rPr>
            </w:pPr>
          </w:p>
          <w:p w14:paraId="27519DF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3EAFC5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680FD7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652F42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8C7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E065433">
            <w:pPr>
              <w:spacing w:line="240" w:lineRule="atLeast"/>
              <w:jc w:val="left"/>
              <w:rPr>
                <w:rFonts w:ascii="仿宋_GB2312" w:hAnsi="仿宋_GB2312" w:eastAsia="仿宋_GB2312" w:cs="仿宋_GB2312"/>
                <w:sz w:val="20"/>
                <w:szCs w:val="20"/>
              </w:rPr>
            </w:pPr>
          </w:p>
        </w:tc>
        <w:tc>
          <w:tcPr>
            <w:tcW w:w="555" w:type="dxa"/>
            <w:vMerge w:val="continue"/>
          </w:tcPr>
          <w:p w14:paraId="3819E690">
            <w:pPr>
              <w:spacing w:line="240" w:lineRule="atLeast"/>
              <w:jc w:val="left"/>
              <w:rPr>
                <w:rFonts w:ascii="仿宋_GB2312" w:hAnsi="仿宋_GB2312" w:eastAsia="仿宋_GB2312" w:cs="仿宋_GB2312"/>
                <w:sz w:val="20"/>
                <w:szCs w:val="20"/>
              </w:rPr>
            </w:pPr>
          </w:p>
        </w:tc>
        <w:tc>
          <w:tcPr>
            <w:tcW w:w="784" w:type="dxa"/>
            <w:vAlign w:val="center"/>
          </w:tcPr>
          <w:p w14:paraId="73260BF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8ADD1D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C843D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173711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E51ADB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E09CC5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A7281A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19EFD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FD9C51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80BB6E5">
            <w:pPr>
              <w:spacing w:line="240" w:lineRule="atLeast"/>
              <w:jc w:val="left"/>
              <w:rPr>
                <w:rFonts w:ascii="仿宋_GB2312" w:hAnsi="仿宋_GB2312" w:eastAsia="仿宋_GB2312" w:cs="仿宋_GB2312"/>
                <w:sz w:val="20"/>
                <w:szCs w:val="20"/>
              </w:rPr>
            </w:pPr>
          </w:p>
        </w:tc>
      </w:tr>
      <w:tr w14:paraId="33F0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E5621D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190</w:t>
            </w:r>
          </w:p>
        </w:tc>
        <w:tc>
          <w:tcPr>
            <w:tcW w:w="555" w:type="dxa"/>
            <w:vAlign w:val="center"/>
          </w:tcPr>
          <w:p w14:paraId="255CAE2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行政征收</w:t>
            </w:r>
          </w:p>
        </w:tc>
        <w:tc>
          <w:tcPr>
            <w:tcW w:w="784" w:type="dxa"/>
            <w:vAlign w:val="center"/>
          </w:tcPr>
          <w:p w14:paraId="4929610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采矿权使用费及矿业权出让收益征收</w:t>
            </w:r>
          </w:p>
        </w:tc>
        <w:tc>
          <w:tcPr>
            <w:tcW w:w="660" w:type="dxa"/>
            <w:vAlign w:val="center"/>
          </w:tcPr>
          <w:p w14:paraId="2549813E">
            <w:pPr>
              <w:snapToGrid w:val="0"/>
              <w:spacing w:line="240" w:lineRule="atLeast"/>
              <w:jc w:val="center"/>
              <w:rPr>
                <w:rFonts w:ascii="仿宋_GB2312" w:hAnsi="仿宋_GB2312" w:eastAsia="仿宋_GB2312" w:cs="仿宋_GB2312"/>
                <w:sz w:val="20"/>
                <w:szCs w:val="20"/>
              </w:rPr>
            </w:pPr>
          </w:p>
        </w:tc>
        <w:tc>
          <w:tcPr>
            <w:tcW w:w="615" w:type="dxa"/>
            <w:vAlign w:val="center"/>
          </w:tcPr>
          <w:p w14:paraId="465B80E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366FCD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75E2D3A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矿产资源法》第五条：国家实行探矿权、采矿权有偿取得的制度；但是，国家对探矿权、采矿权有偿取得的费用，可以根据不同情况规定予以减缴、免缴。具体办法和实施步骤由国务院规定。</w:t>
            </w:r>
          </w:p>
        </w:tc>
        <w:tc>
          <w:tcPr>
            <w:tcW w:w="3585" w:type="dxa"/>
            <w:vAlign w:val="center"/>
          </w:tcPr>
          <w:p w14:paraId="3D1ED036">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1.受理责任：依法受理或不予受理，并一次性告知不予受理的理由或需补充提供的资料。</w:t>
            </w:r>
          </w:p>
          <w:p w14:paraId="6F78AD88">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2.审核责任：审核申请人提供的矿业权出让收益评估价值、招标、拍卖、挂牌成交价、出让收益率等申报信息的准确性。</w:t>
            </w:r>
          </w:p>
          <w:p w14:paraId="572B933B">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3.决定责任：做出审核决定，开具《缴款通知书》。</w:t>
            </w:r>
          </w:p>
          <w:p w14:paraId="1B5127C8">
            <w:pPr>
              <w:widowControl/>
              <w:adjustRightInd w:val="0"/>
              <w:snapToGrid w:val="0"/>
              <w:spacing w:line="26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4．监管责任：各级财政部门和矿产资源主管部门有权对缴费人缴纳探矿权、采矿权使用费及矿业权出让收益的情况进行检查。</w:t>
            </w:r>
          </w:p>
          <w:p w14:paraId="78BCC00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73D73C8B">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1—1.【法律】《中华人民共和国矿产资源法》第五条：国家实行探矿权、采矿权有偿取得的制度。</w:t>
            </w:r>
          </w:p>
          <w:p w14:paraId="37747CF8">
            <w:pPr>
              <w:widowControl/>
              <w:adjustRightInd w:val="0"/>
              <w:snapToGrid w:val="0"/>
              <w:spacing w:line="256"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1—2.【规范性文件】《财政部 国土资源部关于印发〈矿业权出让收益征收管理暂行办法〉的通知》（财综〔2017〕35号）第六条：国务院和省级矿产资源主管部门登记的矿业权，其出让收益由矿业权所在地的省级矿产资源主管部门或其授权的市、县矿产资源主管部门负责征收。其中，矿业权范围跨省级行政区域和在中华人民共和国管辖海域的，由国务院矿产资源主管部门指定省级矿产资源主管部门负责征收。市、县矿产资源主管部门登记管理的矿业权，其出让收益由市、县矿产资源主管部门负责征收。</w:t>
            </w:r>
          </w:p>
          <w:p w14:paraId="79597EDF">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1—3.【规范性文件】《广西壮族自治区财政厅 广西壮族自治区国土资源厅关于印发矿业权出让收益征收管理暂行办法的通知》（桂财规〔2018〕8号）第六条：矿业权所在地在广西壮族自治区行政区域内，国务院和自治区矿产资源主管部门登记管理的矿业权，其出让收益由自治区矿产资源主管部门或其授权的市、县矿产资源主管部门负责征收；市、县矿产资源主管部门登记管理的矿业权，其出让收益由市、县矿产资源主管部门负责征收。其中，矿业权范围跨市级行政区域的，由自治区矿产资源主管部门指定的市级矿产资源主管部门负责征收；矿业权范围跨县级行政区域的，由其所属市级矿产资源主管部门指定的县级矿产资源主管部门负责征收。</w:t>
            </w:r>
          </w:p>
          <w:p w14:paraId="5DF30DC1">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行政法规】《矿产资源勘查区块登记管理办法》（1998年国务院令第240号公布，2014年国务院令第653号修订）第十二条：探矿权使用费以勘查年度计算，逐年缴纳。探矿权使用费标准：第一个勘查年度至第三个勘查年度，每平方公里每年缴纳100元；从第四个勘查年度起，每平方公里每年增加100元，但是最高不超过每平方公里每年500元。</w:t>
            </w:r>
          </w:p>
          <w:p w14:paraId="43F54986">
            <w:pPr>
              <w:widowControl/>
              <w:adjustRightInd w:val="0"/>
              <w:snapToGrid w:val="0"/>
              <w:spacing w:line="256"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2—2.【行政法规】《矿产资源开采登记管理办法》（1998年国务院令第241号公布，2014年国务院令第653号修订）第九条：采矿权使用费，按照矿区范围的面积逐年缴纳，标准为每平方公里每年1000元。</w:t>
            </w:r>
          </w:p>
          <w:p w14:paraId="39ED7B91">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 【规范性文件】《财政部 国土资源部关于印发〈矿业权出让收益征收管理暂行办法〉的通知》（财综〔2017〕35号）第七条：通过招标、拍卖、挂牌等竞争方式出让矿业权的，矿业权出让收益按招标、拍卖、挂牌的结果确定。</w:t>
            </w:r>
          </w:p>
          <w:p w14:paraId="03F72797">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2—4．【规范性文件】《广西壮族自治区财政厅 广西壮族自治区国土资源厅关于印发矿业权出让收益征收管理暂行办法的通知》（桂财规〔2018〕8号）第七条：通过招标、拍卖、挂牌等竞争方式出让矿业权的，矿业权出让收益按招标、拍卖、挂牌的结果确定。第八条：通过协议方式出让矿业权的，矿业权出让收益按照评估价值、市场基准价就高确定。矿业权出让收益基准价由自治区矿产资源主管部门制定，经自治区人民政府批准后公布执行。第十条：矿业权出让收益原则上通过出让金额的形式征收。对属于资源储量较大、矿山服务年限较长、市场风险较高等情形的矿业权，可探索通过矿业权出让收益率或者出让金额和出让收益率相结合的形式征收。具体征收形式由矿业权出让机关依据资源禀赋、勘查开发条件和宏观调控要求等因素进行选择。前款所称出让收益率，是指矿业权出让收益占矿产品销售收入的比率。</w:t>
            </w:r>
          </w:p>
          <w:p w14:paraId="1B1D4A2B">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3.【规范性文件】《广西壮族自治区财政厅 广西壮族自治区国土资源厅关于印发矿业权出让收益征收管理暂行办法的通知》（桂财规〔2018〕8号）第二十一条：矿业权出让实行分级审批制度，矿业权征收机关依据出让合同开具“矿业权收益缴款通知书”，通知矿业权人缴款。矿业权人在收到“矿业权收益缴款通知书”后7个工作日内，按照非税收入收缴管理要求缴纳矿业权出让收益。矿业权人缴款后，持有关财政票据或缴款凭证及有关矿业权登记申报材料到矿业权登记机关办理矿业权证照等相关手续。</w:t>
            </w:r>
          </w:p>
          <w:p w14:paraId="13316F26">
            <w:pPr>
              <w:widowControl/>
              <w:adjustRightInd w:val="0"/>
              <w:snapToGrid w:val="0"/>
              <w:spacing w:line="256"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4—1.【规范性文件】《财政部 国土资源部关于印发〈矿业权出让收益征收管理暂行办法〉的通知》（财综〔2017〕35号）第二十三条：各级财政部门和矿产资源主管部门应当切实加强矿业权出让收益征收监督管理，按照职能分工，将相关信息纳入勘查开采信息公示系统，适时检查矿业权出让收益征收情况。</w:t>
            </w:r>
          </w:p>
          <w:p w14:paraId="041959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4—2.【规范性文件】《广西壮族自治区财政厅 广西壮族自治区国土资源厅关于印发矿业权出让收益征收管理暂行办法的通知》（桂财规〔2018〕8号）第二十四条：各级财政部门和矿产资源主管部门应当切实加强矿业权出让收益征收监督管理，按照职能分工，将相关信息纳入勘查开采信息公示系统，适时检查矿业权出让收益征收情况。</w:t>
            </w:r>
          </w:p>
        </w:tc>
        <w:tc>
          <w:tcPr>
            <w:tcW w:w="330" w:type="dxa"/>
            <w:vAlign w:val="center"/>
          </w:tcPr>
          <w:p w14:paraId="114A3788">
            <w:pPr>
              <w:snapToGrid w:val="0"/>
              <w:spacing w:line="240" w:lineRule="atLeast"/>
              <w:jc w:val="center"/>
              <w:rPr>
                <w:rFonts w:ascii="仿宋_GB2312" w:hAnsi="仿宋_GB2312" w:eastAsia="仿宋_GB2312" w:cs="仿宋_GB2312"/>
                <w:sz w:val="20"/>
                <w:szCs w:val="20"/>
              </w:rPr>
            </w:pPr>
          </w:p>
        </w:tc>
      </w:tr>
    </w:tbl>
    <w:p w14:paraId="77AE6944"/>
    <w:p w14:paraId="6D94A98D"/>
    <w:p w14:paraId="4CAA7184"/>
    <w:p w14:paraId="4DC347E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44E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4312B8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4A8247E">
            <w:pPr>
              <w:spacing w:line="240" w:lineRule="atLeast"/>
              <w:rPr>
                <w:rFonts w:asciiTheme="majorEastAsia" w:hAnsiTheme="majorEastAsia" w:eastAsiaTheme="majorEastAsia" w:cstheme="majorEastAsia"/>
                <w:spacing w:val="-20"/>
                <w:sz w:val="20"/>
                <w:szCs w:val="20"/>
              </w:rPr>
            </w:pPr>
          </w:p>
          <w:p w14:paraId="776E264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F0BC9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811BE4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509C9A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21A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6B74343">
            <w:pPr>
              <w:spacing w:line="240" w:lineRule="atLeast"/>
              <w:jc w:val="left"/>
              <w:rPr>
                <w:rFonts w:ascii="仿宋_GB2312" w:hAnsi="仿宋_GB2312" w:eastAsia="仿宋_GB2312" w:cs="仿宋_GB2312"/>
                <w:sz w:val="20"/>
                <w:szCs w:val="20"/>
              </w:rPr>
            </w:pPr>
          </w:p>
        </w:tc>
        <w:tc>
          <w:tcPr>
            <w:tcW w:w="555" w:type="dxa"/>
            <w:vMerge w:val="continue"/>
          </w:tcPr>
          <w:p w14:paraId="01BD6A21">
            <w:pPr>
              <w:spacing w:line="240" w:lineRule="atLeast"/>
              <w:jc w:val="left"/>
              <w:rPr>
                <w:rFonts w:ascii="仿宋_GB2312" w:hAnsi="仿宋_GB2312" w:eastAsia="仿宋_GB2312" w:cs="仿宋_GB2312"/>
                <w:sz w:val="20"/>
                <w:szCs w:val="20"/>
              </w:rPr>
            </w:pPr>
          </w:p>
        </w:tc>
        <w:tc>
          <w:tcPr>
            <w:tcW w:w="784" w:type="dxa"/>
            <w:vAlign w:val="center"/>
          </w:tcPr>
          <w:p w14:paraId="2C5938C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6D4FEB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34E5AF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1E9103E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C5FF95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A0B105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5F76DD9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47732B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D2DCF6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2B48C5A">
            <w:pPr>
              <w:spacing w:line="240" w:lineRule="atLeast"/>
              <w:jc w:val="left"/>
              <w:rPr>
                <w:rFonts w:ascii="仿宋_GB2312" w:hAnsi="仿宋_GB2312" w:eastAsia="仿宋_GB2312" w:cs="仿宋_GB2312"/>
                <w:sz w:val="20"/>
                <w:szCs w:val="20"/>
              </w:rPr>
            </w:pPr>
          </w:p>
        </w:tc>
      </w:tr>
      <w:tr w14:paraId="5298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129F94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191</w:t>
            </w:r>
          </w:p>
        </w:tc>
        <w:tc>
          <w:tcPr>
            <w:tcW w:w="555" w:type="dxa"/>
            <w:vAlign w:val="center"/>
          </w:tcPr>
          <w:p w14:paraId="159E4A4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行政给付</w:t>
            </w:r>
          </w:p>
        </w:tc>
        <w:tc>
          <w:tcPr>
            <w:tcW w:w="784" w:type="dxa"/>
            <w:vAlign w:val="center"/>
          </w:tcPr>
          <w:p w14:paraId="4E2A62B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征地补偿安置给付</w:t>
            </w:r>
          </w:p>
        </w:tc>
        <w:tc>
          <w:tcPr>
            <w:tcW w:w="660" w:type="dxa"/>
            <w:vAlign w:val="center"/>
          </w:tcPr>
          <w:p w14:paraId="7F18D724">
            <w:pPr>
              <w:snapToGrid w:val="0"/>
              <w:spacing w:line="240" w:lineRule="atLeast"/>
              <w:jc w:val="center"/>
              <w:rPr>
                <w:rFonts w:ascii="仿宋_GB2312" w:hAnsi="仿宋_GB2312" w:eastAsia="仿宋_GB2312" w:cs="仿宋_GB2312"/>
                <w:sz w:val="20"/>
                <w:szCs w:val="20"/>
              </w:rPr>
            </w:pPr>
          </w:p>
        </w:tc>
        <w:tc>
          <w:tcPr>
            <w:tcW w:w="615" w:type="dxa"/>
            <w:vAlign w:val="center"/>
          </w:tcPr>
          <w:p w14:paraId="672C46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457FFFF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玉林市征地事务中心</w:t>
            </w:r>
          </w:p>
        </w:tc>
        <w:tc>
          <w:tcPr>
            <w:tcW w:w="4605" w:type="dxa"/>
            <w:vAlign w:val="center"/>
          </w:tcPr>
          <w:p w14:paraId="0859212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1.【法律】《中华人民共和国土地管理法》第二条：国家为了公共利益的需要，可以依法对土地实行征收或者征用并给予补偿。</w:t>
            </w:r>
          </w:p>
          <w:p w14:paraId="3165BF7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第四十七条：国家征收土地的，依照法定程序批准后，由县级以上地方人民政府予以公告并组织实施。</w:t>
            </w:r>
          </w:p>
          <w:p w14:paraId="2005E9D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14:paraId="496DE09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八条：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用。</w:t>
            </w:r>
          </w:p>
          <w:p w14:paraId="5362EFD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中华人民共和国土地管理法实施条例》（1998年国务院令第256号公布，2021年国务院令第743号修订）第三十二条：省、自治区、直辖市应当制定公布区片综合地价，确定征收农用地的土地补偿费、安置补助费标准，并制定土地补偿费、安置补助费分配办法。</w:t>
            </w:r>
          </w:p>
          <w:p w14:paraId="142F0C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地上附着物和青苗等的补偿费用，归其所有权人所有。</w:t>
            </w:r>
          </w:p>
          <w:p w14:paraId="09449BA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社会保障费用主要用于符合条件的被征地农民的养老保险等社会保险缴费补贴，按照省、自治区、直辖市的规定单独列支。</w:t>
            </w:r>
          </w:p>
          <w:p w14:paraId="1A1FBA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申请征收土地的县级以上地方人民政府应当及时落实土地补偿费、安置补助费、农村村民住宅以及其他地上附着物和青苗等的补偿费用、社会保障费用等，并保证足额到位，专款专用。有关费用未足额到位的，不得批准征收土地。</w:t>
            </w:r>
          </w:p>
        </w:tc>
        <w:tc>
          <w:tcPr>
            <w:tcW w:w="3585" w:type="dxa"/>
            <w:vAlign w:val="center"/>
          </w:tcPr>
          <w:p w14:paraId="1DE02FE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1.受理阶段责任：发布征地公告。</w:t>
            </w:r>
          </w:p>
          <w:p w14:paraId="37DB7BB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2.决定责任阶段：核实补偿地价标准，拟定征地方案，报人民政府批准，如实补偿。</w:t>
            </w:r>
          </w:p>
          <w:p w14:paraId="3C8153B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3.送达责任：将政府批准的补偿价款足额送达。</w:t>
            </w:r>
          </w:p>
          <w:p w14:paraId="7B21EA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5C4445D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1.【法律】《中华人民共和国土地管理法》第四十七条：国家征收土地的，依照法定程序批准后，由县级以上地方人民政府予以公告并组织实施。</w:t>
            </w:r>
          </w:p>
          <w:p w14:paraId="4BF090F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14:paraId="7939ACB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土地管理法》第四十八条：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用。</w:t>
            </w:r>
          </w:p>
          <w:p w14:paraId="15B1EF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行政法规】《中华人民共和国土地管理法实施条例》（1998年国务院令第256号公布，2021年国务院令第743号修订）第三十二条：省、自治区、直辖市应当制定公布区片综合地价，确定征收农用地的土地补偿费、安置补助费标准，并制定土地补偿费、安置补助费分配办法。</w:t>
            </w:r>
          </w:p>
          <w:p w14:paraId="154CF9B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地上附着物和青苗等的补偿费用，归其所有权人所有。</w:t>
            </w:r>
          </w:p>
          <w:p w14:paraId="72FA307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社会保障费用主要用于符合条件的被征地农民的养老保险等社会保险缴费补贴，按照省、自治区、直辖市的规定单独列支。</w:t>
            </w:r>
          </w:p>
          <w:p w14:paraId="11E6B1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申请征收土地的县级以上地方人民政府应当及时落实土地补偿费、安置补助费、农村村民住宅以及其他地上附着物和青苗等的补偿费用、社会保障费用等，并保证足额到位，专款专用。有关费用未足额到位的，不得批准征收土地。</w:t>
            </w:r>
          </w:p>
          <w:p w14:paraId="0FA9AF8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3.同2—1、2—2。</w:t>
            </w:r>
          </w:p>
        </w:tc>
        <w:tc>
          <w:tcPr>
            <w:tcW w:w="330" w:type="dxa"/>
            <w:vAlign w:val="center"/>
          </w:tcPr>
          <w:p w14:paraId="466ADA4B">
            <w:pPr>
              <w:snapToGrid w:val="0"/>
              <w:spacing w:line="240" w:lineRule="atLeast"/>
              <w:jc w:val="center"/>
              <w:rPr>
                <w:rFonts w:ascii="仿宋_GB2312" w:hAnsi="仿宋_GB2312" w:eastAsia="仿宋_GB2312" w:cs="仿宋_GB2312"/>
                <w:sz w:val="20"/>
                <w:szCs w:val="20"/>
              </w:rPr>
            </w:pPr>
          </w:p>
        </w:tc>
      </w:tr>
    </w:tbl>
    <w:p w14:paraId="58E0486A"/>
    <w:p w14:paraId="39607B9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1E0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4B7BB6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E63AAAC">
            <w:pPr>
              <w:spacing w:line="240" w:lineRule="atLeast"/>
              <w:rPr>
                <w:rFonts w:asciiTheme="majorEastAsia" w:hAnsiTheme="majorEastAsia" w:eastAsiaTheme="majorEastAsia" w:cstheme="majorEastAsia"/>
                <w:spacing w:val="-20"/>
                <w:sz w:val="20"/>
                <w:szCs w:val="20"/>
              </w:rPr>
            </w:pPr>
          </w:p>
          <w:p w14:paraId="42406DA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45D3E7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3BD5FA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888160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D1F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0F61EAA">
            <w:pPr>
              <w:spacing w:line="240" w:lineRule="atLeast"/>
              <w:jc w:val="left"/>
              <w:rPr>
                <w:rFonts w:ascii="仿宋_GB2312" w:hAnsi="仿宋_GB2312" w:eastAsia="仿宋_GB2312" w:cs="仿宋_GB2312"/>
                <w:sz w:val="20"/>
                <w:szCs w:val="20"/>
              </w:rPr>
            </w:pPr>
          </w:p>
        </w:tc>
        <w:tc>
          <w:tcPr>
            <w:tcW w:w="555" w:type="dxa"/>
            <w:vMerge w:val="continue"/>
          </w:tcPr>
          <w:p w14:paraId="1E868A05">
            <w:pPr>
              <w:spacing w:line="240" w:lineRule="atLeast"/>
              <w:jc w:val="left"/>
              <w:rPr>
                <w:rFonts w:ascii="仿宋_GB2312" w:hAnsi="仿宋_GB2312" w:eastAsia="仿宋_GB2312" w:cs="仿宋_GB2312"/>
                <w:sz w:val="20"/>
                <w:szCs w:val="20"/>
              </w:rPr>
            </w:pPr>
          </w:p>
        </w:tc>
        <w:tc>
          <w:tcPr>
            <w:tcW w:w="784" w:type="dxa"/>
            <w:vAlign w:val="center"/>
          </w:tcPr>
          <w:p w14:paraId="3305EC4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60CFCF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125E7C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5B485B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F5CF56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D68347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FAC150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E1EA2F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B63E43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6276608">
            <w:pPr>
              <w:spacing w:line="240" w:lineRule="atLeast"/>
              <w:jc w:val="left"/>
              <w:rPr>
                <w:rFonts w:ascii="仿宋_GB2312" w:hAnsi="仿宋_GB2312" w:eastAsia="仿宋_GB2312" w:cs="仿宋_GB2312"/>
                <w:sz w:val="20"/>
                <w:szCs w:val="20"/>
              </w:rPr>
            </w:pPr>
          </w:p>
        </w:tc>
      </w:tr>
      <w:tr w14:paraId="538A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A348BE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192</w:t>
            </w:r>
          </w:p>
        </w:tc>
        <w:tc>
          <w:tcPr>
            <w:tcW w:w="555" w:type="dxa"/>
            <w:vAlign w:val="center"/>
          </w:tcPr>
          <w:p w14:paraId="39DAAF1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3DCC261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自然资源卫片执法</w:t>
            </w:r>
          </w:p>
        </w:tc>
        <w:tc>
          <w:tcPr>
            <w:tcW w:w="660" w:type="dxa"/>
            <w:vAlign w:val="center"/>
          </w:tcPr>
          <w:p w14:paraId="3168FE98">
            <w:pPr>
              <w:snapToGrid w:val="0"/>
              <w:spacing w:line="240" w:lineRule="atLeast"/>
              <w:jc w:val="center"/>
              <w:rPr>
                <w:rFonts w:ascii="仿宋_GB2312" w:hAnsi="仿宋_GB2312" w:eastAsia="仿宋_GB2312" w:cs="仿宋_GB2312"/>
                <w:sz w:val="20"/>
                <w:szCs w:val="20"/>
              </w:rPr>
            </w:pPr>
          </w:p>
        </w:tc>
        <w:tc>
          <w:tcPr>
            <w:tcW w:w="615" w:type="dxa"/>
            <w:vAlign w:val="center"/>
          </w:tcPr>
          <w:p w14:paraId="47E064A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C6B37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政策法规和执法督察科</w:t>
            </w:r>
          </w:p>
        </w:tc>
        <w:tc>
          <w:tcPr>
            <w:tcW w:w="4605" w:type="dxa"/>
            <w:vAlign w:val="center"/>
          </w:tcPr>
          <w:p w14:paraId="3BB9546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1.【部门规章】《自然资源执法监督规定》（2017年国土资源部令第79号公布施行，2020年自然资源部令第6号修正）第十七条：自然资源部在全国部署开展自然资源卫片执法监督。</w:t>
            </w:r>
          </w:p>
          <w:p w14:paraId="1E1F492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省级自然资源主管部门按照自然资源部的统一部署，组织所辖行政区域内的市、县自然资源主管部门开展自然资源卫片执法监督，并向自然资源部报告结果</w:t>
            </w:r>
          </w:p>
          <w:p w14:paraId="68AE802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2.【规范性文件】《国土资源部关于印发〈土地矿产卫片执法检查工作规范（试行）〉的通知》（国土资发〔2010〕21号）职责分工内容中规定省级国土资源行政主管部门的职责：</w:t>
            </w:r>
          </w:p>
          <w:p w14:paraId="0D6E08E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4.2.1按照国土资源部的部署组织开展本行政区域内土地矿产卫片执法检查工作。4.2.2指导本行政区域内土地矿产卫片执法检查工作，组织开展督查、验收，督促落实国土资源部督查、验收意见。4.2.4汇总上报相关数据和情况。4.2.5通报本行政区域土地矿产卫片执法检查情况。4.3市、县级国土资源行政主管部门根据国土资源部和省级国土资源行政主管部门的部署，按照本规范的要求，开展土地矿产卫片执法检查工作。</w:t>
            </w:r>
          </w:p>
        </w:tc>
        <w:tc>
          <w:tcPr>
            <w:tcW w:w="3585" w:type="dxa"/>
            <w:vAlign w:val="center"/>
          </w:tcPr>
          <w:p w14:paraId="3D0698A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1.告知责任：制定检查方案，确定对象和方式，通知被检查单位。</w:t>
            </w:r>
          </w:p>
          <w:p w14:paraId="3A590BE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2.检查责任：检查时，工作人员不得少于2人，应当持《土地矿产卫片执法检查工作方案》或相关文件进行检查。检查工作人员应当有详细的检查记录，严禁弄虚作假。</w:t>
            </w:r>
          </w:p>
          <w:p w14:paraId="1C482F3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3.处理责任：汇总相关数据和情况；通报本行政区域土地矿产卫片执法检查情况。</w:t>
            </w:r>
          </w:p>
          <w:p w14:paraId="7174AF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3B42FE6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国土资源部《土地矿产卫片执法检查工作规范（试行）》（国土资发〔2010〕21号）职责分工内容中规定省级国土资源行政主管部门的职责：4.2.1按照国土资源部的部署组织开展本行政区域内土地矿产卫片执法检查工作。4.2.2指导本行政区域内土地矿产卫片执法检查工作，组织开展督查、验收，督促落实国土资源部督查、验收意见。4.2.4汇总上报相关数据和情况。4.2.5通报本行政区域土地矿产卫片执法检查情况。4.3市、县级国土资源行政主管部门根据国土资源部和省级国土资源行政主管部门的部署，按照本规范的要求，开展土地矿产卫片执法检查工作。</w:t>
            </w:r>
          </w:p>
          <w:p w14:paraId="0CE866F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处罚法》第三十七条：行政机关在调查或者进行检查时，执法人员不得少于两人，并应当向当事人或者有关人员出示证件。行政机关在收集证据时，可以采取抽样取证的方法……。</w:t>
            </w:r>
          </w:p>
          <w:p w14:paraId="13791F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3.同1。</w:t>
            </w:r>
          </w:p>
        </w:tc>
        <w:tc>
          <w:tcPr>
            <w:tcW w:w="330" w:type="dxa"/>
            <w:vAlign w:val="center"/>
          </w:tcPr>
          <w:p w14:paraId="1D6DF5C5">
            <w:pPr>
              <w:snapToGrid w:val="0"/>
              <w:spacing w:line="240" w:lineRule="atLeast"/>
              <w:jc w:val="center"/>
              <w:rPr>
                <w:rFonts w:ascii="仿宋_GB2312" w:hAnsi="仿宋_GB2312" w:eastAsia="仿宋_GB2312" w:cs="仿宋_GB2312"/>
                <w:sz w:val="20"/>
                <w:szCs w:val="20"/>
              </w:rPr>
            </w:pPr>
          </w:p>
        </w:tc>
      </w:tr>
    </w:tbl>
    <w:p w14:paraId="04EB3321"/>
    <w:p w14:paraId="2C81F8D9"/>
    <w:p w14:paraId="423720F3"/>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5175"/>
        <w:gridCol w:w="4275"/>
        <w:gridCol w:w="8255"/>
        <w:gridCol w:w="330"/>
      </w:tblGrid>
      <w:tr w14:paraId="5FED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474A15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6D76EF8">
            <w:pPr>
              <w:spacing w:line="240" w:lineRule="atLeast"/>
              <w:rPr>
                <w:rFonts w:asciiTheme="majorEastAsia" w:hAnsiTheme="majorEastAsia" w:eastAsiaTheme="majorEastAsia" w:cstheme="majorEastAsia"/>
                <w:spacing w:val="-20"/>
                <w:sz w:val="20"/>
                <w:szCs w:val="20"/>
              </w:rPr>
            </w:pPr>
          </w:p>
          <w:p w14:paraId="23885D0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344" w:type="dxa"/>
            <w:gridSpan w:val="5"/>
            <w:vAlign w:val="center"/>
          </w:tcPr>
          <w:p w14:paraId="3724027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530" w:type="dxa"/>
            <w:gridSpan w:val="2"/>
            <w:vAlign w:val="center"/>
          </w:tcPr>
          <w:p w14:paraId="6CA386B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86BD27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55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BC3C11D">
            <w:pPr>
              <w:spacing w:line="240" w:lineRule="atLeast"/>
              <w:jc w:val="left"/>
              <w:rPr>
                <w:rFonts w:ascii="仿宋_GB2312" w:hAnsi="仿宋_GB2312" w:eastAsia="仿宋_GB2312" w:cs="仿宋_GB2312"/>
                <w:sz w:val="20"/>
                <w:szCs w:val="20"/>
              </w:rPr>
            </w:pPr>
          </w:p>
        </w:tc>
        <w:tc>
          <w:tcPr>
            <w:tcW w:w="555" w:type="dxa"/>
            <w:vMerge w:val="continue"/>
          </w:tcPr>
          <w:p w14:paraId="23882D1A">
            <w:pPr>
              <w:spacing w:line="240" w:lineRule="atLeast"/>
              <w:jc w:val="left"/>
              <w:rPr>
                <w:rFonts w:ascii="仿宋_GB2312" w:hAnsi="仿宋_GB2312" w:eastAsia="仿宋_GB2312" w:cs="仿宋_GB2312"/>
                <w:sz w:val="20"/>
                <w:szCs w:val="20"/>
              </w:rPr>
            </w:pPr>
          </w:p>
        </w:tc>
        <w:tc>
          <w:tcPr>
            <w:tcW w:w="784" w:type="dxa"/>
            <w:vAlign w:val="center"/>
          </w:tcPr>
          <w:p w14:paraId="7C48B00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96C89E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B7B05C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487C8D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032E29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175" w:type="dxa"/>
            <w:vAlign w:val="center"/>
          </w:tcPr>
          <w:p w14:paraId="6CCE59E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275" w:type="dxa"/>
            <w:vAlign w:val="center"/>
          </w:tcPr>
          <w:p w14:paraId="74022D2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595E8F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255" w:type="dxa"/>
            <w:vAlign w:val="center"/>
          </w:tcPr>
          <w:p w14:paraId="46858C5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5AE987D">
            <w:pPr>
              <w:spacing w:line="240" w:lineRule="atLeast"/>
              <w:jc w:val="left"/>
              <w:rPr>
                <w:rFonts w:ascii="仿宋_GB2312" w:hAnsi="仿宋_GB2312" w:eastAsia="仿宋_GB2312" w:cs="仿宋_GB2312"/>
                <w:sz w:val="20"/>
                <w:szCs w:val="20"/>
              </w:rPr>
            </w:pPr>
          </w:p>
        </w:tc>
      </w:tr>
      <w:tr w14:paraId="5C9D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DB3ED6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193</w:t>
            </w:r>
          </w:p>
        </w:tc>
        <w:tc>
          <w:tcPr>
            <w:tcW w:w="555" w:type="dxa"/>
            <w:vAlign w:val="center"/>
          </w:tcPr>
          <w:p w14:paraId="4F2AE8A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293C1EB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矿产资源、地质遗迹保护监督检查</w:t>
            </w:r>
          </w:p>
        </w:tc>
        <w:tc>
          <w:tcPr>
            <w:tcW w:w="660" w:type="dxa"/>
            <w:vAlign w:val="center"/>
          </w:tcPr>
          <w:p w14:paraId="5DF70D8C">
            <w:pPr>
              <w:snapToGrid w:val="0"/>
              <w:spacing w:line="240" w:lineRule="atLeast"/>
              <w:jc w:val="center"/>
              <w:rPr>
                <w:rFonts w:ascii="仿宋_GB2312" w:hAnsi="仿宋_GB2312" w:eastAsia="仿宋_GB2312" w:cs="仿宋_GB2312"/>
                <w:sz w:val="20"/>
                <w:szCs w:val="20"/>
              </w:rPr>
            </w:pPr>
          </w:p>
        </w:tc>
        <w:tc>
          <w:tcPr>
            <w:tcW w:w="615" w:type="dxa"/>
            <w:vAlign w:val="center"/>
          </w:tcPr>
          <w:p w14:paraId="541EF60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C7A18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5175" w:type="dxa"/>
            <w:vAlign w:val="center"/>
          </w:tcPr>
          <w:p w14:paraId="2F56657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 第十一条：国务院地质矿产主管部门主管全国矿产资源勘查、开采的监督管理工作。国务院有关主管部门协助国务院地质矿产主管部门进行矿产资源勘查、开采的监督管理工作。</w:t>
            </w:r>
          </w:p>
          <w:p w14:paraId="1BA0574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矿产资源监督管理暂行办法》（1987年4月29日国务院发布）第四条：省、自治区、直辖市人民政府地质矿产主管部门对执行本办法负有下列职责：一、根据本办法和有关法规，对本地区矿山企业的矿产资源开发利用与保护工作进行监督管理和指导；二、根据需要向重点矿山企业派出矿产督察员，向矿山企业集中的地区派出巡回矿产督察员。</w:t>
            </w:r>
          </w:p>
          <w:p w14:paraId="395BD2A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部门规章】《地质遗迹保护管理规定》（1995年地质矿产部令第21号）第六条：国务院地质矿产行政主管部门在国务院环境保护行政主管部门协助下，对全国地质遗迹保护实施监督管理。县级以上人民政府地质矿产行政主管部门在同级环境保护行政主管部门协助下，对本辖区内的地质遗迹保护实施监督管理。</w:t>
            </w:r>
          </w:p>
          <w:p w14:paraId="65D6827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4．【行政法规】《古生物化石保护条例》（2010年国务院令第580号公布, 2019年3月国务院令第709号令修订）第十九条：县级以上人民政府自然资源主管部门应当加强对古生物化石发掘活动的监督检查，发现未经依法批准擅自发掘古生物化石，或者不按照批准的发掘方案发掘古生物化石的，应当依法予以处理。</w:t>
            </w:r>
          </w:p>
          <w:p w14:paraId="3994D7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5．【地方性法规】《广西壮族自治区钟乳石资源保护条例》（2002年5月31日广西壮族自治区第九届人民代表大会常务委员会第三十次会议通过， 2020年3月27日广西壮族自治区第十三届人民代表大会常务委员会第十四次会议第四次修正）第五条：县级以上自然资源主管部门负责本行政区域内钟乳石资源的保护监督工作，市场监督管理、文化和旅游、公安、交通运输、海关、水利、住房和城乡建设、生态环境等有关主管部门按照各自的职责协助自然资源主管部门做好钟乳石资源的保护、监督工作。</w:t>
            </w:r>
          </w:p>
        </w:tc>
        <w:tc>
          <w:tcPr>
            <w:tcW w:w="4275" w:type="dxa"/>
            <w:vAlign w:val="center"/>
          </w:tcPr>
          <w:p w14:paraId="4224593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1.告知责任：自然资源主管部门告知检查内容。</w:t>
            </w:r>
          </w:p>
          <w:p w14:paraId="2803F2B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2.检查责任：被检企业或者个人应配合监督检查；检查单位应当按照检查要求，开展检查工作。</w:t>
            </w:r>
          </w:p>
          <w:p w14:paraId="74E6E06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3.处理责任：通报处理本行政区域对企业或者个人矿产资源开发利用情况。</w:t>
            </w:r>
          </w:p>
          <w:p w14:paraId="211085E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4．监管责任：强化矿产资源开发利用监督管理。</w:t>
            </w:r>
          </w:p>
          <w:p w14:paraId="49EADAB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255" w:type="dxa"/>
            <w:vAlign w:val="center"/>
          </w:tcPr>
          <w:p w14:paraId="53ADBDE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1.【行政法规】《矿产资源监督管理暂行办法》（1987年4月29日国务院发布）第四条：省、自治区、直辖市人民政府地质矿产主管部门对执行本办法负有下列职责： 一、根据本办法和有关法规，对本地区矿山企业的矿产资源开发利用与保护工作进行监督管理和指导；二、根据需要向重点矿山企业派出矿产督察员，向矿山企业集中的地区派出巡回矿产督察员。</w:t>
            </w:r>
          </w:p>
          <w:p w14:paraId="57F5C4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行政法规】《矿产资源监督管理暂行办法》（1987年4月29日国务院发布）第二十五条：矿山企业上报的矿产资源开发利用资料数据必须准确可靠。虚报瞒报的，依照《中华人民共和国统计法》的有关规定追究责任。对保密资料，应当按照国家有关保密规定执行。</w:t>
            </w:r>
          </w:p>
          <w:p w14:paraId="1106F8E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2—2.【行政法规】《古生物化石保护条例》（2010年国务院令第580号公布， 2019年国务院令第709号修订）第十九条：县级以上人民政府自然资源主管部门应当加强对古生物化石发掘活动的监督检查，发现未经依法批准擅自发掘古生物化石，或者不按照批准的发掘方案发掘古生物化石的，应当依法予以处理。</w:t>
            </w:r>
          </w:p>
          <w:p w14:paraId="5F4C71B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矿产资源法》第三十九条：违反本法规定，未取得采矿许可证擅自采矿的，擅自进入国家规划矿区、对国民经济具有重要价值的矿区范围采矿的，擅自开采国家规定实行保护性开采的特定矿种的，责令停止开采、赔偿损失，没收采出的矿产品和违法所得，可以并处罚款;拒不停止开采，造成矿产资源破坏的，依照刑法有关规定对直接责任人员追究刑事责任。</w:t>
            </w:r>
          </w:p>
          <w:p w14:paraId="289C0F2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部门规章】《地质遗迹保护管理规定》（1995年地质矿产部令第21号）第二十条：有下列行为之一者，地质遗迹保护区管理机构可根据《中华人民共和国自然保护区条例》的有关规定，视不同情节，分别给予警告、罚款、没收非法所得，并责令赔偿损失。</w:t>
            </w:r>
          </w:p>
          <w:p w14:paraId="44DFE46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一、违反本规定第十四条，擅自移动和破坏碑石、界标的;</w:t>
            </w:r>
          </w:p>
          <w:p w14:paraId="150A09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二、违反本规定第十七条，进行采石、取土、开矿、放牧、砍伐以及采集标本化石的;</w:t>
            </w:r>
          </w:p>
          <w:p w14:paraId="3AA2515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三、违反本规定第十八条，对地质遗迹造成污染和破坏的;</w:t>
            </w:r>
          </w:p>
          <w:p w14:paraId="25C403A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4．同1。</w:t>
            </w:r>
          </w:p>
        </w:tc>
        <w:tc>
          <w:tcPr>
            <w:tcW w:w="330" w:type="dxa"/>
            <w:vAlign w:val="center"/>
          </w:tcPr>
          <w:p w14:paraId="2308533B">
            <w:pPr>
              <w:snapToGrid w:val="0"/>
              <w:spacing w:line="240" w:lineRule="atLeast"/>
              <w:jc w:val="center"/>
              <w:rPr>
                <w:rFonts w:ascii="仿宋_GB2312" w:hAnsi="仿宋_GB2312" w:eastAsia="仿宋_GB2312" w:cs="仿宋_GB2312"/>
                <w:sz w:val="20"/>
                <w:szCs w:val="20"/>
              </w:rPr>
            </w:pPr>
          </w:p>
        </w:tc>
      </w:tr>
    </w:tbl>
    <w:p w14:paraId="290AEADF"/>
    <w:p w14:paraId="5CE86C73"/>
    <w:p w14:paraId="72D788C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79C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B000862">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43E1427">
            <w:pPr>
              <w:spacing w:line="240" w:lineRule="atLeast"/>
              <w:rPr>
                <w:rFonts w:asciiTheme="majorEastAsia" w:hAnsiTheme="majorEastAsia" w:eastAsiaTheme="majorEastAsia" w:cstheme="majorEastAsia"/>
                <w:spacing w:val="-20"/>
                <w:sz w:val="20"/>
                <w:szCs w:val="20"/>
              </w:rPr>
            </w:pPr>
          </w:p>
          <w:p w14:paraId="3C0E63F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B1B3A9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1BFB08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7B840F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662A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AC295AC">
            <w:pPr>
              <w:spacing w:line="240" w:lineRule="atLeast"/>
              <w:jc w:val="left"/>
              <w:rPr>
                <w:rFonts w:ascii="仿宋_GB2312" w:hAnsi="仿宋_GB2312" w:eastAsia="仿宋_GB2312" w:cs="仿宋_GB2312"/>
                <w:sz w:val="20"/>
                <w:szCs w:val="20"/>
              </w:rPr>
            </w:pPr>
          </w:p>
        </w:tc>
        <w:tc>
          <w:tcPr>
            <w:tcW w:w="555" w:type="dxa"/>
            <w:vMerge w:val="continue"/>
          </w:tcPr>
          <w:p w14:paraId="1097EF87">
            <w:pPr>
              <w:spacing w:line="240" w:lineRule="atLeast"/>
              <w:jc w:val="left"/>
              <w:rPr>
                <w:rFonts w:ascii="仿宋_GB2312" w:hAnsi="仿宋_GB2312" w:eastAsia="仿宋_GB2312" w:cs="仿宋_GB2312"/>
                <w:sz w:val="20"/>
                <w:szCs w:val="20"/>
              </w:rPr>
            </w:pPr>
          </w:p>
        </w:tc>
        <w:tc>
          <w:tcPr>
            <w:tcW w:w="784" w:type="dxa"/>
            <w:vAlign w:val="center"/>
          </w:tcPr>
          <w:p w14:paraId="11B49AC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A80AF4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E092EB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D903BF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FEAF0E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097EE3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4B59F7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582B84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F14F661">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6CAC1F3">
            <w:pPr>
              <w:spacing w:line="240" w:lineRule="atLeast"/>
              <w:jc w:val="left"/>
              <w:rPr>
                <w:rFonts w:ascii="仿宋_GB2312" w:hAnsi="仿宋_GB2312" w:eastAsia="仿宋_GB2312" w:cs="仿宋_GB2312"/>
                <w:sz w:val="20"/>
                <w:szCs w:val="20"/>
              </w:rPr>
            </w:pPr>
          </w:p>
        </w:tc>
      </w:tr>
      <w:tr w14:paraId="2A1F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B20121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194</w:t>
            </w:r>
          </w:p>
        </w:tc>
        <w:tc>
          <w:tcPr>
            <w:tcW w:w="555" w:type="dxa"/>
            <w:vAlign w:val="center"/>
          </w:tcPr>
          <w:p w14:paraId="1C56B17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2F09EEB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测绘成果质量监督检查</w:t>
            </w:r>
          </w:p>
        </w:tc>
        <w:tc>
          <w:tcPr>
            <w:tcW w:w="660" w:type="dxa"/>
            <w:vAlign w:val="center"/>
          </w:tcPr>
          <w:p w14:paraId="65AA6F59">
            <w:pPr>
              <w:snapToGrid w:val="0"/>
              <w:spacing w:line="240" w:lineRule="atLeast"/>
              <w:jc w:val="center"/>
              <w:rPr>
                <w:rFonts w:ascii="仿宋_GB2312" w:hAnsi="仿宋_GB2312" w:eastAsia="仿宋_GB2312" w:cs="仿宋_GB2312"/>
                <w:sz w:val="20"/>
                <w:szCs w:val="20"/>
              </w:rPr>
            </w:pPr>
          </w:p>
        </w:tc>
        <w:tc>
          <w:tcPr>
            <w:tcW w:w="615" w:type="dxa"/>
            <w:vAlign w:val="center"/>
          </w:tcPr>
          <w:p w14:paraId="3AB19E4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E827C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33A6BA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1.【法律】《中华人民共和国测绘法》第三十九条：测绘单位应当对完成的测绘成果质量负责。县级以上人民政府测绘地理信息主管部门应当加强对测绘成果质量的监督管理。</w:t>
            </w:r>
          </w:p>
          <w:p w14:paraId="1C82259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测绘成果质量监督抽查管理办法》（国测国发〔2010〕9号）第三条：国家测绘局负责组织实施全国质量监督抽查工作。县级以上地方人民政府测绘行政主管部门负责组织实施本行政区域内质量监督抽查工作。</w:t>
            </w:r>
          </w:p>
        </w:tc>
        <w:tc>
          <w:tcPr>
            <w:tcW w:w="3585" w:type="dxa"/>
            <w:vAlign w:val="center"/>
          </w:tcPr>
          <w:p w14:paraId="0100914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1.告知责任：制定本级测绘成果质量监督检查工作方案，并予以通告。工作方案内容包括承检单位名称、检验依据、方法、程序等。</w:t>
            </w:r>
          </w:p>
          <w:p w14:paraId="50FB226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测绘单位应配合监督检查；检查人员应当保守受检测绘成果涉及的技术秘密、商业秘密，履行检验过程的保密职责。检验过程中，检验单位应当按照技术方案规定的程序，开展检验工作。检验单位可根据需要，向测绘项目出资人、设计单位、施测单位、质检单位等调查、了解项目相关情况，实施现场检验。</w:t>
            </w:r>
          </w:p>
          <w:p w14:paraId="138229C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查的单位对检查结果有异议的，应当在收到检验结果之日起15日内，向组织实施的自然资源主管部门提出书面异议报告，并抄送检验单位。检验单位应在收到异议报告之日起十个工作日内做出复验结论。</w:t>
            </w:r>
          </w:p>
          <w:p w14:paraId="049D75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4．监管责任：制定措施，强化测绘成果质量管理与市场监管。</w:t>
            </w:r>
          </w:p>
          <w:p w14:paraId="3F3F815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7563A19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测绘成果质量监督抽查管理办法》（国测国发〔2010〕9号）第七条：测绘行政主管部门组织实施质量监督抽查时，应当制定工作方案，发布通告，开具通知单，审批技术方案。第十一条：检验单位应当制定技术方案，技术方案经测绘行政主管部门批准后，检验单位组织具备相应专业知识和技术能力的检验人员，开展检验工作。</w:t>
            </w:r>
          </w:p>
          <w:p w14:paraId="60A1533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规范性文件】《测绘成果质量监督抽查管理办法》（国测国发〔2010〕9号）第十三条：检验开始时，检验单位应当组织召开首次会，向受检单位出示测绘行政主管部门开具的监督抽查通知单，并告知检验依据、方法、程序等。检验过程中，检验单位应当按照技术方案规定的程序，开展检验工作。检验单位可根据需要，向测绘项目出资人、设计单位、施测单位、质检单位等调查、了解项目相关情况，实施现场检验。检验完成后，检验单位应当组织召开末次会，通报检验中发现的问题，提出改进意见和建议。</w:t>
            </w:r>
          </w:p>
          <w:p w14:paraId="09F1A29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2—2.【规范性文件】《测绘成果质量监督抽查管理办法》（国测国发〔2010〕9号） 第十四条：受检单位应当配合监督检验工作，提供与受检项目相关的合同、质量文件、成果资料、仪器检定资料等，对检验所需的仪器、设备等给予配合和协助。第十五条：对依法进行的测绘成果质量监督检验，受检单位不得拒绝。拒绝接受监督检验的，受检的测绘项目成果质量按照“批不合格”处理。</w:t>
            </w:r>
          </w:p>
          <w:p w14:paraId="01E3762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规范性文件】《测绘成果质量监督抽查管理办法》（国测国发〔2010〕9号）第十七条：受检单位对监督检验结论有异议的，可以自收到检验结论之日起十五个工作日内向组织实施质量监督抽查的测绘行政主管部门提出书面异议报告，并抄送检验单位。逾期未提出异议的，视为认可检验结论。第十八条：检验单位应当自收到受检单位书面异议报告之日起十个工作日内作出复验结论，并报组织实施质量监督抽查的测绘行政主管部门。</w:t>
            </w:r>
          </w:p>
          <w:p w14:paraId="32A122D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规范性文件】《测绘成果质量监督抽查管理办法》（国测国发〔2010〕9号）第二十三条：质量监督抽查不合格的测绘单位，组织实施质量监督抽查的测绘行政主管部门应当向其下达整改通知书，责令其自整改通知书下发之日起三个月内进行整改，并按原技术方案组织复查。测绘单位整改完成后，必须向组织实施抽查的测绘行政主管部门报送整改情况，申请监督复查。逾期未整改或者未如期提出复查申请的，由实施抽查的测绘行政主管部门组织进行强制复查。测绘成果质量监督抽查不合格的，或复查仍不合格的，测绘行政主管部门依照《测绘法》及有关法律、法规的规定予以处理。</w:t>
            </w:r>
          </w:p>
          <w:p w14:paraId="3AE7F2E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测绘地理信息质量管理办法》（国测国发〔2015〕17号）第三条：国家测绘地理信息局负责全国测绘地理信息质量的统一监督管理。县级以上地方人民政府测绘地理信息行政主管部门负责本行政区域内测绘地理信息质量监督管理。</w:t>
            </w:r>
          </w:p>
        </w:tc>
        <w:tc>
          <w:tcPr>
            <w:tcW w:w="330" w:type="dxa"/>
            <w:vAlign w:val="center"/>
          </w:tcPr>
          <w:p w14:paraId="555BA0CF">
            <w:pPr>
              <w:snapToGrid w:val="0"/>
              <w:spacing w:line="240" w:lineRule="atLeast"/>
              <w:jc w:val="center"/>
              <w:rPr>
                <w:rFonts w:ascii="仿宋_GB2312" w:hAnsi="仿宋_GB2312" w:eastAsia="仿宋_GB2312" w:cs="仿宋_GB2312"/>
                <w:sz w:val="20"/>
                <w:szCs w:val="20"/>
              </w:rPr>
            </w:pPr>
          </w:p>
        </w:tc>
      </w:tr>
    </w:tbl>
    <w:p w14:paraId="2E49ACD2"/>
    <w:p w14:paraId="3ECE49CD"/>
    <w:p w14:paraId="399329E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671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4F23316">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11C8F74">
            <w:pPr>
              <w:spacing w:line="240" w:lineRule="atLeast"/>
              <w:rPr>
                <w:rFonts w:asciiTheme="majorEastAsia" w:hAnsiTheme="majorEastAsia" w:eastAsiaTheme="majorEastAsia" w:cstheme="majorEastAsia"/>
                <w:spacing w:val="-20"/>
                <w:sz w:val="20"/>
                <w:szCs w:val="20"/>
              </w:rPr>
            </w:pPr>
          </w:p>
          <w:p w14:paraId="6EDE366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59E78C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336094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2A5023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29C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4A2297A">
            <w:pPr>
              <w:spacing w:line="240" w:lineRule="atLeast"/>
              <w:jc w:val="left"/>
              <w:rPr>
                <w:rFonts w:ascii="仿宋_GB2312" w:hAnsi="仿宋_GB2312" w:eastAsia="仿宋_GB2312" w:cs="仿宋_GB2312"/>
                <w:sz w:val="20"/>
                <w:szCs w:val="20"/>
              </w:rPr>
            </w:pPr>
          </w:p>
        </w:tc>
        <w:tc>
          <w:tcPr>
            <w:tcW w:w="555" w:type="dxa"/>
            <w:vMerge w:val="continue"/>
          </w:tcPr>
          <w:p w14:paraId="1867AFE1">
            <w:pPr>
              <w:spacing w:line="240" w:lineRule="atLeast"/>
              <w:jc w:val="left"/>
              <w:rPr>
                <w:rFonts w:ascii="仿宋_GB2312" w:hAnsi="仿宋_GB2312" w:eastAsia="仿宋_GB2312" w:cs="仿宋_GB2312"/>
                <w:sz w:val="20"/>
                <w:szCs w:val="20"/>
              </w:rPr>
            </w:pPr>
          </w:p>
        </w:tc>
        <w:tc>
          <w:tcPr>
            <w:tcW w:w="784" w:type="dxa"/>
            <w:vAlign w:val="center"/>
          </w:tcPr>
          <w:p w14:paraId="400885D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3057A7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E04D8E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DCC912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BE52C0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9C745B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2C01E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9DECB4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36C934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85AB074">
            <w:pPr>
              <w:spacing w:line="240" w:lineRule="atLeast"/>
              <w:jc w:val="left"/>
              <w:rPr>
                <w:rFonts w:ascii="仿宋_GB2312" w:hAnsi="仿宋_GB2312" w:eastAsia="仿宋_GB2312" w:cs="仿宋_GB2312"/>
                <w:sz w:val="20"/>
                <w:szCs w:val="20"/>
              </w:rPr>
            </w:pPr>
          </w:p>
        </w:tc>
      </w:tr>
      <w:tr w14:paraId="33A6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7AEDF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195</w:t>
            </w:r>
          </w:p>
        </w:tc>
        <w:tc>
          <w:tcPr>
            <w:tcW w:w="555" w:type="dxa"/>
            <w:vAlign w:val="center"/>
          </w:tcPr>
          <w:p w14:paraId="65C1268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7237762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对外国的组织或者个人来华测绘的监督检查</w:t>
            </w:r>
          </w:p>
        </w:tc>
        <w:tc>
          <w:tcPr>
            <w:tcW w:w="660" w:type="dxa"/>
            <w:vAlign w:val="center"/>
          </w:tcPr>
          <w:p w14:paraId="451F1F93">
            <w:pPr>
              <w:snapToGrid w:val="0"/>
              <w:spacing w:line="240" w:lineRule="atLeast"/>
              <w:jc w:val="center"/>
              <w:rPr>
                <w:rFonts w:ascii="仿宋_GB2312" w:hAnsi="仿宋_GB2312" w:eastAsia="仿宋_GB2312" w:cs="仿宋_GB2312"/>
                <w:sz w:val="20"/>
                <w:szCs w:val="20"/>
              </w:rPr>
            </w:pPr>
          </w:p>
        </w:tc>
        <w:tc>
          <w:tcPr>
            <w:tcW w:w="615" w:type="dxa"/>
            <w:vAlign w:val="center"/>
          </w:tcPr>
          <w:p w14:paraId="5C8517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81CC77C">
            <w:pPr>
              <w:snapToGrid w:val="0"/>
              <w:spacing w:line="240" w:lineRule="atLeast"/>
              <w:jc w:val="center"/>
              <w:rPr>
                <w:rFonts w:ascii="仿宋_GB2312" w:hAnsi="仿宋_GB2312" w:eastAsia="仿宋_GB2312" w:cs="仿宋_GB2312"/>
                <w:sz w:val="20"/>
                <w:szCs w:val="20"/>
              </w:rPr>
            </w:pPr>
          </w:p>
        </w:tc>
        <w:tc>
          <w:tcPr>
            <w:tcW w:w="4605" w:type="dxa"/>
            <w:vAlign w:val="center"/>
          </w:tcPr>
          <w:p w14:paraId="719AE5C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八条：外国的组织或者个人在中华人民共和国领域和中华人民共和国管辖的其他海域从事测绘活动，应当经国务院测绘地理信息主管部门会同军队测绘部门批准，并遵守中华人民共和国有关法律、行政法规的规定。</w:t>
            </w:r>
          </w:p>
          <w:p w14:paraId="7C4BA8E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外国的组织或者个人在中华人民共和国领域从事测绘活动，应当与中华人民共和国有关部门或者单位合作进行，并不得涉及国家秘密和危害国家安全。</w:t>
            </w:r>
          </w:p>
          <w:p w14:paraId="39B0B99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修订）第四十九条：外国的组织或者个人在本自治区行政区域从事测绘活动，必须持国务院测绘行政主管部门会同军队测绘主管部门的批准文件，报自治区人民政府测绘行政主管部门备案后，按照法律、行政法规的规定，在批准的区域和范围内从事测绘活动，并接受当地测绘行政主管部门的监督管理。</w:t>
            </w:r>
          </w:p>
          <w:p w14:paraId="12EE45A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3.【部门规章】《外国的组织或者个人来华测绘管理暂行办法》（2007年国土资源部令第38号公布，2019年自然资源部第5号令第二次修正）第十六条： 县级以上地方人民政府自然资源主管部门，应当加强对本行政区域内来华测绘的监督管理，定期对下列内容进行检查：（一）是否涉及国家安全和秘密；（二）是否在《测绘资质证书》载明的业务范围内进行；（三）是否按照国务院自然资源主管部门批准的内容进行；（四）是否按照《中华人民共和国测绘成果管理条例》的有关规定汇交测绘成果副本或者目录；（五）是否保证了中方测绘人员全程参与具体测绘活动。</w:t>
            </w:r>
          </w:p>
        </w:tc>
        <w:tc>
          <w:tcPr>
            <w:tcW w:w="3585" w:type="dxa"/>
            <w:vAlign w:val="center"/>
          </w:tcPr>
          <w:p w14:paraId="0230765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1.告知责任：自然资源主管部门告知检查内容。</w:t>
            </w:r>
          </w:p>
          <w:p w14:paraId="5FD392F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2.检查责任：被检外国的组织或者个人应配合监督检查；检查单位应当按照检查方案规定的程序，开展检查工作。</w:t>
            </w:r>
          </w:p>
          <w:p w14:paraId="5297EEC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3.处理责任：通报本行政区域对外国组织或者个人来华测绘的监督检查情况。</w:t>
            </w:r>
          </w:p>
          <w:p w14:paraId="1BDDD7A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4．监管责任：强化测绘市场对外国的组织或者个人来华测绘的监督检查管理。</w:t>
            </w:r>
          </w:p>
          <w:p w14:paraId="5AAB5C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4AC0355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1.【部门规章】《外国的组织或者个人来华测绘管理暂行办法》（2007年国土资源部令第38号公布，2019年自然资源部第5号令第二次修正））第十六条： 县级以上地方人民政府自然资源主管部门，应当加强对本行政区域内来华测绘的监督管理，定期对下列内容进行检查：（一）是否涉及国家安全和秘密；（二）是否在《测绘资质证书》载明的业务范围内进行；（三）是否按照国务院自然资源主管部门批准的内容进行；（四）是否按照《中华人民共和国测绘成果管理条例》的有关规定汇交测绘成果副本或者目录；（五）是否保证了中方测绘人员全程参与具体测绘活动。</w:t>
            </w:r>
          </w:p>
          <w:p w14:paraId="2948D06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17EB541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0725800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4—1.【规范性文件】《国务院办公厅转发测绘局等部门关于整顿和规范地理信息市场秩序意见的通知》（国办发〔2009〕4号）二（四）加强对外国组织和个人来华测绘活动的监管。</w:t>
            </w:r>
          </w:p>
          <w:p w14:paraId="3D2ADC9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4—2.【部门规章】《外国的组织或者个人来华测绘管理暂行办法》（2007年国土资源部令第38号公布，2019年自然资源部第5号令第二次修正））第四条第二款 ： 县级以上各级人民政府自然资源主管部门依照法律、行政法规和规章的规定，对来华测绘履行监督管理职责。</w:t>
            </w:r>
          </w:p>
          <w:p w14:paraId="432BE3E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3【地方性法规】《广西壮族自治区测绘管理条例》第四十九条：：外国的组织或者个人在本自治区行政区域从事测绘活动，必须持国务院测绘行政主管部门会同军队测绘主管部门的批准文件，报自治区人民政府测绘行政主管部门备案后，按照法律、行政法规的规定，在批准的区域和范围内从事测绘活动，并接受当地测绘行政主管部门的监督管理。</w:t>
            </w:r>
          </w:p>
        </w:tc>
        <w:tc>
          <w:tcPr>
            <w:tcW w:w="330" w:type="dxa"/>
            <w:vAlign w:val="center"/>
          </w:tcPr>
          <w:p w14:paraId="5D509105">
            <w:pPr>
              <w:snapToGrid w:val="0"/>
              <w:spacing w:line="240" w:lineRule="atLeast"/>
              <w:jc w:val="center"/>
              <w:rPr>
                <w:rFonts w:ascii="仿宋_GB2312" w:hAnsi="仿宋_GB2312" w:eastAsia="仿宋_GB2312" w:cs="仿宋_GB2312"/>
                <w:sz w:val="20"/>
                <w:szCs w:val="20"/>
              </w:rPr>
            </w:pPr>
          </w:p>
        </w:tc>
      </w:tr>
    </w:tbl>
    <w:p w14:paraId="73470FA0"/>
    <w:p w14:paraId="62DE2D8B"/>
    <w:p w14:paraId="375EACE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635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67A36B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E5BDDD7">
            <w:pPr>
              <w:spacing w:line="240" w:lineRule="atLeast"/>
              <w:rPr>
                <w:rFonts w:asciiTheme="majorEastAsia" w:hAnsiTheme="majorEastAsia" w:eastAsiaTheme="majorEastAsia" w:cstheme="majorEastAsia"/>
                <w:spacing w:val="-20"/>
                <w:sz w:val="20"/>
                <w:szCs w:val="20"/>
              </w:rPr>
            </w:pPr>
          </w:p>
          <w:p w14:paraId="0930801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1AB164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1BF6A2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74AF4E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6AA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D30F093">
            <w:pPr>
              <w:spacing w:line="240" w:lineRule="atLeast"/>
              <w:jc w:val="left"/>
              <w:rPr>
                <w:rFonts w:ascii="仿宋_GB2312" w:hAnsi="仿宋_GB2312" w:eastAsia="仿宋_GB2312" w:cs="仿宋_GB2312"/>
                <w:sz w:val="20"/>
                <w:szCs w:val="20"/>
              </w:rPr>
            </w:pPr>
          </w:p>
        </w:tc>
        <w:tc>
          <w:tcPr>
            <w:tcW w:w="555" w:type="dxa"/>
            <w:vMerge w:val="continue"/>
          </w:tcPr>
          <w:p w14:paraId="7DAEFA0C">
            <w:pPr>
              <w:spacing w:line="240" w:lineRule="atLeast"/>
              <w:jc w:val="left"/>
              <w:rPr>
                <w:rFonts w:ascii="仿宋_GB2312" w:hAnsi="仿宋_GB2312" w:eastAsia="仿宋_GB2312" w:cs="仿宋_GB2312"/>
                <w:sz w:val="20"/>
                <w:szCs w:val="20"/>
              </w:rPr>
            </w:pPr>
          </w:p>
        </w:tc>
        <w:tc>
          <w:tcPr>
            <w:tcW w:w="784" w:type="dxa"/>
            <w:vAlign w:val="center"/>
          </w:tcPr>
          <w:p w14:paraId="1F272EC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B0E6B8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695005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73ACFE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C966F6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CEF3C5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F34540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05419A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010A1D7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200194D">
            <w:pPr>
              <w:spacing w:line="240" w:lineRule="atLeast"/>
              <w:jc w:val="left"/>
              <w:rPr>
                <w:rFonts w:ascii="仿宋_GB2312" w:hAnsi="仿宋_GB2312" w:eastAsia="仿宋_GB2312" w:cs="仿宋_GB2312"/>
                <w:sz w:val="20"/>
                <w:szCs w:val="20"/>
              </w:rPr>
            </w:pPr>
          </w:p>
        </w:tc>
      </w:tr>
      <w:tr w14:paraId="372E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7CEE64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196</w:t>
            </w:r>
          </w:p>
        </w:tc>
        <w:tc>
          <w:tcPr>
            <w:tcW w:w="555" w:type="dxa"/>
            <w:vAlign w:val="center"/>
          </w:tcPr>
          <w:p w14:paraId="37405A8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4C202E2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对涉密测绘成果领用单位的保密检查</w:t>
            </w:r>
          </w:p>
        </w:tc>
        <w:tc>
          <w:tcPr>
            <w:tcW w:w="660" w:type="dxa"/>
            <w:vAlign w:val="center"/>
          </w:tcPr>
          <w:p w14:paraId="7D23137F">
            <w:pPr>
              <w:snapToGrid w:val="0"/>
              <w:spacing w:line="240" w:lineRule="atLeast"/>
              <w:jc w:val="center"/>
              <w:rPr>
                <w:rFonts w:ascii="仿宋_GB2312" w:hAnsi="仿宋_GB2312" w:eastAsia="仿宋_GB2312" w:cs="仿宋_GB2312"/>
                <w:sz w:val="20"/>
                <w:szCs w:val="20"/>
              </w:rPr>
            </w:pPr>
          </w:p>
        </w:tc>
        <w:tc>
          <w:tcPr>
            <w:tcW w:w="615" w:type="dxa"/>
            <w:vAlign w:val="center"/>
          </w:tcPr>
          <w:p w14:paraId="1108819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66F31C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774CD34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1.【法律】《中华人民共和国测绘法》第四十六条：县级以上人民政府测绘地理信息主管部门应当会同本级人民政府其他有关部门建立地理信息安全管理制度和技术防控体系，并加强对地理信息安全的监督管理。</w:t>
            </w:r>
          </w:p>
          <w:p w14:paraId="421209E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保守国家秘密法》第六条：国家机关和涉及国家秘密的单位（以下简称机关、单位）管理本机关和本单位的保密工作。中央国家机关在其职权范围内，管理或者指导本系统的保密工作。</w:t>
            </w:r>
          </w:p>
          <w:p w14:paraId="394237F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3.【地方性法规】《广西壮族自治区测绘管理条例》（1995年自治区第八届人民代表大会常务委员会第14次会议通过，2019年修订）第二十六条：测绘成果属于国家秘密的，适用国家保密法律、行政法规的规定。</w:t>
            </w:r>
          </w:p>
          <w:p w14:paraId="02146B2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关于加强涉密测绘地理信息安全管理的通知》（国测成发〔2012〕11号）四、强化涉密测绘地理信息监管措施（四）建立健全监管机制。各级测绘地理信息行政主管部门要切实加强组织领导，明确涉密测绘地理信息安全监管工作的具体承担机构，责任落实到人。建立健全长效监管机制，联合保密行政管理部门，定期组织开展涉密测绘地理信息安全保密检查，尤其加强对重点单位、重点环节的安全检查。切实加强与保密、国家安全、公安等有关部门的配合，及时组织查处涉密测绘地理信息违法案件，严厉打击窃取、刺探、买卖和非法提供涉密测绘地理信息的行为。</w:t>
            </w:r>
          </w:p>
        </w:tc>
        <w:tc>
          <w:tcPr>
            <w:tcW w:w="3585" w:type="dxa"/>
            <w:vAlign w:val="center"/>
          </w:tcPr>
          <w:p w14:paraId="37BF53D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1.告知责任：制定省级地理信息安全监督检查工作通知。通知内容包括检查主体、检查范围、检查内容、组织实施、时间安排和工作要求等事项。</w:t>
            </w:r>
          </w:p>
          <w:p w14:paraId="01212FA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查单位应配合监督检查；检查人员应当保守受检测绘成果涉及的技术秘密、商业秘密，履行检验过程的保密职责。检查过程中，检查组应当按照通知事项开展检查工作。检查组可根据需要，要求被检查单位提供相关设备、制度、人员和证件等必要检查资料，并配合现场检查。</w:t>
            </w:r>
          </w:p>
          <w:p w14:paraId="6964B2D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3.处理责任：被检单位或者个人对检查结果有异议的，应当在收到检查结果之日起15日内，向组织实施的测绘地理信息主管部门提出书面异议报告。</w:t>
            </w:r>
          </w:p>
          <w:p w14:paraId="0DA3228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4．监管责任：加强监管能力建设，加大检查专业队伍建设，加强宣传教育培训，创新监管手段，制定措施，营造监管良好环境，提升全社会自觉维护地理信息安全的共识。</w:t>
            </w:r>
          </w:p>
          <w:p w14:paraId="22887B4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104219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测绘法》第四十六条：县级以上人民政府测绘地理信息主管部门应当会同本级人民政府其他有关部门建立地理信息安全管理制度和技术防控体系，并加强对地理信息安全的监督管理。</w:t>
            </w:r>
          </w:p>
          <w:p w14:paraId="5A774EA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法律】《中华人民共和国保守国家秘密法》第六条：国家机关和涉及国家秘密的单位（以下简称机关、单位）管理本机关和本单位的保密工作。中央国家机关在其职权范围内，管理或者指导本系统的保密工作。</w:t>
            </w:r>
          </w:p>
          <w:p w14:paraId="2820B81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关于加强涉密测绘地理信息安全管理的通知》（国测成发〔2012〕11号）（一）严格涉密测绘成果提供使用审批管理。各级测绘地理信息行政主管部门要依法严格执行涉密测绘成果提供使用审批制度，对涉密测绘成果使用单位提出的使用目的、申请范围及其保密制度建设、保密责任落实、涉密测绘成果保管使用环境设施条件、核心涉密人员持证上岗等情况进行严格审核。</w:t>
            </w:r>
          </w:p>
          <w:p w14:paraId="16F79E6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关于加强涉密测绘地理信息安全管理的通知》（国测成发〔2012〕11号）（二）加强涉密测绘成果跟踪监管。各级测绘地理信息行政主管部门要将批准提供的涉密测绘成果清单及时抄告使用单位所在地的测绘地理信息行政主管部门及其行业主管部门，以便开展日常监督管理。严格督促使用单位在使用目的或项目完成后的六个月内销毁申请使用的涉密测绘成果。对在涉密测绘成果跟踪检查中发现有违法使用和违规管理涉密测绘成果情况的使用单位要列入黑名单，并向全系统通报，在整改措施落实到位前，暂停向其提供涉密测绘成果；属于测绘资质单位的，还要纳入测绘地理信息市场不良信用信息管理范围。   4—1.【规范性文件】《关于加强涉密测绘地理信息安全管理的通知》（国测成发〔2012〕11号）（三）落实核心涉密人员保密管理制度。各级测绘地理信息行政主管部门要贯彻落实测绘成果核心涉密人员持证上岗制度，加大核心涉密人员岗位培训教育力度。要将涉密测绘地理信息生产和使用单位测绘成果核心涉密人员岗位培训要求纳入涉密测绘成果提供审批管理及测绘资质管理工作中。</w:t>
            </w:r>
          </w:p>
          <w:p w14:paraId="7609E03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规范性文件】《关于加强涉密测绘地理信息安全管理的通知》（国测成发〔2012〕11号）（四）建立健全监管机制。各级测绘地理信息行政主管部门要切实加强组织领导，明确涉密测绘地理信息安全监管工作的具体承担机构，责任落实到人。建立健全长效监管机制，联合保密行政管理部门，定期组织开展涉密测绘地理信息安全保密检查，尤其加强对重点单位、重点环节的安全检查。切实加强与保密、国家安全、公安等有关部门的配合，及时组织查处涉密测绘地理信息违法案件，严厉打击窃取、刺探、买卖和非法提供涉密测绘地理信息的行为。</w:t>
            </w:r>
          </w:p>
          <w:p w14:paraId="2379FFF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3.【规范性文件】《关于加强涉密测绘地理信息安全管理的通知》（国测成发〔2012〕11号）（五）加强监管能力建设。针对信息化条件下的测绘地理信息安全监管要求，加大专业检查队伍建设力度。在管理人员配备、技术人员调配上要认真选择，加强法规、技能培训，培养一支人员精干、业务精通、技术过硬、检查有力的专业检查队伍。积极创新监管手段，研发安全监管技术，切实提升科学监管能力。（六）营造监管良好环境。加强涉密测绘地理信息安全保密法律法规的宣传。重点加强对涉密测绘地理信息生产、保管与使用单位的宣传教育，增强其安全保密观念。加强对涉密测绘地理信息违法案件的宣传，通过“以案说法”，发挥查办案件的警示教育作用，提升全社会自觉维护地理信息安全的共识，为涉密测绘地理信息安全管理营造良好的社会环境。</w:t>
            </w:r>
          </w:p>
        </w:tc>
        <w:tc>
          <w:tcPr>
            <w:tcW w:w="330" w:type="dxa"/>
            <w:vAlign w:val="center"/>
          </w:tcPr>
          <w:p w14:paraId="47FECB5D">
            <w:pPr>
              <w:snapToGrid w:val="0"/>
              <w:spacing w:line="240" w:lineRule="atLeast"/>
              <w:jc w:val="center"/>
              <w:rPr>
                <w:rFonts w:ascii="仿宋_GB2312" w:hAnsi="仿宋_GB2312" w:eastAsia="仿宋_GB2312" w:cs="仿宋_GB2312"/>
                <w:sz w:val="20"/>
                <w:szCs w:val="20"/>
              </w:rPr>
            </w:pPr>
          </w:p>
        </w:tc>
      </w:tr>
    </w:tbl>
    <w:p w14:paraId="30FC0AE3"/>
    <w:p w14:paraId="2B23F505"/>
    <w:p w14:paraId="182F878A"/>
    <w:p w14:paraId="2BA5A31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E34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33D435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0854BD9">
            <w:pPr>
              <w:spacing w:line="240" w:lineRule="atLeast"/>
              <w:rPr>
                <w:rFonts w:asciiTheme="majorEastAsia" w:hAnsiTheme="majorEastAsia" w:eastAsiaTheme="majorEastAsia" w:cstheme="majorEastAsia"/>
                <w:spacing w:val="-20"/>
                <w:sz w:val="20"/>
                <w:szCs w:val="20"/>
              </w:rPr>
            </w:pPr>
          </w:p>
          <w:p w14:paraId="2FCE6F9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AA96D9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036967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A4AAF4B">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385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6E93BB2">
            <w:pPr>
              <w:spacing w:line="240" w:lineRule="atLeast"/>
              <w:jc w:val="left"/>
              <w:rPr>
                <w:rFonts w:ascii="仿宋_GB2312" w:hAnsi="仿宋_GB2312" w:eastAsia="仿宋_GB2312" w:cs="仿宋_GB2312"/>
                <w:sz w:val="20"/>
                <w:szCs w:val="20"/>
              </w:rPr>
            </w:pPr>
          </w:p>
        </w:tc>
        <w:tc>
          <w:tcPr>
            <w:tcW w:w="555" w:type="dxa"/>
            <w:vMerge w:val="continue"/>
          </w:tcPr>
          <w:p w14:paraId="4791F655">
            <w:pPr>
              <w:spacing w:line="240" w:lineRule="atLeast"/>
              <w:jc w:val="left"/>
              <w:rPr>
                <w:rFonts w:ascii="仿宋_GB2312" w:hAnsi="仿宋_GB2312" w:eastAsia="仿宋_GB2312" w:cs="仿宋_GB2312"/>
                <w:sz w:val="20"/>
                <w:szCs w:val="20"/>
              </w:rPr>
            </w:pPr>
          </w:p>
        </w:tc>
        <w:tc>
          <w:tcPr>
            <w:tcW w:w="784" w:type="dxa"/>
            <w:vAlign w:val="center"/>
          </w:tcPr>
          <w:p w14:paraId="17717BC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416389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F7E707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81A43F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EF029B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FD5E77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BCB9D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2CE3F3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A0B1FB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EB03E9A">
            <w:pPr>
              <w:spacing w:line="240" w:lineRule="atLeast"/>
              <w:jc w:val="left"/>
              <w:rPr>
                <w:rFonts w:ascii="仿宋_GB2312" w:hAnsi="仿宋_GB2312" w:eastAsia="仿宋_GB2312" w:cs="仿宋_GB2312"/>
                <w:sz w:val="20"/>
                <w:szCs w:val="20"/>
              </w:rPr>
            </w:pPr>
          </w:p>
        </w:tc>
      </w:tr>
      <w:tr w14:paraId="5B3C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44CFE7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197</w:t>
            </w:r>
          </w:p>
        </w:tc>
        <w:tc>
          <w:tcPr>
            <w:tcW w:w="555" w:type="dxa"/>
            <w:vAlign w:val="center"/>
          </w:tcPr>
          <w:p w14:paraId="743A123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536B9FC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对地图编制、出版、展示、登载和互联网地图服务的监督检查</w:t>
            </w:r>
          </w:p>
        </w:tc>
        <w:tc>
          <w:tcPr>
            <w:tcW w:w="660" w:type="dxa"/>
            <w:vAlign w:val="center"/>
          </w:tcPr>
          <w:p w14:paraId="58D9FE73">
            <w:pPr>
              <w:snapToGrid w:val="0"/>
              <w:spacing w:line="240" w:lineRule="atLeast"/>
              <w:jc w:val="center"/>
              <w:rPr>
                <w:rFonts w:ascii="仿宋_GB2312" w:hAnsi="仿宋_GB2312" w:eastAsia="仿宋_GB2312" w:cs="仿宋_GB2312"/>
                <w:sz w:val="20"/>
                <w:szCs w:val="20"/>
              </w:rPr>
            </w:pPr>
          </w:p>
        </w:tc>
        <w:tc>
          <w:tcPr>
            <w:tcW w:w="615" w:type="dxa"/>
            <w:vAlign w:val="center"/>
          </w:tcPr>
          <w:p w14:paraId="44F689B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D202F9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1DF58B4D">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八条第三款：县级以上人民政府和测绘地理信息主管部门、网信部门等有关部门应当加强对地图编制、出版、展示、登载和互联网地图服务的监督管理，保证地图质量，维护国家主权、安全和利益。</w:t>
            </w:r>
          </w:p>
          <w:p w14:paraId="10CBEC47">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2.【行政法规】《地图管理条例》（2015年国务院令第664号公布，2016年施行）第二条：在中华人民共和国境内从事向社会公开的地图的编制、审核、出版和互联网地图服务以及监督检查活动，应当遵守本条例。</w:t>
            </w:r>
          </w:p>
          <w:p w14:paraId="02BDB3B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第四十二条：县级以上人民政府及其有关部门应当依法加强对地图编制、出版、展示、登载、生产、销售、进口、出口等活动的监督检查。</w:t>
            </w:r>
          </w:p>
          <w:p w14:paraId="7C13A1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地方性法规】《广西壮族自治区测绘管理条例》（1995年自治区第八届人民代表大会常务委员会第14次会议通过，2019年修订）第二十九条：地图的编制、出版、展示、登载、更新和互联网地图服务等活动应当遵守国家和自治区有关地图管理的规定。</w:t>
            </w:r>
          </w:p>
        </w:tc>
        <w:tc>
          <w:tcPr>
            <w:tcW w:w="3585" w:type="dxa"/>
            <w:vAlign w:val="center"/>
          </w:tcPr>
          <w:p w14:paraId="4C2004E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1.告知责任：发通知告知检查内容。</w:t>
            </w:r>
          </w:p>
          <w:p w14:paraId="02B89960">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2.检查责任：根据举报、调研等情况，确定被检查单位，被检单位或者个人应配合监督检查；检查单位应当按照检查方案规定的程序，开展检查工作。</w:t>
            </w:r>
          </w:p>
          <w:p w14:paraId="3DF9B15D">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3.处理责任：被检单位或者个人对检查结果有异议的，应当在收到检查结果之日起15日内，向组织实施的测绘地理信息主管部门提出书面异议报告。</w:t>
            </w:r>
          </w:p>
          <w:p w14:paraId="5E02D638">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4．监管责任：强化地图市场的监督管理。</w:t>
            </w:r>
          </w:p>
          <w:p w14:paraId="3E7ACED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32356B92">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测绘法》第三十八条第三款：县级以上人民政府和测绘地理信息主管部门、网信部门等有关部门应当加强对地图编制、出版、展示、登载和互联网地图服务的监督管理，保证地图质量，维护国家主权、安全和利益。</w:t>
            </w:r>
          </w:p>
          <w:p w14:paraId="326AF085">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行政法规】《地图管理条例》（2015年国务院令第664号）第二条：在中华人民共和国境内从事向社会公开的地图的编制、审核、出版和互联网地图服务以及监督检查活动，应当遵守本条例。第四十二条：县级以上人民政府及其有关部门应当依法加强对地图编制、出版、展示、登载、生产、销售、进口、出口等活动的监督检查。</w:t>
            </w:r>
          </w:p>
          <w:p w14:paraId="27C8ACD2">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性法规】《广西壮族自治区测绘管理条例》（1995年自治区第八届人民代表大会常务委员会第14次会议通过，2019年修订）第二十九条：地图的编制、出版、展示、登载、更新和互联网地图服务等活动应当遵守国家和自治区有关地图管理的规定。</w:t>
            </w:r>
          </w:p>
          <w:p w14:paraId="2D6399F4">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2.【法律】同1。</w:t>
            </w:r>
          </w:p>
          <w:p w14:paraId="039AFEB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3.【法律】《中华人民共和国行政诉讼法》第四十五条：公民、法人或者其他组织不服复议决定的，可以在收到复议决定书之日起十五日内向人民法院提起诉讼。</w:t>
            </w:r>
          </w:p>
          <w:p w14:paraId="375766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4．【法律】同1。</w:t>
            </w:r>
          </w:p>
        </w:tc>
        <w:tc>
          <w:tcPr>
            <w:tcW w:w="330" w:type="dxa"/>
            <w:vAlign w:val="center"/>
          </w:tcPr>
          <w:p w14:paraId="54D0F5B7">
            <w:pPr>
              <w:snapToGrid w:val="0"/>
              <w:spacing w:line="240" w:lineRule="atLeast"/>
              <w:jc w:val="center"/>
              <w:rPr>
                <w:rFonts w:ascii="仿宋_GB2312" w:hAnsi="仿宋_GB2312" w:eastAsia="仿宋_GB2312" w:cs="仿宋_GB2312"/>
                <w:sz w:val="20"/>
                <w:szCs w:val="20"/>
              </w:rPr>
            </w:pPr>
          </w:p>
        </w:tc>
      </w:tr>
    </w:tbl>
    <w:p w14:paraId="27D1CE4E"/>
    <w:p w14:paraId="3D29C8A4"/>
    <w:p w14:paraId="7F6A7E9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2FF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2A9A10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43813D1">
            <w:pPr>
              <w:spacing w:line="240" w:lineRule="atLeast"/>
              <w:rPr>
                <w:rFonts w:asciiTheme="majorEastAsia" w:hAnsiTheme="majorEastAsia" w:eastAsiaTheme="majorEastAsia" w:cstheme="majorEastAsia"/>
                <w:spacing w:val="-20"/>
                <w:sz w:val="20"/>
                <w:szCs w:val="20"/>
              </w:rPr>
            </w:pPr>
          </w:p>
          <w:p w14:paraId="69F4B3A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ECA43E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503E22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2571DE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899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E8B0843">
            <w:pPr>
              <w:spacing w:line="240" w:lineRule="atLeast"/>
              <w:jc w:val="left"/>
              <w:rPr>
                <w:rFonts w:ascii="仿宋_GB2312" w:hAnsi="仿宋_GB2312" w:eastAsia="仿宋_GB2312" w:cs="仿宋_GB2312"/>
                <w:sz w:val="20"/>
                <w:szCs w:val="20"/>
              </w:rPr>
            </w:pPr>
          </w:p>
        </w:tc>
        <w:tc>
          <w:tcPr>
            <w:tcW w:w="555" w:type="dxa"/>
            <w:vMerge w:val="continue"/>
          </w:tcPr>
          <w:p w14:paraId="7C86DC49">
            <w:pPr>
              <w:spacing w:line="240" w:lineRule="atLeast"/>
              <w:jc w:val="left"/>
              <w:rPr>
                <w:rFonts w:ascii="仿宋_GB2312" w:hAnsi="仿宋_GB2312" w:eastAsia="仿宋_GB2312" w:cs="仿宋_GB2312"/>
                <w:sz w:val="20"/>
                <w:szCs w:val="20"/>
              </w:rPr>
            </w:pPr>
          </w:p>
        </w:tc>
        <w:tc>
          <w:tcPr>
            <w:tcW w:w="784" w:type="dxa"/>
            <w:vAlign w:val="center"/>
          </w:tcPr>
          <w:p w14:paraId="41452AA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44F697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62C547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46BD07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817DA5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F67166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BE4845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358298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47A863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7559B2F">
            <w:pPr>
              <w:spacing w:line="240" w:lineRule="atLeast"/>
              <w:jc w:val="left"/>
              <w:rPr>
                <w:rFonts w:ascii="仿宋_GB2312" w:hAnsi="仿宋_GB2312" w:eastAsia="仿宋_GB2312" w:cs="仿宋_GB2312"/>
                <w:sz w:val="20"/>
                <w:szCs w:val="20"/>
              </w:rPr>
            </w:pPr>
          </w:p>
        </w:tc>
      </w:tr>
      <w:tr w14:paraId="7DDA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919513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198</w:t>
            </w:r>
          </w:p>
        </w:tc>
        <w:tc>
          <w:tcPr>
            <w:tcW w:w="555" w:type="dxa"/>
            <w:vAlign w:val="center"/>
          </w:tcPr>
          <w:p w14:paraId="56CE386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行政检查</w:t>
            </w:r>
          </w:p>
        </w:tc>
        <w:tc>
          <w:tcPr>
            <w:tcW w:w="784" w:type="dxa"/>
            <w:vAlign w:val="center"/>
          </w:tcPr>
          <w:p w14:paraId="2D60DA2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城乡规划编制、审批、实施、修改的监督检查</w:t>
            </w:r>
          </w:p>
        </w:tc>
        <w:tc>
          <w:tcPr>
            <w:tcW w:w="660" w:type="dxa"/>
            <w:vAlign w:val="center"/>
          </w:tcPr>
          <w:p w14:paraId="54C8337F">
            <w:pPr>
              <w:snapToGrid w:val="0"/>
              <w:spacing w:line="240" w:lineRule="atLeast"/>
              <w:jc w:val="center"/>
              <w:rPr>
                <w:rFonts w:ascii="仿宋_GB2312" w:hAnsi="仿宋_GB2312" w:eastAsia="仿宋_GB2312" w:cs="仿宋_GB2312"/>
                <w:sz w:val="20"/>
                <w:szCs w:val="20"/>
              </w:rPr>
            </w:pPr>
          </w:p>
        </w:tc>
        <w:tc>
          <w:tcPr>
            <w:tcW w:w="615" w:type="dxa"/>
            <w:vAlign w:val="center"/>
          </w:tcPr>
          <w:p w14:paraId="7AB5733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D053867">
            <w:pPr>
              <w:snapToGrid w:val="0"/>
              <w:spacing w:line="240" w:lineRule="atLeast"/>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国土空间规划科</w:t>
            </w:r>
          </w:p>
        </w:tc>
        <w:tc>
          <w:tcPr>
            <w:tcW w:w="4605" w:type="dxa"/>
            <w:vAlign w:val="center"/>
          </w:tcPr>
          <w:p w14:paraId="4B431FD1">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1.【法律】《中华人民共和国城乡规划法》第五十一条：县级以上人民政府及其城乡规划主管部门应当加强对城乡规划编制、审批、实施、修改的监督检查。</w:t>
            </w:r>
          </w:p>
          <w:p w14:paraId="61C167A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第五十三条：县级以上人民政府城乡规划主管部门对城乡规划的实施情况进行监督检查，有权采取以下措施：</w:t>
            </w:r>
          </w:p>
          <w:p w14:paraId="04448A71">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（一）要求有关单位和人员提供与监督事项有关的文件、资料，并进行复制；</w:t>
            </w:r>
          </w:p>
          <w:p w14:paraId="10DA5456">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（二）要求有关单位和人员就监督事项涉及的问题作出解释和说明，并根据需要进入现场进行勘测；</w:t>
            </w:r>
          </w:p>
          <w:p w14:paraId="727AC962">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（三）责令有关单位和人员停止违反有关城乡规划的法律、法规的行为。</w:t>
            </w:r>
          </w:p>
          <w:p w14:paraId="4901F42A">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城乡规划主管部门的工作人员履行前款规定的监督检查职责，应当出示执法证件。被监督检查的单位和人员应当予以配合，不得妨碍和阻挠依法进行的监督检查活动。</w:t>
            </w:r>
          </w:p>
          <w:p w14:paraId="606934D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 【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一条：县级以上人民政府及其城乡规划主管部门应当依法加强对城乡规划编制、审查、审批、实施、修改的监督检查；自治区农垦主管部门及其建设规划管理机构应当加强对农垦管区各项规划实施的监督检查。</w:t>
            </w:r>
          </w:p>
        </w:tc>
        <w:tc>
          <w:tcPr>
            <w:tcW w:w="3585" w:type="dxa"/>
            <w:vAlign w:val="center"/>
          </w:tcPr>
          <w:p w14:paraId="0350AEBE">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1.告知责任：制定检查督查方案，下发检查督查通知（暗访不发通知）。</w:t>
            </w:r>
          </w:p>
          <w:p w14:paraId="0C96F350">
            <w:pPr>
              <w:widowControl/>
              <w:adjustRightInd w:val="0"/>
              <w:snapToGrid w:val="0"/>
              <w:spacing w:line="272" w:lineRule="exact"/>
              <w:ind w:firstLine="384" w:firstLineChars="200"/>
              <w:rPr>
                <w:rFonts w:eastAsia="仿宋_GB2312"/>
                <w:snapToGrid w:val="0"/>
                <w:color w:val="000000"/>
                <w:spacing w:val="-4"/>
                <w:sz w:val="20"/>
                <w:szCs w:val="20"/>
              </w:rPr>
            </w:pPr>
            <w:r>
              <w:rPr>
                <w:rFonts w:hint="eastAsia" w:eastAsia="仿宋_GB2312"/>
                <w:snapToGrid w:val="0"/>
                <w:color w:val="000000"/>
                <w:spacing w:val="-4"/>
                <w:sz w:val="20"/>
                <w:szCs w:val="20"/>
              </w:rPr>
              <w:t>2.检查责任：检查督查时工作人员不得少于2人，应当持《检查督查通知书》或相关证件进行检查。</w:t>
            </w:r>
          </w:p>
          <w:p w14:paraId="17E859B5">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对检查督查中发现的一般性问题，应及时告知当地政府或有关部门；对违反城乡规划编制、审批、实施、修改工作要求及有关法规政策的重大问题，经报自治区政府同意后，由自治区自然资源厅进行挂牌督办，并向当地政府或有关部门发送《检查督查意见书》。所在地政府或有关部门对《检查督查意见书》指出的问题，及时向自治区督查组书面说明情况、提出整改措施，并逐项整改落实。造成重大损失和影响的案件，依法追究相关责任人责任。</w:t>
            </w:r>
          </w:p>
          <w:p w14:paraId="4580E556">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4．监管责任：对《检查督查意见书》指出问题的整改情况进行监管。</w:t>
            </w:r>
          </w:p>
          <w:p w14:paraId="0122B06D">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建设用地和建设工程是否已办理规划许可；（2）城乡规划许可的执行情况；（3）规划控制情况；（4）建设工程竣工规划核实；（5）建（构）筑物的规划使用性质；（6）按照相关规定应当监督检查的其他内容。</w:t>
            </w:r>
          </w:p>
          <w:p w14:paraId="3F75FCD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0CB0A297">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1—1.【法律】《中华人民共和国城乡规划法》第五十一条：县级以上人民政府及其城乡规划主管部门应当加强对城乡规划编制、审批、实施、修改的监督检查。</w:t>
            </w:r>
          </w:p>
          <w:p w14:paraId="29034D41">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一条：县级以上人民政府及其城乡规划主管部门应当依法加强对城乡规划编制、审查、审批、实施、修改的监督检查；自治区农垦主管部门及其建设规划管理机构应当加强对农垦管区各项规划实施的监督检查。</w:t>
            </w:r>
          </w:p>
          <w:p w14:paraId="53B58E88">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2.同1—1.1-2。</w:t>
            </w:r>
          </w:p>
          <w:p w14:paraId="45D553A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3.同1—1.1-2。</w:t>
            </w:r>
          </w:p>
          <w:p w14:paraId="5A583EF2">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地方性法规】《广西壮族自治区实施《中华人民共和国城乡规划法》办法》（2010年3月31日广西壮族自治区第十一届人民代表大会常务委员会第十四次会议通过，2016年11月30日广西壮族自治区第十二届人民代表大会常务委员会第二十六次会议修正）第五十六条：城乡规划主管部门和镇、乡人民政府应当重点加强以下城乡规划许可实施情况的监督检查：</w:t>
            </w:r>
          </w:p>
          <w:p w14:paraId="141C5CEB">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（一）建设用地和建设工程是否已办理规划许可；</w:t>
            </w:r>
          </w:p>
          <w:p w14:paraId="077F8B6F">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（二）城乡规划许可的执行情况；</w:t>
            </w:r>
          </w:p>
          <w:p w14:paraId="53DAC025">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（三）规划控制情况；</w:t>
            </w:r>
          </w:p>
          <w:p w14:paraId="6C888C33">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（四）建设工程竣工规划核实；</w:t>
            </w:r>
          </w:p>
          <w:p w14:paraId="3BB3B177">
            <w:pPr>
              <w:widowControl/>
              <w:adjustRightInd w:val="0"/>
              <w:snapToGrid w:val="0"/>
              <w:spacing w:line="272"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（五）建（构）筑物的规划使用性质；</w:t>
            </w:r>
          </w:p>
          <w:p w14:paraId="19AE600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（六）按照相关规定应当监督检查的其他内容。</w:t>
            </w:r>
          </w:p>
        </w:tc>
        <w:tc>
          <w:tcPr>
            <w:tcW w:w="330" w:type="dxa"/>
            <w:vAlign w:val="center"/>
          </w:tcPr>
          <w:p w14:paraId="1D9FC970">
            <w:pPr>
              <w:snapToGrid w:val="0"/>
              <w:spacing w:line="240" w:lineRule="atLeast"/>
              <w:jc w:val="center"/>
              <w:rPr>
                <w:rFonts w:ascii="仿宋_GB2312" w:hAnsi="仿宋_GB2312" w:eastAsia="仿宋_GB2312" w:cs="仿宋_GB2312"/>
                <w:sz w:val="20"/>
                <w:szCs w:val="20"/>
              </w:rPr>
            </w:pPr>
          </w:p>
        </w:tc>
      </w:tr>
    </w:tbl>
    <w:p w14:paraId="0811E35E"/>
    <w:p w14:paraId="4619D2BB"/>
    <w:p w14:paraId="070334E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6B5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40FDA5E">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B9C42D8">
            <w:pPr>
              <w:spacing w:line="240" w:lineRule="atLeast"/>
              <w:rPr>
                <w:rFonts w:asciiTheme="majorEastAsia" w:hAnsiTheme="majorEastAsia" w:eastAsiaTheme="majorEastAsia" w:cstheme="majorEastAsia"/>
                <w:spacing w:val="-20"/>
                <w:sz w:val="20"/>
                <w:szCs w:val="20"/>
              </w:rPr>
            </w:pPr>
          </w:p>
          <w:p w14:paraId="204775F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28D944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3D434E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0F0B2C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1E2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58F1BDB">
            <w:pPr>
              <w:spacing w:line="240" w:lineRule="atLeast"/>
              <w:jc w:val="left"/>
              <w:rPr>
                <w:rFonts w:ascii="仿宋_GB2312" w:hAnsi="仿宋_GB2312" w:eastAsia="仿宋_GB2312" w:cs="仿宋_GB2312"/>
                <w:sz w:val="20"/>
                <w:szCs w:val="20"/>
              </w:rPr>
            </w:pPr>
          </w:p>
        </w:tc>
        <w:tc>
          <w:tcPr>
            <w:tcW w:w="555" w:type="dxa"/>
            <w:vMerge w:val="continue"/>
          </w:tcPr>
          <w:p w14:paraId="5FD1DF9E">
            <w:pPr>
              <w:spacing w:line="240" w:lineRule="atLeast"/>
              <w:jc w:val="left"/>
              <w:rPr>
                <w:rFonts w:ascii="仿宋_GB2312" w:hAnsi="仿宋_GB2312" w:eastAsia="仿宋_GB2312" w:cs="仿宋_GB2312"/>
                <w:sz w:val="20"/>
                <w:szCs w:val="20"/>
              </w:rPr>
            </w:pPr>
          </w:p>
        </w:tc>
        <w:tc>
          <w:tcPr>
            <w:tcW w:w="784" w:type="dxa"/>
            <w:vAlign w:val="center"/>
          </w:tcPr>
          <w:p w14:paraId="7E02FE2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99E284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1620FF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C7A4C9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E03A15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8F01A9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0F877E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ACCD0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5A1234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7F1025A">
            <w:pPr>
              <w:spacing w:line="240" w:lineRule="atLeast"/>
              <w:jc w:val="left"/>
              <w:rPr>
                <w:rFonts w:ascii="仿宋_GB2312" w:hAnsi="仿宋_GB2312" w:eastAsia="仿宋_GB2312" w:cs="仿宋_GB2312"/>
                <w:sz w:val="20"/>
                <w:szCs w:val="20"/>
              </w:rPr>
            </w:pPr>
          </w:p>
        </w:tc>
      </w:tr>
      <w:tr w14:paraId="11C8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8ADF30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199</w:t>
            </w:r>
          </w:p>
        </w:tc>
        <w:tc>
          <w:tcPr>
            <w:tcW w:w="555" w:type="dxa"/>
            <w:vAlign w:val="center"/>
          </w:tcPr>
          <w:p w14:paraId="7F9250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677DEE9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对不动产测绘的监督检查</w:t>
            </w:r>
          </w:p>
        </w:tc>
        <w:tc>
          <w:tcPr>
            <w:tcW w:w="660" w:type="dxa"/>
            <w:vAlign w:val="center"/>
          </w:tcPr>
          <w:p w14:paraId="727635D3">
            <w:pPr>
              <w:snapToGrid w:val="0"/>
              <w:spacing w:line="240" w:lineRule="atLeast"/>
              <w:jc w:val="center"/>
              <w:rPr>
                <w:rFonts w:ascii="仿宋_GB2312" w:hAnsi="仿宋_GB2312" w:eastAsia="仿宋_GB2312" w:cs="仿宋_GB2312"/>
                <w:sz w:val="20"/>
                <w:szCs w:val="20"/>
              </w:rPr>
            </w:pPr>
          </w:p>
        </w:tc>
        <w:tc>
          <w:tcPr>
            <w:tcW w:w="615" w:type="dxa"/>
            <w:vAlign w:val="center"/>
          </w:tcPr>
          <w:p w14:paraId="18B880D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D28A9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5A159CA0">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【法律】《中华人民共和国测绘法》第二十二条第一款：县级以上人民政府测绘地理信息主管部门应当会同本级人民政府不动产登记主管部门，加强对不动产测绘的管理。</w:t>
            </w:r>
          </w:p>
          <w:p w14:paraId="6B02E3B7">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第四十九条：县级以上人民政府测绘地理信息主管部门应当建立健全随机抽查机制，依法履行监督检查职责，发现涉嫌违反本法规定行为的，可以依法采取下列措施：</w:t>
            </w:r>
          </w:p>
          <w:p w14:paraId="45AF8646">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（一）查阅、复制有关合同、票据、账簿、登记台账以及其他有关文件、资料；</w:t>
            </w:r>
          </w:p>
          <w:p w14:paraId="6C7D6195">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（二）查封、扣押与涉嫌违法测绘行为直接相关的设备、工具、原材料、测绘成果资料等。</w:t>
            </w:r>
          </w:p>
          <w:p w14:paraId="65B1C004">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2DD20C9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tc>
        <w:tc>
          <w:tcPr>
            <w:tcW w:w="3585" w:type="dxa"/>
            <w:vAlign w:val="center"/>
          </w:tcPr>
          <w:p w14:paraId="2F3C093C">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70D03132">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444183DD">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3.处理责任：受检单位对监督检验结论有异议的，可以自收到检验结论之日起十五个工作日内向组织实施质量监督抽查的测绘行政主管部门提出书面异议报告。</w:t>
            </w:r>
          </w:p>
          <w:p w14:paraId="6C308E90">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4．监管责任：制定措施，强化不动产测绘的监督管理工作。</w:t>
            </w:r>
          </w:p>
          <w:p w14:paraId="386FEE0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0FD9D156">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【法律】《中华人民共和国测绘法》第二十二条第一款：县级以上人民政府测绘地理信息主管部门应当会同本级人民政府不动产登记主管部门，加强对不动产测绘的管理。</w:t>
            </w:r>
          </w:p>
          <w:p w14:paraId="563932B2">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78A49FAD">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4667B03A">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6F294CB9">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2—1.同1。</w:t>
            </w:r>
          </w:p>
          <w:p w14:paraId="2576639C">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测绘成果质量监督抽查管理办法》（国测国发〔2010〕9号）第十一条：检验单位应当制定技术方案，技术方案经测绘行政主管部门批准后，检验单位组织具备相应专业知识和技术能力的检验人员，开展检验工作。</w:t>
            </w:r>
          </w:p>
          <w:p w14:paraId="10749F2C">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测绘成果质量监督抽查管理办法》（国测国发〔2010〕9号）第十七条：受检单位对监督检验结论有异议的，可以自收到检验结论之日起十五个工作日内向组织实施质量监督抽查的测绘行政主管部门提出书面异议报告，并抄送检验单位。逾期未提出异议的，视为认可检验结论。。</w:t>
            </w:r>
          </w:p>
          <w:p w14:paraId="7137E756">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290010D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19280F85">
            <w:pPr>
              <w:snapToGrid w:val="0"/>
              <w:spacing w:line="240" w:lineRule="atLeast"/>
              <w:jc w:val="center"/>
              <w:rPr>
                <w:rFonts w:ascii="仿宋_GB2312" w:hAnsi="仿宋_GB2312" w:eastAsia="仿宋_GB2312" w:cs="仿宋_GB2312"/>
                <w:sz w:val="20"/>
                <w:szCs w:val="20"/>
              </w:rPr>
            </w:pPr>
          </w:p>
        </w:tc>
      </w:tr>
    </w:tbl>
    <w:p w14:paraId="5A09573B"/>
    <w:p w14:paraId="14217C2D"/>
    <w:p w14:paraId="2A8ED6BF"/>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F87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583405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D43DD75">
            <w:pPr>
              <w:spacing w:line="240" w:lineRule="atLeast"/>
              <w:rPr>
                <w:rFonts w:asciiTheme="majorEastAsia" w:hAnsiTheme="majorEastAsia" w:eastAsiaTheme="majorEastAsia" w:cstheme="majorEastAsia"/>
                <w:spacing w:val="-20"/>
                <w:sz w:val="20"/>
                <w:szCs w:val="20"/>
              </w:rPr>
            </w:pPr>
          </w:p>
          <w:p w14:paraId="26CB0CA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8B1DE3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EC8C6D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316411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48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1C7F3C4">
            <w:pPr>
              <w:spacing w:line="240" w:lineRule="atLeast"/>
              <w:jc w:val="left"/>
              <w:rPr>
                <w:rFonts w:ascii="仿宋_GB2312" w:hAnsi="仿宋_GB2312" w:eastAsia="仿宋_GB2312" w:cs="仿宋_GB2312"/>
                <w:sz w:val="20"/>
                <w:szCs w:val="20"/>
              </w:rPr>
            </w:pPr>
          </w:p>
        </w:tc>
        <w:tc>
          <w:tcPr>
            <w:tcW w:w="555" w:type="dxa"/>
            <w:vMerge w:val="continue"/>
          </w:tcPr>
          <w:p w14:paraId="1DEE0583">
            <w:pPr>
              <w:spacing w:line="240" w:lineRule="atLeast"/>
              <w:jc w:val="left"/>
              <w:rPr>
                <w:rFonts w:ascii="仿宋_GB2312" w:hAnsi="仿宋_GB2312" w:eastAsia="仿宋_GB2312" w:cs="仿宋_GB2312"/>
                <w:sz w:val="20"/>
                <w:szCs w:val="20"/>
              </w:rPr>
            </w:pPr>
          </w:p>
        </w:tc>
        <w:tc>
          <w:tcPr>
            <w:tcW w:w="784" w:type="dxa"/>
            <w:vAlign w:val="center"/>
          </w:tcPr>
          <w:p w14:paraId="479EC8F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354572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9A1CA8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ACB286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23EBBB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68FA8D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C5981A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543DC8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7A1F54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843E571">
            <w:pPr>
              <w:spacing w:line="240" w:lineRule="atLeast"/>
              <w:jc w:val="left"/>
              <w:rPr>
                <w:rFonts w:ascii="仿宋_GB2312" w:hAnsi="仿宋_GB2312" w:eastAsia="仿宋_GB2312" w:cs="仿宋_GB2312"/>
                <w:sz w:val="20"/>
                <w:szCs w:val="20"/>
              </w:rPr>
            </w:pPr>
          </w:p>
        </w:tc>
      </w:tr>
      <w:tr w14:paraId="1668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7E8D2E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200</w:t>
            </w:r>
          </w:p>
        </w:tc>
        <w:tc>
          <w:tcPr>
            <w:tcW w:w="555" w:type="dxa"/>
            <w:vAlign w:val="center"/>
          </w:tcPr>
          <w:p w14:paraId="3D44295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442D067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对地理信息安全的监督检查</w:t>
            </w:r>
          </w:p>
        </w:tc>
        <w:tc>
          <w:tcPr>
            <w:tcW w:w="660" w:type="dxa"/>
            <w:vAlign w:val="center"/>
          </w:tcPr>
          <w:p w14:paraId="7B815DB8">
            <w:pPr>
              <w:snapToGrid w:val="0"/>
              <w:spacing w:line="240" w:lineRule="atLeast"/>
              <w:jc w:val="center"/>
              <w:rPr>
                <w:rFonts w:ascii="仿宋_GB2312" w:hAnsi="仿宋_GB2312" w:eastAsia="仿宋_GB2312" w:cs="仿宋_GB2312"/>
                <w:sz w:val="20"/>
                <w:szCs w:val="20"/>
              </w:rPr>
            </w:pPr>
          </w:p>
        </w:tc>
        <w:tc>
          <w:tcPr>
            <w:tcW w:w="615" w:type="dxa"/>
            <w:vAlign w:val="center"/>
          </w:tcPr>
          <w:p w14:paraId="6C04455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DEDD3F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00DB8B8C">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【法律】《中华人民共和国测绘法》第四十六条：县级以上人民政府测绘地理信息主管部门应当会同本级人民政府其他有关部门建立地理信息安全管理制度和技术防控体系，并加强对地理信息安全的监督管理。</w:t>
            </w:r>
          </w:p>
          <w:p w14:paraId="21593472">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第四十九条：县级以上人民政府测绘地理信息主管部门应当建立健全随机抽查机制，依法履行监督检查职责，发现涉嫌违反本法规定行为的，可以依法采取下列措施：</w:t>
            </w:r>
          </w:p>
          <w:p w14:paraId="11AD8939">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（一）查阅、复制有关合同、票据、账簿、登记台账以及其他有关文件、资料；</w:t>
            </w:r>
          </w:p>
          <w:p w14:paraId="21218F2D">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（二）查封、扣押与涉嫌违法测绘行为直接相关的设备、工具、原材料、测绘成果资料等。</w:t>
            </w:r>
          </w:p>
          <w:p w14:paraId="1B71B1F8">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58B400C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tc>
        <w:tc>
          <w:tcPr>
            <w:tcW w:w="3585" w:type="dxa"/>
            <w:vAlign w:val="center"/>
          </w:tcPr>
          <w:p w14:paraId="15B87228">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5F8C2725">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2.检查责任：被检单位或个人应配合监督检查；检查单位应当按照检查方案规定的程序，开展检查工作。</w:t>
            </w:r>
          </w:p>
          <w:p w14:paraId="753D0B3E">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3.处理责任：被检单位或个人对检查结果有异议的，应当在收到检查结果之日起15日内，向组织实施的测绘地理信息主管部门提出书面异议报告。</w:t>
            </w:r>
          </w:p>
          <w:p w14:paraId="507498F4">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4.监管责任：制定措施，强化地理信息安全的监督管理工作。</w:t>
            </w:r>
          </w:p>
          <w:p w14:paraId="013CA2A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3738126F">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【法律】《中华人民共和国测绘法》第四十六条：县级以上人民政府测绘地理信息主管部门应当会同本级人民政府其他有关部门建立地理信息安全管理制度和技术防控体系，并加强对地理信息安全的监督管理。</w:t>
            </w:r>
          </w:p>
          <w:p w14:paraId="591D7D0D">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27DB7598">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0B8F4212">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3ABCEDF7">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73B268E2">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1EDE0654">
            <w:pPr>
              <w:widowControl/>
              <w:adjustRightInd w:val="0"/>
              <w:snapToGrid w:val="0"/>
              <w:spacing w:line="29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11D32CA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4ECE832E">
            <w:pPr>
              <w:snapToGrid w:val="0"/>
              <w:spacing w:line="240" w:lineRule="atLeast"/>
              <w:jc w:val="center"/>
              <w:rPr>
                <w:rFonts w:ascii="仿宋_GB2312" w:hAnsi="仿宋_GB2312" w:eastAsia="仿宋_GB2312" w:cs="仿宋_GB2312"/>
                <w:sz w:val="20"/>
                <w:szCs w:val="20"/>
              </w:rPr>
            </w:pPr>
          </w:p>
        </w:tc>
      </w:tr>
    </w:tbl>
    <w:p w14:paraId="5557ADAE"/>
    <w:p w14:paraId="239B187E"/>
    <w:p w14:paraId="6787707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7170"/>
        <w:gridCol w:w="3255"/>
        <w:gridCol w:w="7280"/>
        <w:gridCol w:w="330"/>
      </w:tblGrid>
      <w:tr w14:paraId="01AE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057724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51B78B7">
            <w:pPr>
              <w:spacing w:line="240" w:lineRule="atLeast"/>
              <w:rPr>
                <w:rFonts w:asciiTheme="majorEastAsia" w:hAnsiTheme="majorEastAsia" w:eastAsiaTheme="majorEastAsia" w:cstheme="majorEastAsia"/>
                <w:spacing w:val="-20"/>
                <w:sz w:val="20"/>
                <w:szCs w:val="20"/>
              </w:rPr>
            </w:pPr>
          </w:p>
          <w:p w14:paraId="74C537F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0339" w:type="dxa"/>
            <w:gridSpan w:val="5"/>
            <w:vAlign w:val="center"/>
          </w:tcPr>
          <w:p w14:paraId="2296C45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535" w:type="dxa"/>
            <w:gridSpan w:val="2"/>
            <w:vAlign w:val="center"/>
          </w:tcPr>
          <w:p w14:paraId="10EE4DC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673B9B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5BF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EE1533D">
            <w:pPr>
              <w:spacing w:line="240" w:lineRule="atLeast"/>
              <w:jc w:val="left"/>
              <w:rPr>
                <w:rFonts w:ascii="仿宋_GB2312" w:hAnsi="仿宋_GB2312" w:eastAsia="仿宋_GB2312" w:cs="仿宋_GB2312"/>
                <w:sz w:val="20"/>
                <w:szCs w:val="20"/>
              </w:rPr>
            </w:pPr>
          </w:p>
        </w:tc>
        <w:tc>
          <w:tcPr>
            <w:tcW w:w="555" w:type="dxa"/>
            <w:vMerge w:val="continue"/>
          </w:tcPr>
          <w:p w14:paraId="4CFEA9B5">
            <w:pPr>
              <w:spacing w:line="240" w:lineRule="atLeast"/>
              <w:jc w:val="left"/>
              <w:rPr>
                <w:rFonts w:ascii="仿宋_GB2312" w:hAnsi="仿宋_GB2312" w:eastAsia="仿宋_GB2312" w:cs="仿宋_GB2312"/>
                <w:sz w:val="20"/>
                <w:szCs w:val="20"/>
              </w:rPr>
            </w:pPr>
          </w:p>
        </w:tc>
        <w:tc>
          <w:tcPr>
            <w:tcW w:w="784" w:type="dxa"/>
            <w:vAlign w:val="center"/>
          </w:tcPr>
          <w:p w14:paraId="7DA8CB8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831B82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3B10DA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9DC49A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B54ED5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7170" w:type="dxa"/>
            <w:vAlign w:val="center"/>
          </w:tcPr>
          <w:p w14:paraId="4F76A0D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255" w:type="dxa"/>
            <w:vAlign w:val="center"/>
          </w:tcPr>
          <w:p w14:paraId="230F1A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021E48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280" w:type="dxa"/>
            <w:vAlign w:val="center"/>
          </w:tcPr>
          <w:p w14:paraId="09AEFCB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792A0F5">
            <w:pPr>
              <w:spacing w:line="240" w:lineRule="atLeast"/>
              <w:jc w:val="left"/>
              <w:rPr>
                <w:rFonts w:ascii="仿宋_GB2312" w:hAnsi="仿宋_GB2312" w:eastAsia="仿宋_GB2312" w:cs="仿宋_GB2312"/>
                <w:sz w:val="20"/>
                <w:szCs w:val="20"/>
              </w:rPr>
            </w:pPr>
          </w:p>
        </w:tc>
      </w:tr>
      <w:tr w14:paraId="42CC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0A2648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201</w:t>
            </w:r>
          </w:p>
        </w:tc>
        <w:tc>
          <w:tcPr>
            <w:tcW w:w="555" w:type="dxa"/>
            <w:vAlign w:val="center"/>
          </w:tcPr>
          <w:p w14:paraId="74B1D6A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597C6B4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对测绘资质的监督检查</w:t>
            </w:r>
          </w:p>
        </w:tc>
        <w:tc>
          <w:tcPr>
            <w:tcW w:w="660" w:type="dxa"/>
            <w:vAlign w:val="center"/>
          </w:tcPr>
          <w:p w14:paraId="5A0D2906">
            <w:pPr>
              <w:snapToGrid w:val="0"/>
              <w:spacing w:line="240" w:lineRule="atLeast"/>
              <w:jc w:val="center"/>
              <w:rPr>
                <w:rFonts w:ascii="仿宋_GB2312" w:hAnsi="仿宋_GB2312" w:eastAsia="仿宋_GB2312" w:cs="仿宋_GB2312"/>
                <w:sz w:val="20"/>
                <w:szCs w:val="20"/>
              </w:rPr>
            </w:pPr>
          </w:p>
        </w:tc>
        <w:tc>
          <w:tcPr>
            <w:tcW w:w="615" w:type="dxa"/>
            <w:vAlign w:val="center"/>
          </w:tcPr>
          <w:p w14:paraId="50E4708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826F47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7170" w:type="dxa"/>
            <w:vAlign w:val="center"/>
          </w:tcPr>
          <w:p w14:paraId="49DECED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1.【法律】《中华人民共和国测绘法》第四条：国务院测绘地理信息主管部门负责全国测绘工作的统一监督管理。国务院其他有关部门按照国务院规定的职责分工，负责本部门有关的测绘工作。</w:t>
            </w:r>
          </w:p>
          <w:p w14:paraId="1CB8085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县级以上地方人民政府测绘地理信息主管部门负责本行政区域测绘工作的统一监督管理。县级以上地方人民政府其他有关部门按照本级人民政府规定的职责分工，负责本部门有关的测绘工作。</w:t>
            </w:r>
          </w:p>
          <w:p w14:paraId="626D1B8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军队测绘部门负责管理军事部门的测绘工作，并按照国务院、中央军事委员会规定的职责分工负责管理海洋基础测绘工作。</w:t>
            </w:r>
          </w:p>
          <w:p w14:paraId="3BFC27D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国务院测绘地理信息主管部门和省、自治区、直辖市人民政府测绘地理信息主管部门按照各自的职责负责测绘资质审查、发放测绘资质证书。具体办法由国务院测绘地理信息主管部门商国务院其他有关部门规定。</w:t>
            </w:r>
          </w:p>
          <w:p w14:paraId="02B9C55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军队测绘部门负责军事测绘单位的测绘资质审查。</w:t>
            </w:r>
          </w:p>
          <w:p w14:paraId="6E53D2E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p w14:paraId="53581D5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第四十四条： 县级以上人民政府测绘地理信息主管部门应当加强测绘地理信息市场统一监督管理，设置举报电话、举报信箱等。任何单位和个人都有权对测绘地理信息违法行为进行举报，接到举报的测绘地理信息主管部门应当依法处理。</w:t>
            </w:r>
          </w:p>
          <w:p w14:paraId="44ECF0F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3.【规范性文件】《测绘资质管理规定》（国测管发〔2014〕31号）第三条第二款 ： 县级以上地方人民政府测绘地理信息行政主管部门负责本行政区域内测绘资质的监督管理工作。</w:t>
            </w:r>
          </w:p>
          <w:p w14:paraId="3CDB6CC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第二十四条：实行测绘资质巡查制度。各级测绘地理信息行政主管部门应当有计划地对测绘资质单位执行《测绘资质管理规定》和《测绘资质分级标准》的有关情况进行巡查。</w:t>
            </w:r>
          </w:p>
          <w:p w14:paraId="3732AA0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国家测绘地理信息局负责指导全国测绘资质巡查工作，并对省级测绘地理信息行政主管部门开展的巡查工作进行抽查。</w:t>
            </w:r>
          </w:p>
          <w:p w14:paraId="3766F2A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省级测绘地理信息行政主管部门负责制定本行政区域内测绘资质巡查工作计划，并组织实施。每年巡查比例不少于本行政区域内各等级测绘资质单位总数的5%。</w:t>
            </w:r>
          </w:p>
          <w:p w14:paraId="2F8E5AD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各级测绘地理信息行政主管部门组织开展测绘资质巡查工作，应当事先向被巡查单位发出书面通知，告知巡查时间、巡查内容和具体要求。巡查结束后，应当向被巡查单位书面反馈意见。</w:t>
            </w:r>
          </w:p>
        </w:tc>
        <w:tc>
          <w:tcPr>
            <w:tcW w:w="3255" w:type="dxa"/>
            <w:vAlign w:val="center"/>
          </w:tcPr>
          <w:p w14:paraId="02FB333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1.告知责任：测绘地理信息主管部门告知巡查时间、巡查内容和具体要求。</w:t>
            </w:r>
          </w:p>
          <w:p w14:paraId="2D5F774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360E619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3.处理责任：测绘资质单位违法从事测绘活动的，依照《中华人民共和国测绘法》及有关法律、法规的规定予以处罚。</w:t>
            </w:r>
          </w:p>
          <w:p w14:paraId="4921032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4.监管责任：制定措施，强化测绘资质的监督管理工作。</w:t>
            </w:r>
          </w:p>
          <w:p w14:paraId="1608CD4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7280" w:type="dxa"/>
            <w:vAlign w:val="center"/>
          </w:tcPr>
          <w:p w14:paraId="5EADC7C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1.【规范性文件】《测绘成果质量监督抽查管理办法》（国测国发〔2010〕9号）第七条：测绘行政主管部门组织实施质量监督抽查时，应当制定工作方案，发布通告，开具通知单，审批技术方案。</w:t>
            </w:r>
          </w:p>
          <w:p w14:paraId="772D3C0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第十三条：检验开始时，检验单位应当组织召开首次会，向受检单位出示测绘行政主管部门开具的监督抽查通知单，并告知检验依据、方法、程序等。</w:t>
            </w:r>
          </w:p>
          <w:p w14:paraId="1CEA07C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检验过程中，检验单位应当按照技术方案规定的程序，开展检验工作。检验单位可根据需要，向测绘项目出资人、设计单位、施测单位、质检单位等调查、了解项目相关情况，实施现场检验。</w:t>
            </w:r>
          </w:p>
          <w:p w14:paraId="55A5E2A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检验完成后，检验单位应当组织召开末次会，通报检验中发现的问题，提出改进意见和建议。</w:t>
            </w:r>
          </w:p>
          <w:p w14:paraId="14935B5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测绘成果质量监督抽查管理办法》（国测国发〔2010〕9号）第十四条：受检单位应当配合监督检验工作，提供与受检项目相关的合同、质量文件、成果资料、仪器检定资料等，对检验所需的仪器、设备等给予配合和协助。</w:t>
            </w:r>
          </w:p>
          <w:p w14:paraId="2C70F85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第十三条：检验开始时，检验单位应当组织召开首次会，向受检单位出示测绘行政主管部门开具的监督抽查通知单，并告知检验依据、方法、程序等。</w:t>
            </w:r>
          </w:p>
          <w:p w14:paraId="54D75F4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检验过程中，检验单位应当按照技术方案规定的程序，开展检验工作。检验单位可根据需要，向测绘项目出资人、设计单位、施测单位、质检单位等调查、了解项目相关情况，实施现场检验。</w:t>
            </w:r>
          </w:p>
          <w:p w14:paraId="1F3C829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检验完成后，检验单位应当组织召开末次会，通报检验中发现的问题，提出改进意见和建议。</w:t>
            </w:r>
          </w:p>
          <w:p w14:paraId="0AFC8AC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3.【法律】《中华人民共和国测绘法》第四十九条：县级以上人民政府测绘地理信息主管部门应当建立健全随机抽查机制，依法履行监督检查职责，发现涉嫌违反本法规定行为的，可以依法采取下列措施：</w:t>
            </w:r>
          </w:p>
          <w:p w14:paraId="4B42D47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（一）查阅、复制有关合同、票据、账簿、登记台账以及其他有关文件、资料；</w:t>
            </w:r>
          </w:p>
          <w:p w14:paraId="7ACCF10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（二）查封、扣押与涉嫌违法测绘行为直接相关的设备、工具、原材料、测绘成果资料等。</w:t>
            </w:r>
          </w:p>
          <w:p w14:paraId="7C64EB7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1E2C4E0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6387DD6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测绘成果质量监督抽查管理办法》（国测国发〔2010〕9号）第一条：为规范测绘成果质量监督抽查（以下简称“质量监督抽查”）工作，加强测绘质量的监督管理，根据《中华人民共和国测绘法》等有关法律、法规，制定本办法。</w:t>
            </w:r>
          </w:p>
        </w:tc>
        <w:tc>
          <w:tcPr>
            <w:tcW w:w="330" w:type="dxa"/>
            <w:vAlign w:val="center"/>
          </w:tcPr>
          <w:p w14:paraId="719C85BA">
            <w:pPr>
              <w:snapToGrid w:val="0"/>
              <w:spacing w:line="240" w:lineRule="atLeast"/>
              <w:jc w:val="center"/>
              <w:rPr>
                <w:rFonts w:ascii="仿宋_GB2312" w:hAnsi="仿宋_GB2312" w:eastAsia="仿宋_GB2312" w:cs="仿宋_GB2312"/>
                <w:sz w:val="20"/>
                <w:szCs w:val="20"/>
              </w:rPr>
            </w:pPr>
          </w:p>
        </w:tc>
      </w:tr>
    </w:tbl>
    <w:p w14:paraId="0720B19A"/>
    <w:p w14:paraId="52EC8E2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A45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18B6EC3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9B6E9DC">
            <w:pPr>
              <w:spacing w:line="240" w:lineRule="atLeast"/>
              <w:rPr>
                <w:rFonts w:asciiTheme="majorEastAsia" w:hAnsiTheme="majorEastAsia" w:eastAsiaTheme="majorEastAsia" w:cstheme="majorEastAsia"/>
                <w:spacing w:val="-20"/>
                <w:sz w:val="20"/>
                <w:szCs w:val="20"/>
              </w:rPr>
            </w:pPr>
          </w:p>
          <w:p w14:paraId="2D7955C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021CB74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7E6358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92B5C5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E1B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15CBABB">
            <w:pPr>
              <w:spacing w:line="240" w:lineRule="atLeast"/>
              <w:jc w:val="left"/>
              <w:rPr>
                <w:rFonts w:ascii="仿宋_GB2312" w:hAnsi="仿宋_GB2312" w:eastAsia="仿宋_GB2312" w:cs="仿宋_GB2312"/>
                <w:sz w:val="20"/>
                <w:szCs w:val="20"/>
              </w:rPr>
            </w:pPr>
          </w:p>
        </w:tc>
        <w:tc>
          <w:tcPr>
            <w:tcW w:w="555" w:type="dxa"/>
            <w:vMerge w:val="continue"/>
          </w:tcPr>
          <w:p w14:paraId="05F016C1">
            <w:pPr>
              <w:spacing w:line="240" w:lineRule="atLeast"/>
              <w:jc w:val="left"/>
              <w:rPr>
                <w:rFonts w:ascii="仿宋_GB2312" w:hAnsi="仿宋_GB2312" w:eastAsia="仿宋_GB2312" w:cs="仿宋_GB2312"/>
                <w:sz w:val="20"/>
                <w:szCs w:val="20"/>
              </w:rPr>
            </w:pPr>
          </w:p>
        </w:tc>
        <w:tc>
          <w:tcPr>
            <w:tcW w:w="784" w:type="dxa"/>
            <w:vAlign w:val="center"/>
          </w:tcPr>
          <w:p w14:paraId="79A1F5C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93ABD6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AE13EA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350D89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BAA726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2D738B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2076D6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AE8501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CFCE578">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FEB5448">
            <w:pPr>
              <w:spacing w:line="240" w:lineRule="atLeast"/>
              <w:jc w:val="left"/>
              <w:rPr>
                <w:rFonts w:ascii="仿宋_GB2312" w:hAnsi="仿宋_GB2312" w:eastAsia="仿宋_GB2312" w:cs="仿宋_GB2312"/>
                <w:sz w:val="20"/>
                <w:szCs w:val="20"/>
              </w:rPr>
            </w:pPr>
          </w:p>
        </w:tc>
      </w:tr>
      <w:tr w14:paraId="3A89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6CD090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202</w:t>
            </w:r>
          </w:p>
        </w:tc>
        <w:tc>
          <w:tcPr>
            <w:tcW w:w="555" w:type="dxa"/>
            <w:vAlign w:val="center"/>
          </w:tcPr>
          <w:p w14:paraId="47BC348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2D3D955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对测绘市场的监督检查</w:t>
            </w:r>
          </w:p>
        </w:tc>
        <w:tc>
          <w:tcPr>
            <w:tcW w:w="660" w:type="dxa"/>
            <w:vAlign w:val="center"/>
          </w:tcPr>
          <w:p w14:paraId="683019DC">
            <w:pPr>
              <w:snapToGrid w:val="0"/>
              <w:spacing w:line="240" w:lineRule="atLeast"/>
              <w:jc w:val="center"/>
              <w:rPr>
                <w:rFonts w:ascii="仿宋_GB2312" w:hAnsi="仿宋_GB2312" w:eastAsia="仿宋_GB2312" w:cs="仿宋_GB2312"/>
                <w:sz w:val="20"/>
                <w:szCs w:val="20"/>
              </w:rPr>
            </w:pPr>
          </w:p>
        </w:tc>
        <w:tc>
          <w:tcPr>
            <w:tcW w:w="615" w:type="dxa"/>
            <w:vAlign w:val="center"/>
          </w:tcPr>
          <w:p w14:paraId="5D9D4FA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2C5A4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1861CB28">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7F5ACF4F">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34314981">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60507503">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p w14:paraId="3178AE1D">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十四条：：县级以上人民政府测绘地理信息主管部门应当加强测绘地理信息市场统一监督管理，设置举报电话、举报信箱等。任何单位和个人都有权对测绘地理信息违法行为进行举报，接到举报的测绘地理信息主管部门应当依法处理。</w:t>
            </w:r>
          </w:p>
          <w:p w14:paraId="30C16F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3.【规范性文件】《测绘市场管理暂行办法》（1995年6月6日国家测绘局、国家工商行政管理局发布）第三条：县级以上人民政府测绘主管部门和工商行政管理部门负责监督管理本行政区域内的测绘市场。</w:t>
            </w:r>
          </w:p>
        </w:tc>
        <w:tc>
          <w:tcPr>
            <w:tcW w:w="3585" w:type="dxa"/>
            <w:vAlign w:val="center"/>
          </w:tcPr>
          <w:p w14:paraId="7A200D6E">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638B10C1">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2.检查责任：被检单位或个人应配合监督检查；检查单位应当按照检查方案规定的程序，开展检查工作。</w:t>
            </w:r>
          </w:p>
          <w:p w14:paraId="2CE4538B">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3.处理责任：被检单位或个人对检查结果有异议的，应当在收到检查结果之日起15日内，向组织实施的测绘地理信息主管部门提出书面异议报告。</w:t>
            </w:r>
          </w:p>
          <w:p w14:paraId="1EEA1967">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4.监管责任：制定措施，强化测绘市场的监督管理工作。</w:t>
            </w:r>
          </w:p>
          <w:p w14:paraId="58865532">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798CFC92">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w:t>
            </w:r>
          </w:p>
          <w:p w14:paraId="12D01D5E">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被检查的单位和个人应当配合，如实提供有关文件、资料，不得隐瞒、拒绝和阻碍。</w:t>
            </w:r>
          </w:p>
          <w:p w14:paraId="64330CB8">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252F9157">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【规范性文件】《测绘市场管理暂行办法》（1995年6月6日国家测绘局、国家工商行政管理局发布）第三条：县级以上人民政府测绘主管部门和工商行政管理部门负责监督管理本行政区域内的测绘市场。</w:t>
            </w:r>
          </w:p>
          <w:p w14:paraId="7F3E3F7E">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46E3140B">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3.【规范性文件】《测绘市场管理暂行办法》（1995年6月6日国家测绘局、国家工商行政管理局发布）第三十三条：违反本办法规定，有一列行为之一的，依照《中华人民共和国测绘法》第八章有关规定处罚。</w:t>
            </w:r>
          </w:p>
          <w:p w14:paraId="74B21B45">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6E1F28B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4E15A1D7">
            <w:pPr>
              <w:snapToGrid w:val="0"/>
              <w:spacing w:line="240" w:lineRule="atLeast"/>
              <w:jc w:val="center"/>
              <w:rPr>
                <w:rFonts w:ascii="仿宋_GB2312" w:hAnsi="仿宋_GB2312" w:eastAsia="仿宋_GB2312" w:cs="仿宋_GB2312"/>
                <w:sz w:val="20"/>
                <w:szCs w:val="20"/>
              </w:rPr>
            </w:pPr>
          </w:p>
        </w:tc>
      </w:tr>
    </w:tbl>
    <w:p w14:paraId="41467877"/>
    <w:p w14:paraId="02D57F5B"/>
    <w:p w14:paraId="32FAA305"/>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469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D91F9C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7307F13">
            <w:pPr>
              <w:spacing w:line="240" w:lineRule="atLeast"/>
              <w:rPr>
                <w:rFonts w:asciiTheme="majorEastAsia" w:hAnsiTheme="majorEastAsia" w:eastAsiaTheme="majorEastAsia" w:cstheme="majorEastAsia"/>
                <w:spacing w:val="-20"/>
                <w:sz w:val="20"/>
                <w:szCs w:val="20"/>
              </w:rPr>
            </w:pPr>
          </w:p>
          <w:p w14:paraId="33334CD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0891AF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11434F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52CBD7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BA6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96C529D">
            <w:pPr>
              <w:spacing w:line="240" w:lineRule="atLeast"/>
              <w:jc w:val="left"/>
              <w:rPr>
                <w:rFonts w:ascii="仿宋_GB2312" w:hAnsi="仿宋_GB2312" w:eastAsia="仿宋_GB2312" w:cs="仿宋_GB2312"/>
                <w:sz w:val="20"/>
                <w:szCs w:val="20"/>
              </w:rPr>
            </w:pPr>
          </w:p>
        </w:tc>
        <w:tc>
          <w:tcPr>
            <w:tcW w:w="555" w:type="dxa"/>
            <w:vMerge w:val="continue"/>
          </w:tcPr>
          <w:p w14:paraId="2D91E34F">
            <w:pPr>
              <w:spacing w:line="240" w:lineRule="atLeast"/>
              <w:jc w:val="left"/>
              <w:rPr>
                <w:rFonts w:ascii="仿宋_GB2312" w:hAnsi="仿宋_GB2312" w:eastAsia="仿宋_GB2312" w:cs="仿宋_GB2312"/>
                <w:sz w:val="20"/>
                <w:szCs w:val="20"/>
              </w:rPr>
            </w:pPr>
          </w:p>
        </w:tc>
        <w:tc>
          <w:tcPr>
            <w:tcW w:w="784" w:type="dxa"/>
            <w:vAlign w:val="center"/>
          </w:tcPr>
          <w:p w14:paraId="3152956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4A535D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45B32B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BDA96B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CC1751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C1C017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841F73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AC0CBE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14319C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BD3466B">
            <w:pPr>
              <w:spacing w:line="240" w:lineRule="atLeast"/>
              <w:jc w:val="left"/>
              <w:rPr>
                <w:rFonts w:ascii="仿宋_GB2312" w:hAnsi="仿宋_GB2312" w:eastAsia="仿宋_GB2312" w:cs="仿宋_GB2312"/>
                <w:sz w:val="20"/>
                <w:szCs w:val="20"/>
              </w:rPr>
            </w:pPr>
          </w:p>
        </w:tc>
      </w:tr>
      <w:tr w14:paraId="6F63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1D09E9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203</w:t>
            </w:r>
          </w:p>
        </w:tc>
        <w:tc>
          <w:tcPr>
            <w:tcW w:w="555" w:type="dxa"/>
            <w:vAlign w:val="center"/>
          </w:tcPr>
          <w:p w14:paraId="5E261D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5327844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对测绘项目招、投标的监督检查</w:t>
            </w:r>
          </w:p>
        </w:tc>
        <w:tc>
          <w:tcPr>
            <w:tcW w:w="660" w:type="dxa"/>
            <w:vAlign w:val="center"/>
          </w:tcPr>
          <w:p w14:paraId="014A5C15">
            <w:pPr>
              <w:snapToGrid w:val="0"/>
              <w:spacing w:line="240" w:lineRule="atLeast"/>
              <w:jc w:val="center"/>
              <w:rPr>
                <w:rFonts w:ascii="仿宋_GB2312" w:hAnsi="仿宋_GB2312" w:eastAsia="仿宋_GB2312" w:cs="仿宋_GB2312"/>
                <w:sz w:val="20"/>
                <w:szCs w:val="20"/>
              </w:rPr>
            </w:pPr>
          </w:p>
        </w:tc>
        <w:tc>
          <w:tcPr>
            <w:tcW w:w="615" w:type="dxa"/>
            <w:vAlign w:val="center"/>
          </w:tcPr>
          <w:p w14:paraId="2E5FCAE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1722D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64EF6C68">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地方性法规】《广西壮族自治区测绘管理条例》（1995年自治区第八届人民代表大会常务委员会第14次会议通过，2019年第二次修订）第四十六条：测绘项目招标投标和政府采购活动应当接受县级以上人民政府测绘地理信息主管部门和有关部门的监督管理。</w:t>
            </w:r>
          </w:p>
          <w:p w14:paraId="05CFB27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2.【规范性文件】《测绘市场管理暂行办法》（1995年国家测绘局、国家工商行政管理局发布）第十六条：第二款　测绘主管部门和工商行政管理部门负责测绘项目招、投标的监督管理。</w:t>
            </w:r>
          </w:p>
        </w:tc>
        <w:tc>
          <w:tcPr>
            <w:tcW w:w="3585" w:type="dxa"/>
            <w:vAlign w:val="center"/>
          </w:tcPr>
          <w:p w14:paraId="58F7D85B">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0BC7D12A">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5D9C9370">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3.处理责任：被检单位对检查结果有异议的，应当在收到检查结果之日起15日内，向组织实施的测绘地理信息主管部门提出书面异议报告。</w:t>
            </w:r>
          </w:p>
          <w:p w14:paraId="50625ABA">
            <w:pPr>
              <w:widowControl/>
              <w:adjustRightInd w:val="0"/>
              <w:snapToGrid w:val="0"/>
              <w:spacing w:line="26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4.监管责任：制定措施，强化测绘项目招、投标的监督管理工作。</w:t>
            </w:r>
          </w:p>
          <w:p w14:paraId="63EFF1C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471069EB">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法律】《中华人民共和国测绘法》第四十九条：县级以上人民政府测绘地理信息主管部门应当建立健全随机抽查机制，依法履行监督检查职责，发现涉嫌违反本法规定行为的，可以依法采取下列措施：（一）查阅、复制有关合同、票据、账簿、登记台账以及其他有关文件、资料；（二）查封、扣押与涉嫌违法测绘行为直接相关的设备、工具、原材料、测绘成果资料等。被检查的单位和个人应当配合，如实提供有关文件、资料，不得隐瞒、拒绝和阻碍。</w:t>
            </w:r>
          </w:p>
          <w:p w14:paraId="7C1CD51D">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任何单位和个人对违反本法规定的行为，有权向县级以上人民政府测绘地理信息主管部门举报。接到举报的测绘地理信息主管部门应当及时依法处理。</w:t>
            </w:r>
          </w:p>
          <w:p w14:paraId="63FEB031">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地方性法规】《广西壮族自治区测绘管理条例（1995年自治区第八届人民代表大会常务委员会第14次会议通过，2019年7月25日广西壮族自治区第十三届人民代表大会常务委员会第十次会议第二次修订）第四十六条第一款　测绘项目招标投标和政府采购活动应当接受县级以上人民政府测绘地理信息主管部门和有关部门的监督管理。</w:t>
            </w:r>
          </w:p>
          <w:p w14:paraId="143BC6A2">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 【规范性文件】《测绘市场管理暂行办法》（1995年6月6日国家测绘局、国家工商行政管理局发布）第十六条：第二款　测绘主管部门和工商行政管理部门负责测绘项目招、投标的监督管理。</w:t>
            </w:r>
          </w:p>
          <w:p w14:paraId="0A9D961A">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17B75E2D">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626FB77D">
            <w:pPr>
              <w:widowControl/>
              <w:adjustRightInd w:val="0"/>
              <w:snapToGrid w:val="0"/>
              <w:spacing w:line="25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57A7C21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5DD8D625">
            <w:pPr>
              <w:snapToGrid w:val="0"/>
              <w:spacing w:line="240" w:lineRule="atLeast"/>
              <w:jc w:val="center"/>
              <w:rPr>
                <w:rFonts w:ascii="仿宋_GB2312" w:hAnsi="仿宋_GB2312" w:eastAsia="仿宋_GB2312" w:cs="仿宋_GB2312"/>
                <w:sz w:val="20"/>
                <w:szCs w:val="20"/>
              </w:rPr>
            </w:pPr>
          </w:p>
        </w:tc>
      </w:tr>
    </w:tbl>
    <w:p w14:paraId="0A93B256"/>
    <w:p w14:paraId="24FF9FCD"/>
    <w:p w14:paraId="3F04507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332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EBFB54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46C4BB7">
            <w:pPr>
              <w:spacing w:line="240" w:lineRule="atLeast"/>
              <w:rPr>
                <w:rFonts w:asciiTheme="majorEastAsia" w:hAnsiTheme="majorEastAsia" w:eastAsiaTheme="majorEastAsia" w:cstheme="majorEastAsia"/>
                <w:spacing w:val="-20"/>
                <w:sz w:val="20"/>
                <w:szCs w:val="20"/>
              </w:rPr>
            </w:pPr>
          </w:p>
          <w:p w14:paraId="64E510A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4862E5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90AB20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49D745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36F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40A9E73">
            <w:pPr>
              <w:spacing w:line="240" w:lineRule="atLeast"/>
              <w:jc w:val="left"/>
              <w:rPr>
                <w:rFonts w:ascii="仿宋_GB2312" w:hAnsi="仿宋_GB2312" w:eastAsia="仿宋_GB2312" w:cs="仿宋_GB2312"/>
                <w:sz w:val="20"/>
                <w:szCs w:val="20"/>
              </w:rPr>
            </w:pPr>
          </w:p>
        </w:tc>
        <w:tc>
          <w:tcPr>
            <w:tcW w:w="555" w:type="dxa"/>
            <w:vMerge w:val="continue"/>
          </w:tcPr>
          <w:p w14:paraId="19470962">
            <w:pPr>
              <w:spacing w:line="240" w:lineRule="atLeast"/>
              <w:jc w:val="left"/>
              <w:rPr>
                <w:rFonts w:ascii="仿宋_GB2312" w:hAnsi="仿宋_GB2312" w:eastAsia="仿宋_GB2312" w:cs="仿宋_GB2312"/>
                <w:sz w:val="20"/>
                <w:szCs w:val="20"/>
              </w:rPr>
            </w:pPr>
          </w:p>
        </w:tc>
        <w:tc>
          <w:tcPr>
            <w:tcW w:w="784" w:type="dxa"/>
            <w:vAlign w:val="center"/>
          </w:tcPr>
          <w:p w14:paraId="72DDB99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C5CB7A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4D37C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12CF8A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F1CD7F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02F892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5DEB07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E74FA7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633316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8519981">
            <w:pPr>
              <w:spacing w:line="240" w:lineRule="atLeast"/>
              <w:jc w:val="left"/>
              <w:rPr>
                <w:rFonts w:ascii="仿宋_GB2312" w:hAnsi="仿宋_GB2312" w:eastAsia="仿宋_GB2312" w:cs="仿宋_GB2312"/>
                <w:sz w:val="20"/>
                <w:szCs w:val="20"/>
              </w:rPr>
            </w:pPr>
          </w:p>
        </w:tc>
      </w:tr>
      <w:tr w14:paraId="0F1D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7FC643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204</w:t>
            </w:r>
          </w:p>
        </w:tc>
        <w:tc>
          <w:tcPr>
            <w:tcW w:w="555" w:type="dxa"/>
            <w:vAlign w:val="center"/>
          </w:tcPr>
          <w:p w14:paraId="518DC18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行政检查</w:t>
            </w:r>
          </w:p>
        </w:tc>
        <w:tc>
          <w:tcPr>
            <w:tcW w:w="784" w:type="dxa"/>
            <w:vAlign w:val="center"/>
          </w:tcPr>
          <w:p w14:paraId="5610B3A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对基础测绘成果使用情况的监督检查</w:t>
            </w:r>
          </w:p>
        </w:tc>
        <w:tc>
          <w:tcPr>
            <w:tcW w:w="660" w:type="dxa"/>
            <w:vAlign w:val="center"/>
          </w:tcPr>
          <w:p w14:paraId="02B5A7C1">
            <w:pPr>
              <w:snapToGrid w:val="0"/>
              <w:spacing w:line="240" w:lineRule="atLeast"/>
              <w:jc w:val="center"/>
              <w:rPr>
                <w:rFonts w:ascii="仿宋_GB2312" w:hAnsi="仿宋_GB2312" w:eastAsia="仿宋_GB2312" w:cs="仿宋_GB2312"/>
                <w:sz w:val="20"/>
                <w:szCs w:val="20"/>
              </w:rPr>
            </w:pPr>
          </w:p>
        </w:tc>
        <w:tc>
          <w:tcPr>
            <w:tcW w:w="615" w:type="dxa"/>
            <w:vAlign w:val="center"/>
          </w:tcPr>
          <w:p w14:paraId="207F19E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B92700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测绘地理信息管理科（测绘地理信息局）</w:t>
            </w:r>
          </w:p>
        </w:tc>
        <w:tc>
          <w:tcPr>
            <w:tcW w:w="4605" w:type="dxa"/>
            <w:vAlign w:val="center"/>
          </w:tcPr>
          <w:p w14:paraId="3FB1186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1.【行政法规】《基础测绘条例》（2009年国务院第556号令公布）第五条第二款：县级以上地方人民政府负责管理测绘工作的行政部门（以下简称测绘行政主管部门）负责本行政区域基础测绘工作的统一监督管理。</w:t>
            </w:r>
          </w:p>
          <w:p w14:paraId="48CDB5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2.【规范性文件】《基础测绘成果提供使用管理暂行办法》（2006年国测法字[2006]13号印发实施）第十六条第二款 ：测绘行政主管部门应当依法对基础测绘成果的使用情况进行跟踪检查。</w:t>
            </w:r>
          </w:p>
          <w:p w14:paraId="5123CF1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第十七条：任何单位和个人发现违法使用基础测绘成果的，应当向测绘行政主管部门举报，测绘行政主管部门应当及时核实、处理。</w:t>
            </w:r>
          </w:p>
        </w:tc>
        <w:tc>
          <w:tcPr>
            <w:tcW w:w="3585" w:type="dxa"/>
            <w:vAlign w:val="center"/>
          </w:tcPr>
          <w:p w14:paraId="4B5A111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1.告知责任：测绘地理信息主管部门告知检查内容。</w:t>
            </w:r>
          </w:p>
          <w:p w14:paraId="159D43D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2.检查责任：被检单位应配合监督检查；检查单位应当按照检查方案规定的程序，开展检查工作。</w:t>
            </w:r>
          </w:p>
          <w:p w14:paraId="274DE89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3.处理责任：被检单位对检查结果有异议的，应当在收到检查结果之日起15日内，向组织实施的测绘地理信息主管部门提出书面异议报告。</w:t>
            </w:r>
          </w:p>
          <w:p w14:paraId="61EE9CD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4.监管责任：制定措施，强化基础测绘成果使用情况的监督管理工作。</w:t>
            </w:r>
          </w:p>
          <w:p w14:paraId="671E248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11F0D3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 【规范性文件】《基础测绘成果提供使用管理暂行办法》（国测法字〔2006〕13号）第十六条第二款测绘行政主管部门应当依法对基础测绘成果的使用情况进行跟踪检查。</w:t>
            </w:r>
          </w:p>
          <w:p w14:paraId="690DDB1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 【规范性文件】《基础测绘成果提供使用管理暂行办法》（国测法字〔2006〕13号）第十七条：任何单位和个人发现违法使用基础测绘成果的，应当向测绘行政主管部门举报，测绘行政主管部门应当及时核实、处理。</w:t>
            </w:r>
          </w:p>
          <w:p w14:paraId="2FCF015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2ADD3E4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174E84A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 ：县级以上地方人民政府测绘地理信息主管部门负责本行政区域测绘工作的统一监督管理。县级以上地方人民政府其他有关部门按照本级人民政府规定的职责分工，负责本部门有关的测绘工作。</w:t>
            </w:r>
          </w:p>
          <w:p w14:paraId="5B152DD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4D14792D">
            <w:pPr>
              <w:snapToGrid w:val="0"/>
              <w:spacing w:line="240" w:lineRule="atLeast"/>
              <w:jc w:val="center"/>
              <w:rPr>
                <w:rFonts w:ascii="仿宋_GB2312" w:hAnsi="仿宋_GB2312" w:eastAsia="仿宋_GB2312" w:cs="仿宋_GB2312"/>
                <w:sz w:val="20"/>
                <w:szCs w:val="20"/>
              </w:rPr>
            </w:pPr>
          </w:p>
        </w:tc>
      </w:tr>
    </w:tbl>
    <w:p w14:paraId="3D28F352"/>
    <w:p w14:paraId="76C2A5E1"/>
    <w:p w14:paraId="005A0DA2"/>
    <w:p w14:paraId="45BC74D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2820"/>
        <w:gridCol w:w="780"/>
        <w:gridCol w:w="1230"/>
        <w:gridCol w:w="5220"/>
        <w:gridCol w:w="3360"/>
        <w:gridCol w:w="6680"/>
        <w:gridCol w:w="330"/>
      </w:tblGrid>
      <w:tr w14:paraId="3CC3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97755B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1028BF0">
            <w:pPr>
              <w:spacing w:line="240" w:lineRule="atLeast"/>
              <w:rPr>
                <w:rFonts w:asciiTheme="majorEastAsia" w:hAnsiTheme="majorEastAsia" w:eastAsiaTheme="majorEastAsia" w:cstheme="majorEastAsia"/>
                <w:spacing w:val="-20"/>
                <w:sz w:val="20"/>
                <w:szCs w:val="20"/>
              </w:rPr>
            </w:pPr>
          </w:p>
          <w:p w14:paraId="38E477B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10834" w:type="dxa"/>
            <w:gridSpan w:val="5"/>
            <w:vAlign w:val="center"/>
          </w:tcPr>
          <w:p w14:paraId="411C8C54">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0040" w:type="dxa"/>
            <w:gridSpan w:val="2"/>
            <w:vAlign w:val="center"/>
          </w:tcPr>
          <w:p w14:paraId="3F088B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F6AC17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08F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B3E2AC6">
            <w:pPr>
              <w:spacing w:line="240" w:lineRule="atLeast"/>
              <w:jc w:val="left"/>
              <w:rPr>
                <w:rFonts w:ascii="仿宋_GB2312" w:hAnsi="仿宋_GB2312" w:eastAsia="仿宋_GB2312" w:cs="仿宋_GB2312"/>
                <w:sz w:val="20"/>
                <w:szCs w:val="20"/>
              </w:rPr>
            </w:pPr>
          </w:p>
        </w:tc>
        <w:tc>
          <w:tcPr>
            <w:tcW w:w="555" w:type="dxa"/>
            <w:vMerge w:val="continue"/>
          </w:tcPr>
          <w:p w14:paraId="76C2EBAC">
            <w:pPr>
              <w:spacing w:line="240" w:lineRule="atLeast"/>
              <w:jc w:val="left"/>
              <w:rPr>
                <w:rFonts w:ascii="仿宋_GB2312" w:hAnsi="仿宋_GB2312" w:eastAsia="仿宋_GB2312" w:cs="仿宋_GB2312"/>
                <w:sz w:val="20"/>
                <w:szCs w:val="20"/>
              </w:rPr>
            </w:pPr>
          </w:p>
        </w:tc>
        <w:tc>
          <w:tcPr>
            <w:tcW w:w="784" w:type="dxa"/>
            <w:vAlign w:val="center"/>
          </w:tcPr>
          <w:p w14:paraId="6652F12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9EC4EE5">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2820" w:type="dxa"/>
            <w:vAlign w:val="center"/>
          </w:tcPr>
          <w:p w14:paraId="5C858AF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780" w:type="dxa"/>
            <w:vAlign w:val="center"/>
          </w:tcPr>
          <w:p w14:paraId="7895F32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230" w:type="dxa"/>
            <w:vAlign w:val="center"/>
          </w:tcPr>
          <w:p w14:paraId="643A442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220" w:type="dxa"/>
            <w:vAlign w:val="center"/>
          </w:tcPr>
          <w:p w14:paraId="45C18E4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360" w:type="dxa"/>
            <w:vAlign w:val="center"/>
          </w:tcPr>
          <w:p w14:paraId="03E5C753">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C2A56E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6680" w:type="dxa"/>
            <w:vAlign w:val="center"/>
          </w:tcPr>
          <w:p w14:paraId="4956137A">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FA29F8B">
            <w:pPr>
              <w:spacing w:line="240" w:lineRule="atLeast"/>
              <w:jc w:val="left"/>
              <w:rPr>
                <w:rFonts w:ascii="仿宋_GB2312" w:hAnsi="仿宋_GB2312" w:eastAsia="仿宋_GB2312" w:cs="仿宋_GB2312"/>
                <w:sz w:val="20"/>
                <w:szCs w:val="20"/>
              </w:rPr>
            </w:pPr>
          </w:p>
        </w:tc>
      </w:tr>
      <w:tr w14:paraId="382B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restart"/>
            <w:vAlign w:val="center"/>
          </w:tcPr>
          <w:p w14:paraId="463ABEE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205</w:t>
            </w:r>
          </w:p>
        </w:tc>
        <w:tc>
          <w:tcPr>
            <w:tcW w:w="555" w:type="dxa"/>
            <w:vMerge w:val="restart"/>
            <w:vAlign w:val="center"/>
          </w:tcPr>
          <w:p w14:paraId="2052C6EA">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行政确认</w:t>
            </w:r>
          </w:p>
        </w:tc>
        <w:tc>
          <w:tcPr>
            <w:tcW w:w="784" w:type="dxa"/>
            <w:vMerge w:val="restart"/>
            <w:vAlign w:val="center"/>
          </w:tcPr>
          <w:p w14:paraId="6778054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不动产登记</w:t>
            </w:r>
          </w:p>
        </w:tc>
        <w:tc>
          <w:tcPr>
            <w:tcW w:w="2820" w:type="dxa"/>
            <w:vAlign w:val="center"/>
          </w:tcPr>
          <w:p w14:paraId="05872FC9">
            <w:pPr>
              <w:snapToGrid w:val="0"/>
              <w:spacing w:line="240" w:lineRule="atLeast"/>
              <w:jc w:val="center"/>
              <w:rPr>
                <w:rFonts w:ascii="仿宋_GB2312" w:hAnsi="仿宋_GB2312" w:eastAsia="仿宋_GB2312" w:cs="仿宋_GB2312"/>
                <w:sz w:val="20"/>
                <w:szCs w:val="20"/>
              </w:rPr>
            </w:pPr>
            <w:r>
              <w:rPr>
                <w:rFonts w:hint="eastAsia" w:eastAsia="仿宋_GB2312"/>
                <w:snapToGrid w:val="0"/>
                <w:color w:val="000000"/>
                <w:sz w:val="20"/>
                <w:szCs w:val="20"/>
              </w:rPr>
              <w:t>1.集体土地所有权登记</w:t>
            </w:r>
          </w:p>
        </w:tc>
        <w:tc>
          <w:tcPr>
            <w:tcW w:w="780" w:type="dxa"/>
            <w:vMerge w:val="restart"/>
            <w:vAlign w:val="center"/>
          </w:tcPr>
          <w:p w14:paraId="6E05C2A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230" w:type="dxa"/>
            <w:vMerge w:val="restart"/>
            <w:vAlign w:val="center"/>
          </w:tcPr>
          <w:p w14:paraId="5F18E14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不动产登记中心</w:t>
            </w:r>
          </w:p>
        </w:tc>
        <w:tc>
          <w:tcPr>
            <w:tcW w:w="5220" w:type="dxa"/>
            <w:vMerge w:val="restart"/>
            <w:vAlign w:val="center"/>
          </w:tcPr>
          <w:p w14:paraId="243B325B">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1.【法律】《中华人民共和国民法典》第二百一十条：不动产登记，由不动产所在地的登记机构办理。国家对不动产实行统一登记制度。统一登记的范围、登记机构和登记办法，由法律、行政法规规定。</w:t>
            </w:r>
          </w:p>
          <w:p w14:paraId="5B2AE663">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不动产登记暂行条例》（2014年国务院令第656号公布，2019年国务院令第710号修订）第三条：不动产首次登记、变更登记、转移登记、注销登记、更正登记、异议登记、预告登记、查封登记等，适用本条例。</w:t>
            </w:r>
          </w:p>
          <w:p w14:paraId="533A1241">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第四条：国家实行不动产统一登记制度。</w:t>
            </w:r>
          </w:p>
          <w:p w14:paraId="49254F2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不动产登记遵循严格管理、稳定连续、方便群众的原则。</w:t>
            </w:r>
          </w:p>
          <w:p w14:paraId="67568FBE">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不动产权利人已经依法享有的不动产权利，不因登记机构和登记程序的改变而受到影响。</w:t>
            </w:r>
          </w:p>
          <w:p w14:paraId="66BF4A94">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五条：下列不动产权利，依照本条例的规定办理登记：（一）集体土地所有权；（二）房屋等建筑物、构筑物所有权；（三）森林、林木所有权；（四）耕地、林地、草地等土地承包经营权；（五）建设用地使用权；（六）宅基地使用权；（七）海域使用权；（八）地役权；（九）抵押权；（十）法律规定需要登记的其他不动产权利。</w:t>
            </w:r>
          </w:p>
          <w:p w14:paraId="5545F657">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第六条：国务院国土资源主管部门负责指导、监督全国不动产登记工作。</w:t>
            </w:r>
          </w:p>
          <w:p w14:paraId="148B4332">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县级以上地方人民政府应当确定一个部门为本行政区域的不动产登记机构，负责不动产登记工作，并接受上级人民政府不动产登记主管部门的指导、监督。</w:t>
            </w:r>
          </w:p>
          <w:p w14:paraId="237682A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第七条：不动产登记由不动产所在地的县级人民政府不动产登记机构办理；直辖市、设区的市人民政府可以确定本级不动产登记机构统一办理所属各区的不动产登记。</w:t>
            </w:r>
          </w:p>
          <w:p w14:paraId="4A7904F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跨县级行政区域的不动产登记，由所跨县级行政区域的不动产登记机构分别办理。不能分别办理的，由所跨县级行政区域的不动产登记机构协商办理；协商不成的，由共同的上一级人民政府不动产登记主管部门指定办理。</w:t>
            </w:r>
          </w:p>
        </w:tc>
        <w:tc>
          <w:tcPr>
            <w:tcW w:w="3360" w:type="dxa"/>
            <w:vMerge w:val="restart"/>
            <w:vAlign w:val="center"/>
          </w:tcPr>
          <w:p w14:paraId="0BD12CAB">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7DF0DE9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2.审核责任：按照政策规定对书面材料进行审查，提出是否同意审批的初步意见。</w:t>
            </w:r>
          </w:p>
          <w:p w14:paraId="50EB0953">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3.登簿责任：将申请登记事项记载于不动产登记簿。</w:t>
            </w:r>
          </w:p>
          <w:p w14:paraId="60FB2C22">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4.缮证阶段责任：颁发不动产登记证。</w:t>
            </w:r>
          </w:p>
          <w:p w14:paraId="35AEF80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5.其他法律法规规章文件规定应履行的责任。</w:t>
            </w:r>
          </w:p>
          <w:p w14:paraId="00F1CF56">
            <w:pPr>
              <w:snapToGrid w:val="0"/>
              <w:spacing w:line="240" w:lineRule="atLeast"/>
              <w:ind w:firstLine="400" w:firstLineChars="200"/>
              <w:rPr>
                <w:rFonts w:ascii="仿宋_GB2312" w:hAnsi="仿宋_GB2312" w:eastAsia="仿宋_GB2312" w:cs="仿宋_GB2312"/>
                <w:sz w:val="20"/>
                <w:szCs w:val="20"/>
              </w:rPr>
            </w:pPr>
          </w:p>
        </w:tc>
        <w:tc>
          <w:tcPr>
            <w:tcW w:w="6680" w:type="dxa"/>
            <w:vMerge w:val="restart"/>
            <w:vAlign w:val="center"/>
          </w:tcPr>
          <w:p w14:paraId="14AF90ED">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不动产登记暂行条例》（2014年国务院令第656号公布，2019年修订）第十七条：不动产登记机构收到不动产登记申请材料，应当分别按照下列情况办理：（一）属于登记职责范围，申请材料齐全、符合法定形式，或者申请人按照要求提交全部补正申请材料的，应当受理并书面告知申请人；（二）申请材料存在可以当场更正的错误的，应当告知申请人当场更正，申请人当场更正后，应当受理并书面告知申请人；（三）申请材料不齐全或者不符合法定形式的，应当当场书面告知申请人不予受理并一次性告知需要补正的全部内容；（四）申请登记的不动产不属于本机构登记范围的，应当当场书面告知申请人不予受理并告知申请人向有登记权的机构申请。不动产登记机构未当场书面告知申请人不予受理的，视为受理。</w:t>
            </w:r>
          </w:p>
          <w:p w14:paraId="4A404069">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不动产登记暂行条例》（2014年国务院令第656号公布，2019年修订）第十八条：不动产登记机构受理不动产登记申请的，应当按照下列要求进行查验：（一）不动产界址、空间界限、面积等材料与申请登记的不动产状况是否一致；（二）有关证明材料、文件与申请登记的内容是否一致；（三）登记申请是否违反法律、行政法规规定。</w:t>
            </w:r>
          </w:p>
          <w:p w14:paraId="39775DFF">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行政法规】《不动产登记暂行条例》（2014年国务院令第656号公布，2019年修订）第二十一条：登记事项自记载于不动产登记簿时完成登记。不动产登记机构完成登记，应当依法向申请人核发不动产权属证书或者登记证明。</w:t>
            </w:r>
          </w:p>
          <w:p w14:paraId="519B0CAC">
            <w:pPr>
              <w:widowControl/>
              <w:adjustRightInd w:val="0"/>
              <w:snapToGrid w:val="0"/>
              <w:spacing w:line="28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4.同3。</w:t>
            </w:r>
          </w:p>
          <w:p w14:paraId="438CFFEF">
            <w:pPr>
              <w:snapToGrid w:val="0"/>
              <w:spacing w:line="240" w:lineRule="atLeast"/>
              <w:ind w:firstLine="400" w:firstLineChars="200"/>
              <w:rPr>
                <w:rFonts w:ascii="仿宋_GB2312" w:hAnsi="仿宋_GB2312" w:eastAsia="仿宋_GB2312" w:cs="仿宋_GB2312"/>
                <w:sz w:val="20"/>
                <w:szCs w:val="20"/>
              </w:rPr>
            </w:pPr>
          </w:p>
        </w:tc>
        <w:tc>
          <w:tcPr>
            <w:tcW w:w="330" w:type="dxa"/>
            <w:vMerge w:val="restart"/>
            <w:vAlign w:val="center"/>
          </w:tcPr>
          <w:p w14:paraId="32DABD86">
            <w:pPr>
              <w:snapToGrid w:val="0"/>
              <w:spacing w:line="240" w:lineRule="atLeast"/>
              <w:jc w:val="center"/>
              <w:rPr>
                <w:rFonts w:ascii="仿宋_GB2312" w:hAnsi="仿宋_GB2312" w:eastAsia="仿宋_GB2312" w:cs="仿宋_GB2312"/>
                <w:sz w:val="20"/>
                <w:szCs w:val="20"/>
              </w:rPr>
            </w:pPr>
          </w:p>
        </w:tc>
      </w:tr>
      <w:tr w14:paraId="7279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BDA1C43">
            <w:pPr>
              <w:snapToGrid w:val="0"/>
              <w:spacing w:line="240" w:lineRule="atLeast"/>
              <w:jc w:val="center"/>
            </w:pPr>
          </w:p>
        </w:tc>
        <w:tc>
          <w:tcPr>
            <w:tcW w:w="555" w:type="dxa"/>
            <w:vMerge w:val="continue"/>
            <w:vAlign w:val="center"/>
          </w:tcPr>
          <w:p w14:paraId="2EF4EA53">
            <w:pPr>
              <w:snapToGrid w:val="0"/>
              <w:spacing w:line="240" w:lineRule="atLeast"/>
              <w:jc w:val="center"/>
            </w:pPr>
          </w:p>
        </w:tc>
        <w:tc>
          <w:tcPr>
            <w:tcW w:w="784" w:type="dxa"/>
            <w:vMerge w:val="continue"/>
            <w:vAlign w:val="center"/>
          </w:tcPr>
          <w:p w14:paraId="28CAED57">
            <w:pPr>
              <w:snapToGrid w:val="0"/>
              <w:spacing w:line="240" w:lineRule="atLeast"/>
              <w:jc w:val="center"/>
            </w:pPr>
          </w:p>
        </w:tc>
        <w:tc>
          <w:tcPr>
            <w:tcW w:w="2820" w:type="dxa"/>
            <w:vAlign w:val="center"/>
          </w:tcPr>
          <w:p w14:paraId="61CD23CF">
            <w:pPr>
              <w:snapToGrid w:val="0"/>
              <w:spacing w:line="240" w:lineRule="atLeast"/>
              <w:jc w:val="center"/>
              <w:rPr>
                <w:rFonts w:ascii="仿宋_GB2312" w:hAnsi="仿宋_GB2312" w:eastAsia="仿宋_GB2312" w:cs="仿宋_GB2312"/>
                <w:sz w:val="20"/>
                <w:szCs w:val="20"/>
              </w:rPr>
            </w:pPr>
            <w:r>
              <w:rPr>
                <w:rFonts w:hint="eastAsia" w:eastAsia="仿宋_GB2312"/>
                <w:snapToGrid w:val="0"/>
                <w:color w:val="000000"/>
                <w:sz w:val="20"/>
                <w:szCs w:val="20"/>
              </w:rPr>
              <w:t>2.建设用地使用权</w:t>
            </w:r>
          </w:p>
        </w:tc>
        <w:tc>
          <w:tcPr>
            <w:tcW w:w="780" w:type="dxa"/>
            <w:vMerge w:val="continue"/>
            <w:vAlign w:val="center"/>
          </w:tcPr>
          <w:p w14:paraId="23DD5DCF">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7C4206DC">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1B02328D">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15C6129D">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1EA4AB9E">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4014088E">
            <w:pPr>
              <w:snapToGrid w:val="0"/>
              <w:spacing w:line="240" w:lineRule="atLeast"/>
              <w:jc w:val="center"/>
              <w:rPr>
                <w:rFonts w:ascii="仿宋_GB2312" w:hAnsi="仿宋_GB2312" w:eastAsia="仿宋_GB2312" w:cs="仿宋_GB2312"/>
                <w:sz w:val="20"/>
                <w:szCs w:val="20"/>
              </w:rPr>
            </w:pPr>
          </w:p>
        </w:tc>
      </w:tr>
      <w:tr w14:paraId="1F28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4209B600">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3C85C589">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24A907D4">
            <w:pPr>
              <w:snapToGrid w:val="0"/>
              <w:spacing w:line="240" w:lineRule="atLeast"/>
              <w:jc w:val="center"/>
              <w:rPr>
                <w:rFonts w:ascii="仿宋_GB2312" w:hAnsi="仿宋_GB2312" w:eastAsia="仿宋_GB2312" w:cs="仿宋_GB2312"/>
                <w:sz w:val="20"/>
                <w:szCs w:val="20"/>
              </w:rPr>
            </w:pPr>
          </w:p>
        </w:tc>
        <w:tc>
          <w:tcPr>
            <w:tcW w:w="2820" w:type="dxa"/>
            <w:vAlign w:val="center"/>
          </w:tcPr>
          <w:p w14:paraId="6C9BF846">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3.房屋等建筑物、构筑物所有权登记</w:t>
            </w:r>
          </w:p>
        </w:tc>
        <w:tc>
          <w:tcPr>
            <w:tcW w:w="780" w:type="dxa"/>
            <w:vMerge w:val="continue"/>
            <w:vAlign w:val="center"/>
          </w:tcPr>
          <w:p w14:paraId="25EEA002">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5163C476">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267912C7">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2CB4B397">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45B44765">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4B03D483">
            <w:pPr>
              <w:snapToGrid w:val="0"/>
              <w:spacing w:line="240" w:lineRule="atLeast"/>
              <w:jc w:val="center"/>
              <w:rPr>
                <w:rFonts w:ascii="仿宋_GB2312" w:hAnsi="仿宋_GB2312" w:eastAsia="仿宋_GB2312" w:cs="仿宋_GB2312"/>
                <w:sz w:val="20"/>
                <w:szCs w:val="20"/>
              </w:rPr>
            </w:pPr>
          </w:p>
        </w:tc>
      </w:tr>
      <w:tr w14:paraId="2DBC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2CF29C68">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66B6C144">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48565B1C">
            <w:pPr>
              <w:snapToGrid w:val="0"/>
              <w:spacing w:line="240" w:lineRule="atLeast"/>
              <w:jc w:val="center"/>
              <w:rPr>
                <w:rFonts w:ascii="仿宋_GB2312" w:hAnsi="仿宋_GB2312" w:eastAsia="仿宋_GB2312" w:cs="仿宋_GB2312"/>
                <w:sz w:val="20"/>
                <w:szCs w:val="20"/>
              </w:rPr>
            </w:pPr>
          </w:p>
        </w:tc>
        <w:tc>
          <w:tcPr>
            <w:tcW w:w="2820" w:type="dxa"/>
            <w:vAlign w:val="center"/>
          </w:tcPr>
          <w:p w14:paraId="24D76E65">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4．宅基地使用权</w:t>
            </w:r>
          </w:p>
        </w:tc>
        <w:tc>
          <w:tcPr>
            <w:tcW w:w="780" w:type="dxa"/>
            <w:vMerge w:val="continue"/>
            <w:vAlign w:val="center"/>
          </w:tcPr>
          <w:p w14:paraId="3CC58E90">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0268962D">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0D86CC79">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05E7CECB">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5C45BD4C">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078768A5">
            <w:pPr>
              <w:snapToGrid w:val="0"/>
              <w:spacing w:line="240" w:lineRule="atLeast"/>
              <w:jc w:val="center"/>
              <w:rPr>
                <w:rFonts w:ascii="仿宋_GB2312" w:hAnsi="仿宋_GB2312" w:eastAsia="仿宋_GB2312" w:cs="仿宋_GB2312"/>
                <w:sz w:val="20"/>
                <w:szCs w:val="20"/>
              </w:rPr>
            </w:pPr>
          </w:p>
        </w:tc>
      </w:tr>
      <w:tr w14:paraId="389A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55B787EB">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2ACFC582">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31DC732D">
            <w:pPr>
              <w:snapToGrid w:val="0"/>
              <w:spacing w:line="240" w:lineRule="atLeast"/>
              <w:jc w:val="center"/>
              <w:rPr>
                <w:rFonts w:ascii="仿宋_GB2312" w:hAnsi="仿宋_GB2312" w:eastAsia="仿宋_GB2312" w:cs="仿宋_GB2312"/>
                <w:sz w:val="20"/>
                <w:szCs w:val="20"/>
              </w:rPr>
            </w:pPr>
          </w:p>
        </w:tc>
        <w:tc>
          <w:tcPr>
            <w:tcW w:w="2820" w:type="dxa"/>
            <w:vAlign w:val="center"/>
          </w:tcPr>
          <w:p w14:paraId="34AF4C5A">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5．海域使用权登记以及其他法定需要的不动产权利登记</w:t>
            </w:r>
          </w:p>
        </w:tc>
        <w:tc>
          <w:tcPr>
            <w:tcW w:w="780" w:type="dxa"/>
            <w:vMerge w:val="continue"/>
            <w:vAlign w:val="center"/>
          </w:tcPr>
          <w:p w14:paraId="466B7417">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26873410">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671268C1">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03E775B2">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307643E9">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568F647F">
            <w:pPr>
              <w:snapToGrid w:val="0"/>
              <w:spacing w:line="240" w:lineRule="atLeast"/>
              <w:jc w:val="center"/>
              <w:rPr>
                <w:rFonts w:ascii="仿宋_GB2312" w:hAnsi="仿宋_GB2312" w:eastAsia="仿宋_GB2312" w:cs="仿宋_GB2312"/>
                <w:sz w:val="20"/>
                <w:szCs w:val="20"/>
              </w:rPr>
            </w:pPr>
          </w:p>
        </w:tc>
      </w:tr>
      <w:tr w14:paraId="05B9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3D0FB0DA">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19C86712">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18018E9A">
            <w:pPr>
              <w:snapToGrid w:val="0"/>
              <w:spacing w:line="240" w:lineRule="atLeast"/>
              <w:jc w:val="center"/>
              <w:rPr>
                <w:rFonts w:ascii="仿宋_GB2312" w:hAnsi="仿宋_GB2312" w:eastAsia="仿宋_GB2312" w:cs="仿宋_GB2312"/>
                <w:sz w:val="20"/>
                <w:szCs w:val="20"/>
              </w:rPr>
            </w:pPr>
          </w:p>
        </w:tc>
        <w:tc>
          <w:tcPr>
            <w:tcW w:w="2820" w:type="dxa"/>
            <w:vAlign w:val="center"/>
          </w:tcPr>
          <w:p w14:paraId="7388CDE0">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6．地役权登记</w:t>
            </w:r>
          </w:p>
        </w:tc>
        <w:tc>
          <w:tcPr>
            <w:tcW w:w="780" w:type="dxa"/>
            <w:vMerge w:val="continue"/>
            <w:vAlign w:val="center"/>
          </w:tcPr>
          <w:p w14:paraId="7988CEBB">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71E27B42">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2C477C2F">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641C5B0B">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5CC56B1D">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31685461">
            <w:pPr>
              <w:snapToGrid w:val="0"/>
              <w:spacing w:line="240" w:lineRule="atLeast"/>
              <w:jc w:val="center"/>
              <w:rPr>
                <w:rFonts w:ascii="仿宋_GB2312" w:hAnsi="仿宋_GB2312" w:eastAsia="仿宋_GB2312" w:cs="仿宋_GB2312"/>
                <w:sz w:val="20"/>
                <w:szCs w:val="20"/>
              </w:rPr>
            </w:pPr>
          </w:p>
        </w:tc>
      </w:tr>
      <w:tr w14:paraId="30CC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182160B8">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0F727D7B">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2E6FEAFF">
            <w:pPr>
              <w:snapToGrid w:val="0"/>
              <w:spacing w:line="240" w:lineRule="atLeast"/>
              <w:jc w:val="center"/>
              <w:rPr>
                <w:rFonts w:ascii="仿宋_GB2312" w:hAnsi="仿宋_GB2312" w:eastAsia="仿宋_GB2312" w:cs="仿宋_GB2312"/>
                <w:sz w:val="20"/>
                <w:szCs w:val="20"/>
              </w:rPr>
            </w:pPr>
          </w:p>
        </w:tc>
        <w:tc>
          <w:tcPr>
            <w:tcW w:w="2820" w:type="dxa"/>
            <w:vAlign w:val="center"/>
          </w:tcPr>
          <w:p w14:paraId="0B113C6B">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7．预告登记</w:t>
            </w:r>
          </w:p>
        </w:tc>
        <w:tc>
          <w:tcPr>
            <w:tcW w:w="780" w:type="dxa"/>
            <w:vMerge w:val="continue"/>
            <w:vAlign w:val="center"/>
          </w:tcPr>
          <w:p w14:paraId="1D2EFB26">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241A72ED">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1478381C">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56347EBB">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080D57D0">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07D52824">
            <w:pPr>
              <w:snapToGrid w:val="0"/>
              <w:spacing w:line="240" w:lineRule="atLeast"/>
              <w:jc w:val="center"/>
              <w:rPr>
                <w:rFonts w:ascii="仿宋_GB2312" w:hAnsi="仿宋_GB2312" w:eastAsia="仿宋_GB2312" w:cs="仿宋_GB2312"/>
                <w:sz w:val="20"/>
                <w:szCs w:val="20"/>
              </w:rPr>
            </w:pPr>
          </w:p>
        </w:tc>
      </w:tr>
      <w:tr w14:paraId="315F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7C782465">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4A17A0BB">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76302066">
            <w:pPr>
              <w:snapToGrid w:val="0"/>
              <w:spacing w:line="240" w:lineRule="atLeast"/>
              <w:jc w:val="center"/>
              <w:rPr>
                <w:rFonts w:ascii="仿宋_GB2312" w:hAnsi="仿宋_GB2312" w:eastAsia="仿宋_GB2312" w:cs="仿宋_GB2312"/>
                <w:sz w:val="20"/>
                <w:szCs w:val="20"/>
              </w:rPr>
            </w:pPr>
          </w:p>
        </w:tc>
        <w:tc>
          <w:tcPr>
            <w:tcW w:w="2820" w:type="dxa"/>
            <w:vAlign w:val="center"/>
          </w:tcPr>
          <w:p w14:paraId="08C2E70C">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8．更正登记</w:t>
            </w:r>
          </w:p>
        </w:tc>
        <w:tc>
          <w:tcPr>
            <w:tcW w:w="780" w:type="dxa"/>
            <w:vMerge w:val="continue"/>
            <w:vAlign w:val="center"/>
          </w:tcPr>
          <w:p w14:paraId="2304DD2F">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3B18376F">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3BFE2906">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3470A9E1">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20CDD2E5">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0B96B462">
            <w:pPr>
              <w:snapToGrid w:val="0"/>
              <w:spacing w:line="240" w:lineRule="atLeast"/>
              <w:jc w:val="center"/>
              <w:rPr>
                <w:rFonts w:ascii="仿宋_GB2312" w:hAnsi="仿宋_GB2312" w:eastAsia="仿宋_GB2312" w:cs="仿宋_GB2312"/>
                <w:sz w:val="20"/>
                <w:szCs w:val="20"/>
              </w:rPr>
            </w:pPr>
          </w:p>
        </w:tc>
      </w:tr>
      <w:tr w14:paraId="6EFF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497E40ED">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56A7054B">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3D9B994A">
            <w:pPr>
              <w:snapToGrid w:val="0"/>
              <w:spacing w:line="240" w:lineRule="atLeast"/>
              <w:jc w:val="center"/>
              <w:rPr>
                <w:rFonts w:ascii="仿宋_GB2312" w:hAnsi="仿宋_GB2312" w:eastAsia="仿宋_GB2312" w:cs="仿宋_GB2312"/>
                <w:sz w:val="20"/>
                <w:szCs w:val="20"/>
              </w:rPr>
            </w:pPr>
          </w:p>
        </w:tc>
        <w:tc>
          <w:tcPr>
            <w:tcW w:w="2820" w:type="dxa"/>
            <w:vAlign w:val="center"/>
          </w:tcPr>
          <w:p w14:paraId="24CF342A">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9.异议登记</w:t>
            </w:r>
          </w:p>
        </w:tc>
        <w:tc>
          <w:tcPr>
            <w:tcW w:w="780" w:type="dxa"/>
            <w:vMerge w:val="continue"/>
            <w:vAlign w:val="center"/>
          </w:tcPr>
          <w:p w14:paraId="550186DD">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10E15BE8">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40A26390">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3771C16A">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17C8E958">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744E401D">
            <w:pPr>
              <w:snapToGrid w:val="0"/>
              <w:spacing w:line="240" w:lineRule="atLeast"/>
              <w:jc w:val="center"/>
              <w:rPr>
                <w:rFonts w:ascii="仿宋_GB2312" w:hAnsi="仿宋_GB2312" w:eastAsia="仿宋_GB2312" w:cs="仿宋_GB2312"/>
                <w:sz w:val="20"/>
                <w:szCs w:val="20"/>
              </w:rPr>
            </w:pPr>
          </w:p>
        </w:tc>
      </w:tr>
      <w:tr w14:paraId="728D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1088E23">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7E28D1E8">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4C934A18">
            <w:pPr>
              <w:snapToGrid w:val="0"/>
              <w:spacing w:line="240" w:lineRule="atLeast"/>
              <w:jc w:val="center"/>
              <w:rPr>
                <w:rFonts w:ascii="仿宋_GB2312" w:hAnsi="仿宋_GB2312" w:eastAsia="仿宋_GB2312" w:cs="仿宋_GB2312"/>
                <w:sz w:val="20"/>
                <w:szCs w:val="20"/>
              </w:rPr>
            </w:pPr>
          </w:p>
        </w:tc>
        <w:tc>
          <w:tcPr>
            <w:tcW w:w="2820" w:type="dxa"/>
            <w:vAlign w:val="center"/>
          </w:tcPr>
          <w:p w14:paraId="77529FDF">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10.查封登记</w:t>
            </w:r>
          </w:p>
        </w:tc>
        <w:tc>
          <w:tcPr>
            <w:tcW w:w="780" w:type="dxa"/>
            <w:vMerge w:val="continue"/>
            <w:vAlign w:val="center"/>
          </w:tcPr>
          <w:p w14:paraId="3100DBA9">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639C8C14">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3E89AFD3">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2DE093F6">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1EE6C308">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26F015F8">
            <w:pPr>
              <w:snapToGrid w:val="0"/>
              <w:spacing w:line="240" w:lineRule="atLeast"/>
              <w:jc w:val="center"/>
              <w:rPr>
                <w:rFonts w:ascii="仿宋_GB2312" w:hAnsi="仿宋_GB2312" w:eastAsia="仿宋_GB2312" w:cs="仿宋_GB2312"/>
                <w:sz w:val="20"/>
                <w:szCs w:val="20"/>
              </w:rPr>
            </w:pPr>
          </w:p>
        </w:tc>
      </w:tr>
      <w:tr w14:paraId="49C9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0F1FF102">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307CED00">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29EAD7D6">
            <w:pPr>
              <w:snapToGrid w:val="0"/>
              <w:spacing w:line="240" w:lineRule="atLeast"/>
              <w:jc w:val="center"/>
              <w:rPr>
                <w:rFonts w:ascii="仿宋_GB2312" w:hAnsi="仿宋_GB2312" w:eastAsia="仿宋_GB2312" w:cs="仿宋_GB2312"/>
                <w:sz w:val="20"/>
                <w:szCs w:val="20"/>
              </w:rPr>
            </w:pPr>
          </w:p>
        </w:tc>
        <w:tc>
          <w:tcPr>
            <w:tcW w:w="2820" w:type="dxa"/>
            <w:vAlign w:val="center"/>
          </w:tcPr>
          <w:p w14:paraId="7C21603D">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11.抵押权登记</w:t>
            </w:r>
          </w:p>
        </w:tc>
        <w:tc>
          <w:tcPr>
            <w:tcW w:w="780" w:type="dxa"/>
            <w:vMerge w:val="continue"/>
            <w:vAlign w:val="center"/>
          </w:tcPr>
          <w:p w14:paraId="58D1346A">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39F258BC">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5DEB459E">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33269C5E">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0484F301">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5BF58507">
            <w:pPr>
              <w:snapToGrid w:val="0"/>
              <w:spacing w:line="240" w:lineRule="atLeast"/>
              <w:jc w:val="center"/>
              <w:rPr>
                <w:rFonts w:ascii="仿宋_GB2312" w:hAnsi="仿宋_GB2312" w:eastAsia="仿宋_GB2312" w:cs="仿宋_GB2312"/>
                <w:sz w:val="20"/>
                <w:szCs w:val="20"/>
              </w:rPr>
            </w:pPr>
          </w:p>
        </w:tc>
      </w:tr>
      <w:tr w14:paraId="3B51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40F36F3B">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56B987DB">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50604337">
            <w:pPr>
              <w:snapToGrid w:val="0"/>
              <w:spacing w:line="240" w:lineRule="atLeast"/>
              <w:jc w:val="center"/>
              <w:rPr>
                <w:rFonts w:ascii="仿宋_GB2312" w:hAnsi="仿宋_GB2312" w:eastAsia="仿宋_GB2312" w:cs="仿宋_GB2312"/>
                <w:sz w:val="20"/>
                <w:szCs w:val="20"/>
              </w:rPr>
            </w:pPr>
          </w:p>
        </w:tc>
        <w:tc>
          <w:tcPr>
            <w:tcW w:w="2820" w:type="dxa"/>
            <w:vAlign w:val="center"/>
          </w:tcPr>
          <w:p w14:paraId="7B001E22">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12.森林、林木所有权登记</w:t>
            </w:r>
          </w:p>
        </w:tc>
        <w:tc>
          <w:tcPr>
            <w:tcW w:w="780" w:type="dxa"/>
            <w:vMerge w:val="continue"/>
            <w:vAlign w:val="center"/>
          </w:tcPr>
          <w:p w14:paraId="2BD36BEC">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07F4BB1C">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5DCC09AB">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3B50D413">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3074B9B2">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595C09F4">
            <w:pPr>
              <w:snapToGrid w:val="0"/>
              <w:spacing w:line="240" w:lineRule="atLeast"/>
              <w:jc w:val="center"/>
              <w:rPr>
                <w:rFonts w:ascii="仿宋_GB2312" w:hAnsi="仿宋_GB2312" w:eastAsia="仿宋_GB2312" w:cs="仿宋_GB2312"/>
                <w:sz w:val="20"/>
                <w:szCs w:val="20"/>
              </w:rPr>
            </w:pPr>
          </w:p>
        </w:tc>
      </w:tr>
      <w:tr w14:paraId="170B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12DA4446">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427124F7">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53D67217">
            <w:pPr>
              <w:snapToGrid w:val="0"/>
              <w:spacing w:line="240" w:lineRule="atLeast"/>
              <w:jc w:val="center"/>
              <w:rPr>
                <w:rFonts w:ascii="仿宋_GB2312" w:hAnsi="仿宋_GB2312" w:eastAsia="仿宋_GB2312" w:cs="仿宋_GB2312"/>
                <w:sz w:val="20"/>
                <w:szCs w:val="20"/>
              </w:rPr>
            </w:pPr>
          </w:p>
        </w:tc>
        <w:tc>
          <w:tcPr>
            <w:tcW w:w="2820" w:type="dxa"/>
            <w:vAlign w:val="center"/>
          </w:tcPr>
          <w:p w14:paraId="5A318349">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13.国有林地使用权登记</w:t>
            </w:r>
          </w:p>
        </w:tc>
        <w:tc>
          <w:tcPr>
            <w:tcW w:w="780" w:type="dxa"/>
            <w:vMerge w:val="continue"/>
            <w:vAlign w:val="center"/>
          </w:tcPr>
          <w:p w14:paraId="585A0717">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524A3900">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68753C7A">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4B597E74">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545168E7">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41844BC1">
            <w:pPr>
              <w:snapToGrid w:val="0"/>
              <w:spacing w:line="240" w:lineRule="atLeast"/>
              <w:jc w:val="center"/>
              <w:rPr>
                <w:rFonts w:ascii="仿宋_GB2312" w:hAnsi="仿宋_GB2312" w:eastAsia="仿宋_GB2312" w:cs="仿宋_GB2312"/>
                <w:sz w:val="20"/>
                <w:szCs w:val="20"/>
              </w:rPr>
            </w:pPr>
          </w:p>
        </w:tc>
      </w:tr>
      <w:tr w14:paraId="4F93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35F82DC6">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2F4F909C">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7823D1F6">
            <w:pPr>
              <w:snapToGrid w:val="0"/>
              <w:spacing w:line="240" w:lineRule="atLeast"/>
              <w:jc w:val="center"/>
              <w:rPr>
                <w:rFonts w:ascii="仿宋_GB2312" w:hAnsi="仿宋_GB2312" w:eastAsia="仿宋_GB2312" w:cs="仿宋_GB2312"/>
                <w:sz w:val="20"/>
                <w:szCs w:val="20"/>
              </w:rPr>
            </w:pPr>
          </w:p>
        </w:tc>
        <w:tc>
          <w:tcPr>
            <w:tcW w:w="2820" w:type="dxa"/>
            <w:vAlign w:val="center"/>
          </w:tcPr>
          <w:p w14:paraId="7BBA6ED0">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14．国有农用地使用权登记</w:t>
            </w:r>
          </w:p>
        </w:tc>
        <w:tc>
          <w:tcPr>
            <w:tcW w:w="780" w:type="dxa"/>
            <w:vMerge w:val="continue"/>
            <w:vAlign w:val="center"/>
          </w:tcPr>
          <w:p w14:paraId="3B94A2B0">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59DF5C6F">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221A59D3">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2F07A531">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35884481">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21582AB2">
            <w:pPr>
              <w:snapToGrid w:val="0"/>
              <w:spacing w:line="240" w:lineRule="atLeast"/>
              <w:jc w:val="center"/>
              <w:rPr>
                <w:rFonts w:ascii="仿宋_GB2312" w:hAnsi="仿宋_GB2312" w:eastAsia="仿宋_GB2312" w:cs="仿宋_GB2312"/>
                <w:sz w:val="20"/>
                <w:szCs w:val="20"/>
              </w:rPr>
            </w:pPr>
          </w:p>
        </w:tc>
      </w:tr>
      <w:tr w14:paraId="63DE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11" w:type="dxa"/>
            <w:vMerge w:val="continue"/>
            <w:vAlign w:val="center"/>
          </w:tcPr>
          <w:p w14:paraId="157AF36A">
            <w:pPr>
              <w:snapToGrid w:val="0"/>
              <w:spacing w:line="240" w:lineRule="atLeast"/>
              <w:jc w:val="center"/>
              <w:rPr>
                <w:rFonts w:ascii="仿宋_GB2312" w:hAnsi="仿宋_GB2312" w:eastAsia="仿宋_GB2312" w:cs="仿宋_GB2312"/>
                <w:sz w:val="20"/>
                <w:szCs w:val="20"/>
              </w:rPr>
            </w:pPr>
          </w:p>
        </w:tc>
        <w:tc>
          <w:tcPr>
            <w:tcW w:w="555" w:type="dxa"/>
            <w:vMerge w:val="continue"/>
            <w:vAlign w:val="center"/>
          </w:tcPr>
          <w:p w14:paraId="59449B7F">
            <w:pPr>
              <w:snapToGrid w:val="0"/>
              <w:spacing w:line="240" w:lineRule="atLeast"/>
              <w:jc w:val="center"/>
              <w:rPr>
                <w:rFonts w:ascii="仿宋_GB2312" w:hAnsi="仿宋_GB2312" w:eastAsia="仿宋_GB2312" w:cs="仿宋_GB2312"/>
                <w:sz w:val="20"/>
                <w:szCs w:val="20"/>
              </w:rPr>
            </w:pPr>
          </w:p>
        </w:tc>
        <w:tc>
          <w:tcPr>
            <w:tcW w:w="784" w:type="dxa"/>
            <w:vMerge w:val="continue"/>
            <w:vAlign w:val="center"/>
          </w:tcPr>
          <w:p w14:paraId="624CBE2B">
            <w:pPr>
              <w:snapToGrid w:val="0"/>
              <w:spacing w:line="240" w:lineRule="atLeast"/>
              <w:jc w:val="center"/>
              <w:rPr>
                <w:rFonts w:ascii="仿宋_GB2312" w:hAnsi="仿宋_GB2312" w:eastAsia="仿宋_GB2312" w:cs="仿宋_GB2312"/>
                <w:sz w:val="20"/>
                <w:szCs w:val="20"/>
              </w:rPr>
            </w:pPr>
          </w:p>
        </w:tc>
        <w:tc>
          <w:tcPr>
            <w:tcW w:w="2820" w:type="dxa"/>
            <w:vAlign w:val="center"/>
          </w:tcPr>
          <w:p w14:paraId="0D3D1448">
            <w:pPr>
              <w:snapToGrid w:val="0"/>
              <w:spacing w:line="240" w:lineRule="atLeast"/>
              <w:jc w:val="center"/>
              <w:rPr>
                <w:rFonts w:eastAsia="仿宋_GB2312"/>
                <w:snapToGrid w:val="0"/>
                <w:color w:val="000000"/>
                <w:sz w:val="20"/>
                <w:szCs w:val="20"/>
              </w:rPr>
            </w:pPr>
            <w:r>
              <w:rPr>
                <w:rFonts w:hint="eastAsia" w:eastAsia="仿宋_GB2312"/>
                <w:snapToGrid w:val="0"/>
                <w:color w:val="000000"/>
                <w:sz w:val="20"/>
                <w:szCs w:val="20"/>
              </w:rPr>
              <w:t>15．耕地、林地、草原等土地承包经营权登记</w:t>
            </w:r>
          </w:p>
        </w:tc>
        <w:tc>
          <w:tcPr>
            <w:tcW w:w="780" w:type="dxa"/>
            <w:vMerge w:val="continue"/>
            <w:vAlign w:val="center"/>
          </w:tcPr>
          <w:p w14:paraId="4A4C6ED1">
            <w:pPr>
              <w:snapToGrid w:val="0"/>
              <w:spacing w:line="240" w:lineRule="atLeast"/>
              <w:jc w:val="center"/>
              <w:rPr>
                <w:rFonts w:ascii="仿宋_GB2312" w:hAnsi="仿宋_GB2312" w:eastAsia="仿宋_GB2312" w:cs="仿宋_GB2312"/>
                <w:sz w:val="20"/>
                <w:szCs w:val="20"/>
              </w:rPr>
            </w:pPr>
          </w:p>
        </w:tc>
        <w:tc>
          <w:tcPr>
            <w:tcW w:w="1230" w:type="dxa"/>
            <w:vMerge w:val="continue"/>
            <w:vAlign w:val="center"/>
          </w:tcPr>
          <w:p w14:paraId="325ED8D9">
            <w:pPr>
              <w:snapToGrid w:val="0"/>
              <w:spacing w:line="240" w:lineRule="atLeast"/>
              <w:jc w:val="center"/>
              <w:rPr>
                <w:rFonts w:ascii="仿宋_GB2312" w:hAnsi="仿宋_GB2312" w:eastAsia="仿宋_GB2312" w:cs="仿宋_GB2312"/>
                <w:sz w:val="20"/>
                <w:szCs w:val="20"/>
              </w:rPr>
            </w:pPr>
          </w:p>
        </w:tc>
        <w:tc>
          <w:tcPr>
            <w:tcW w:w="5220" w:type="dxa"/>
            <w:vMerge w:val="continue"/>
            <w:vAlign w:val="center"/>
          </w:tcPr>
          <w:p w14:paraId="40F0152C">
            <w:pPr>
              <w:snapToGrid w:val="0"/>
              <w:spacing w:line="240" w:lineRule="atLeast"/>
              <w:jc w:val="center"/>
              <w:rPr>
                <w:rFonts w:ascii="仿宋_GB2312" w:hAnsi="仿宋_GB2312" w:eastAsia="仿宋_GB2312" w:cs="仿宋_GB2312"/>
                <w:sz w:val="20"/>
                <w:szCs w:val="20"/>
              </w:rPr>
            </w:pPr>
          </w:p>
        </w:tc>
        <w:tc>
          <w:tcPr>
            <w:tcW w:w="3360" w:type="dxa"/>
            <w:vMerge w:val="continue"/>
            <w:vAlign w:val="center"/>
          </w:tcPr>
          <w:p w14:paraId="70D71F09">
            <w:pPr>
              <w:snapToGrid w:val="0"/>
              <w:spacing w:line="240" w:lineRule="atLeast"/>
              <w:jc w:val="center"/>
              <w:rPr>
                <w:rFonts w:ascii="仿宋_GB2312" w:hAnsi="仿宋_GB2312" w:eastAsia="仿宋_GB2312" w:cs="仿宋_GB2312"/>
                <w:sz w:val="20"/>
                <w:szCs w:val="20"/>
              </w:rPr>
            </w:pPr>
          </w:p>
        </w:tc>
        <w:tc>
          <w:tcPr>
            <w:tcW w:w="6680" w:type="dxa"/>
            <w:vMerge w:val="continue"/>
            <w:vAlign w:val="center"/>
          </w:tcPr>
          <w:p w14:paraId="574493A5">
            <w:pPr>
              <w:snapToGrid w:val="0"/>
              <w:spacing w:line="240" w:lineRule="atLeast"/>
              <w:jc w:val="center"/>
              <w:rPr>
                <w:rFonts w:ascii="仿宋_GB2312" w:hAnsi="仿宋_GB2312" w:eastAsia="仿宋_GB2312" w:cs="仿宋_GB2312"/>
                <w:sz w:val="20"/>
                <w:szCs w:val="20"/>
              </w:rPr>
            </w:pPr>
          </w:p>
        </w:tc>
        <w:tc>
          <w:tcPr>
            <w:tcW w:w="330" w:type="dxa"/>
            <w:vMerge w:val="continue"/>
            <w:vAlign w:val="center"/>
          </w:tcPr>
          <w:p w14:paraId="22D9C8D9">
            <w:pPr>
              <w:snapToGrid w:val="0"/>
              <w:spacing w:line="240" w:lineRule="atLeast"/>
              <w:jc w:val="center"/>
              <w:rPr>
                <w:rFonts w:ascii="仿宋_GB2312" w:hAnsi="仿宋_GB2312" w:eastAsia="仿宋_GB2312" w:cs="仿宋_GB2312"/>
                <w:sz w:val="20"/>
                <w:szCs w:val="20"/>
              </w:rPr>
            </w:pPr>
          </w:p>
        </w:tc>
      </w:tr>
    </w:tbl>
    <w:p w14:paraId="673F94A1"/>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66E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F10BB60">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E30C805">
            <w:pPr>
              <w:spacing w:line="240" w:lineRule="atLeast"/>
              <w:rPr>
                <w:rFonts w:asciiTheme="majorEastAsia" w:hAnsiTheme="majorEastAsia" w:eastAsiaTheme="majorEastAsia" w:cstheme="majorEastAsia"/>
                <w:spacing w:val="-20"/>
                <w:sz w:val="20"/>
                <w:szCs w:val="20"/>
              </w:rPr>
            </w:pPr>
          </w:p>
          <w:p w14:paraId="3B69512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FDE510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6DEAD3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F5AA01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75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2E8C32F">
            <w:pPr>
              <w:spacing w:line="240" w:lineRule="atLeast"/>
              <w:jc w:val="left"/>
              <w:rPr>
                <w:rFonts w:ascii="仿宋_GB2312" w:hAnsi="仿宋_GB2312" w:eastAsia="仿宋_GB2312" w:cs="仿宋_GB2312"/>
                <w:sz w:val="20"/>
                <w:szCs w:val="20"/>
              </w:rPr>
            </w:pPr>
          </w:p>
        </w:tc>
        <w:tc>
          <w:tcPr>
            <w:tcW w:w="555" w:type="dxa"/>
            <w:vMerge w:val="continue"/>
          </w:tcPr>
          <w:p w14:paraId="7EAD9556">
            <w:pPr>
              <w:spacing w:line="240" w:lineRule="atLeast"/>
              <w:jc w:val="left"/>
              <w:rPr>
                <w:rFonts w:ascii="仿宋_GB2312" w:hAnsi="仿宋_GB2312" w:eastAsia="仿宋_GB2312" w:cs="仿宋_GB2312"/>
                <w:sz w:val="20"/>
                <w:szCs w:val="20"/>
              </w:rPr>
            </w:pPr>
          </w:p>
        </w:tc>
        <w:tc>
          <w:tcPr>
            <w:tcW w:w="784" w:type="dxa"/>
            <w:vAlign w:val="center"/>
          </w:tcPr>
          <w:p w14:paraId="0141D1C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725E986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88E756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BFE564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80368E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54D4B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D80F3C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70AB4C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C1A14C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75D2A0C">
            <w:pPr>
              <w:spacing w:line="240" w:lineRule="atLeast"/>
              <w:jc w:val="left"/>
              <w:rPr>
                <w:rFonts w:ascii="仿宋_GB2312" w:hAnsi="仿宋_GB2312" w:eastAsia="仿宋_GB2312" w:cs="仿宋_GB2312"/>
                <w:sz w:val="20"/>
                <w:szCs w:val="20"/>
              </w:rPr>
            </w:pPr>
          </w:p>
        </w:tc>
      </w:tr>
      <w:tr w14:paraId="535B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601E52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206</w:t>
            </w:r>
          </w:p>
        </w:tc>
        <w:tc>
          <w:tcPr>
            <w:tcW w:w="555" w:type="dxa"/>
            <w:vAlign w:val="center"/>
          </w:tcPr>
          <w:p w14:paraId="2B758DF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行政确认</w:t>
            </w:r>
          </w:p>
        </w:tc>
        <w:tc>
          <w:tcPr>
            <w:tcW w:w="784" w:type="dxa"/>
            <w:vAlign w:val="center"/>
          </w:tcPr>
          <w:p w14:paraId="72878DF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矿产资源储量评审备案</w:t>
            </w:r>
          </w:p>
        </w:tc>
        <w:tc>
          <w:tcPr>
            <w:tcW w:w="660" w:type="dxa"/>
            <w:vAlign w:val="center"/>
          </w:tcPr>
          <w:p w14:paraId="73EC2EC5">
            <w:pPr>
              <w:snapToGrid w:val="0"/>
              <w:spacing w:line="240" w:lineRule="atLeast"/>
              <w:jc w:val="center"/>
              <w:rPr>
                <w:rFonts w:ascii="仿宋_GB2312" w:hAnsi="仿宋_GB2312" w:eastAsia="仿宋_GB2312" w:cs="仿宋_GB2312"/>
                <w:sz w:val="20"/>
                <w:szCs w:val="20"/>
              </w:rPr>
            </w:pPr>
          </w:p>
        </w:tc>
        <w:tc>
          <w:tcPr>
            <w:tcW w:w="615" w:type="dxa"/>
            <w:vAlign w:val="center"/>
          </w:tcPr>
          <w:p w14:paraId="259A5B1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6F8576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281547F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十三条：国务院矿产储量审批机构或者省、自治区、直辖市矿产储量审批机构负责审查批准供矿山建设设计使用的勘探报告，并在规定的期限内批复报送单位。勘探报告未经批准，不得作为矿山建设设计的依据。</w:t>
            </w:r>
          </w:p>
          <w:p w14:paraId="3CF40A5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 《中华人民共和国矿产资源法实施细则》（1994年国务院令第152号）第十九条：矿产资源勘查报告按照下列规定审批：（一）供矿山建设使用的重要大型矿床勘查报告和供大型水源地建设使用的地下水勘查报告，由国务院矿产储量审批机构审批；（二）供矿山建设使用的一般大型、中型、小型矿床勘查报告和供中型、小型水源地建设使用的地下水勘查报告，由省、自治区、直辖市矿产储量审批机构审批；矿产储量审批机构和勘查单位的主管部门应当自收到矿产资源勘查报告之日起六个月内作出批复。</w:t>
            </w:r>
          </w:p>
          <w:p w14:paraId="1FEA645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3.【规范性文件】《自然资源部关于推进矿产资源管理改革若干事项的意见》（自然资规〔2019〕7号）第四条：实行同一矿种探矿权采矿权出让登记统计管理，其他矿种由省级及以下自然资源主管部门负责。</w:t>
            </w:r>
          </w:p>
          <w:p w14:paraId="7ED66DD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第九条：自然资源主管部门可委托矿产资源储量评审机构根据评审备案范围和权限组织开展评审备案工作。</w:t>
            </w:r>
          </w:p>
          <w:p w14:paraId="2D6BA2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第十条：自然资源部负责本级已颁发矿业权证的矿产资源储量评审备案工作，其他由省级自然资源主管部门负责。</w:t>
            </w:r>
          </w:p>
          <w:p w14:paraId="5053811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自然资源厅关于加强矿产资源储量评审备案管理有关事项的通知》（桂自然资规〔2020〕6号）第二条：自治区自然资源厅负责能源矿产、金属矿产、水气矿产中除自然资源部出让登记权限之外的矿产、自治区和设区市自然资源部门已颁发勘查许可证的矿产和海砂、磷、萤石矿产以及建设项目压覆重要矿产资源（油气和放射性矿产资源除外）的储量评审备案工作；设区市自然资源主管部门负责除自然资源部、自然资源厅出让、登记矿种外的矿产资源储量评审备案工作。</w:t>
            </w:r>
          </w:p>
        </w:tc>
        <w:tc>
          <w:tcPr>
            <w:tcW w:w="3585" w:type="dxa"/>
            <w:vAlign w:val="center"/>
          </w:tcPr>
          <w:p w14:paraId="0A4AA6D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1.受理责任：审查评审备案材料是否齐全，是否在规定的时间内提交评审备案。评审备案材料不全的，通知申请人一次性补齐。</w:t>
            </w:r>
          </w:p>
          <w:p w14:paraId="7E3F9B5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2.审查责任：对矿产资源储量评审备案范围、权限、评审机构评审专家资格，评审标准、和程序是合规等进行审查。</w:t>
            </w:r>
          </w:p>
          <w:p w14:paraId="0895E9A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3.决定责任：作出同意通过评审、不予通过评审或同意备案、不予以备案决定（不予通过评审、不予备案的应当告知理由）。</w:t>
            </w:r>
          </w:p>
          <w:p w14:paraId="0C87703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4．送达责任：出具评审意见书或备案证明并送达。</w:t>
            </w:r>
          </w:p>
          <w:p w14:paraId="7B4135E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32B33AA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十三条：国务院矿产储量审批机构或者省、自治区、直辖市矿产储量审批机构负责审查批准供矿山建设设计使用的勘探报告，并在规定的期限内批复报送单位。勘探报告未经批准，不得作为矿山建设设计的依据。</w:t>
            </w:r>
          </w:p>
          <w:p w14:paraId="53DBB44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2—1.【规范性文件】《自然资源部关于推进矿产资源管理改革若干事项的意见》（自然资规〔2019〕7号）第四条：实行同一矿种探矿权采矿权出让登记统计管理，其他矿种由省级及以下自然资源主管部门负责。</w:t>
            </w:r>
          </w:p>
          <w:p w14:paraId="57E6A82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第九条：自然资源主管部门可委托矿产资源储量评审机构根据评审备案范围和权限组织开展评审备案工作。</w:t>
            </w:r>
          </w:p>
          <w:p w14:paraId="0A5690B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第十条：自然资源部负责本级已颁发矿业权证的矿产资源储量评审备案工作，其他由省级自然资源主管部门负责。</w:t>
            </w:r>
          </w:p>
          <w:p w14:paraId="0C7C987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规范性文件】《广西壮族自治区自然资源厅关于加强矿产资源储量评审备案管理有关事项的通知》（桂自然资规〔2020〕6号）第二条：实行储量评审备案分级分类管理。自治区自然资源厅负责能源矿产、金属矿产、水气矿产中除自然资源部出让登记权限之外的矿产、自治区和设区市自然资源部门已颁发勘查许可证的矿产和海砂、磷、萤石矿产以及建设项目压覆重要矿产资源（油气和放射性矿产资源除外）的储量评审备案工作；设区市自然资源主管部门负责除自然资源部、自然资源厅出让、登记矿种外的矿产资源储量评审备案工作。</w:t>
            </w:r>
          </w:p>
          <w:p w14:paraId="0143DC9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条：调整储量评审备案范围。自然资源主管部门负责评审备案的范围包括探矿权转采矿权、采矿权变更矿种或范围、非油气矿产在采矿期间累计查明矿产资源量发生重大变化的（变化量超过30%或达到中型规模以上）、建设项目压覆重要矿产资源等情形的矿产资源储量报告。自然资源主管部门负责评审的范围包括财政出资查明的矿产资源储量报告、作为矿业权出让、出让收益评估处置的矿产资源储量报告。</w:t>
            </w:r>
          </w:p>
          <w:p w14:paraId="4C48A6D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333E6CF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规范性文件】《广西壮族自治区自然资源厅关于加强矿产资源储量评审备案管理有关事项的通知》（桂自然资规〔2020〕6号）第五条：提高储量评审备案服务水平。评审终止通知书、评审意见书、备案告知书由评审机构负责邮寄申请人。</w:t>
            </w:r>
          </w:p>
        </w:tc>
        <w:tc>
          <w:tcPr>
            <w:tcW w:w="330" w:type="dxa"/>
            <w:vAlign w:val="center"/>
          </w:tcPr>
          <w:p w14:paraId="40EB10D7">
            <w:pPr>
              <w:snapToGrid w:val="0"/>
              <w:spacing w:line="240" w:lineRule="atLeast"/>
              <w:jc w:val="center"/>
              <w:rPr>
                <w:rFonts w:ascii="仿宋_GB2312" w:hAnsi="仿宋_GB2312" w:eastAsia="仿宋_GB2312" w:cs="仿宋_GB2312"/>
                <w:sz w:val="20"/>
                <w:szCs w:val="20"/>
              </w:rPr>
            </w:pPr>
          </w:p>
        </w:tc>
      </w:tr>
    </w:tbl>
    <w:p w14:paraId="44CE03C1"/>
    <w:p w14:paraId="0427957A"/>
    <w:p w14:paraId="30C8A7EC"/>
    <w:p w14:paraId="1D013374"/>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A4B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9A0F8F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9B4D5DE">
            <w:pPr>
              <w:spacing w:line="240" w:lineRule="atLeast"/>
              <w:rPr>
                <w:rFonts w:asciiTheme="majorEastAsia" w:hAnsiTheme="majorEastAsia" w:eastAsiaTheme="majorEastAsia" w:cstheme="majorEastAsia"/>
                <w:spacing w:val="-20"/>
                <w:sz w:val="20"/>
                <w:szCs w:val="20"/>
              </w:rPr>
            </w:pPr>
          </w:p>
          <w:p w14:paraId="155F2D4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A949A0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26CD945">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1959A9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1D87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59FBA24">
            <w:pPr>
              <w:spacing w:line="240" w:lineRule="atLeast"/>
              <w:jc w:val="left"/>
              <w:rPr>
                <w:rFonts w:ascii="仿宋_GB2312" w:hAnsi="仿宋_GB2312" w:eastAsia="仿宋_GB2312" w:cs="仿宋_GB2312"/>
                <w:sz w:val="20"/>
                <w:szCs w:val="20"/>
              </w:rPr>
            </w:pPr>
          </w:p>
        </w:tc>
        <w:tc>
          <w:tcPr>
            <w:tcW w:w="555" w:type="dxa"/>
            <w:vMerge w:val="continue"/>
          </w:tcPr>
          <w:p w14:paraId="1D75E66B">
            <w:pPr>
              <w:spacing w:line="240" w:lineRule="atLeast"/>
              <w:jc w:val="left"/>
              <w:rPr>
                <w:rFonts w:ascii="仿宋_GB2312" w:hAnsi="仿宋_GB2312" w:eastAsia="仿宋_GB2312" w:cs="仿宋_GB2312"/>
                <w:sz w:val="20"/>
                <w:szCs w:val="20"/>
              </w:rPr>
            </w:pPr>
          </w:p>
        </w:tc>
        <w:tc>
          <w:tcPr>
            <w:tcW w:w="784" w:type="dxa"/>
            <w:vAlign w:val="center"/>
          </w:tcPr>
          <w:p w14:paraId="1670CC60">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D4904E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19DBA2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758E3D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8360C2B">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4B6EFD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8422F7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9D045C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71D8163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C1F098C">
            <w:pPr>
              <w:spacing w:line="240" w:lineRule="atLeast"/>
              <w:jc w:val="left"/>
              <w:rPr>
                <w:rFonts w:ascii="仿宋_GB2312" w:hAnsi="仿宋_GB2312" w:eastAsia="仿宋_GB2312" w:cs="仿宋_GB2312"/>
                <w:sz w:val="20"/>
                <w:szCs w:val="20"/>
              </w:rPr>
            </w:pPr>
          </w:p>
        </w:tc>
      </w:tr>
      <w:tr w14:paraId="6C1D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3F3F56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207</w:t>
            </w:r>
          </w:p>
        </w:tc>
        <w:tc>
          <w:tcPr>
            <w:tcW w:w="555" w:type="dxa"/>
            <w:vAlign w:val="center"/>
          </w:tcPr>
          <w:p w14:paraId="0FCD2DE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行政确认</w:t>
            </w:r>
          </w:p>
        </w:tc>
        <w:tc>
          <w:tcPr>
            <w:tcW w:w="784" w:type="dxa"/>
            <w:vAlign w:val="center"/>
          </w:tcPr>
          <w:p w14:paraId="23D85B0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地质灾害治理责任认定</w:t>
            </w:r>
          </w:p>
        </w:tc>
        <w:tc>
          <w:tcPr>
            <w:tcW w:w="660" w:type="dxa"/>
            <w:vAlign w:val="center"/>
          </w:tcPr>
          <w:p w14:paraId="52133E13">
            <w:pPr>
              <w:snapToGrid w:val="0"/>
              <w:spacing w:line="240" w:lineRule="atLeast"/>
              <w:jc w:val="center"/>
              <w:rPr>
                <w:rFonts w:ascii="仿宋_GB2312" w:hAnsi="仿宋_GB2312" w:eastAsia="仿宋_GB2312" w:cs="仿宋_GB2312"/>
                <w:sz w:val="20"/>
                <w:szCs w:val="20"/>
              </w:rPr>
            </w:pPr>
          </w:p>
        </w:tc>
        <w:tc>
          <w:tcPr>
            <w:tcW w:w="615" w:type="dxa"/>
            <w:vAlign w:val="center"/>
          </w:tcPr>
          <w:p w14:paraId="31AD8F9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35DAFA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4605" w:type="dxa"/>
            <w:vAlign w:val="center"/>
          </w:tcPr>
          <w:p w14:paraId="281C696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行政法规】《地质灾害防治条例》（2003年国务院令第394号公布）第七条：国务院国土资源主管部门负责全国地质灾害防治的组织、协调、指导和监督工作。国务院其他有关部门按照各自的职责负责有关的地质灾害防治工作。</w:t>
            </w:r>
          </w:p>
          <w:p w14:paraId="4020CFD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县级以上地方人民政府国土资源主管部门负责本行政区域内地质灾害防治的组织、协调、指导和监督工作。县级以上地方人民政府其他有关部门按照各自的职责负责有关的地质灾害防治工作。</w:t>
            </w:r>
          </w:p>
          <w:p w14:paraId="07E2549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第三十五条：因工程建设等人为活动引发的地质灾害，由责任单位承担治理责任。</w:t>
            </w:r>
          </w:p>
          <w:p w14:paraId="2F4C6B3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责任单位由地质灾害发生地的县级以上人民政府国土资源主管部门负责组织专家对地质灾害的成因进行分析论证后认定。</w:t>
            </w:r>
          </w:p>
          <w:p w14:paraId="057B8B5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对地质灾害的治理责任认定结果有异议的，可以依法申请行政复议或者提起行政诉讼。</w:t>
            </w:r>
          </w:p>
        </w:tc>
        <w:tc>
          <w:tcPr>
            <w:tcW w:w="3585" w:type="dxa"/>
            <w:vAlign w:val="center"/>
          </w:tcPr>
          <w:p w14:paraId="6209F4E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1.受理责任：审查责任认定申请材料是否齐全。材料不全的，通知申请人一次性补齐。</w:t>
            </w:r>
          </w:p>
          <w:p w14:paraId="15BD90B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2.审查责任：对地质灾害治理责任进行论证并审查。</w:t>
            </w:r>
          </w:p>
          <w:p w14:paraId="00FCA08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3.决定责任：作出地质灾害治理责任决定并送达。</w:t>
            </w:r>
          </w:p>
          <w:p w14:paraId="3E976A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6372AE6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行政法规】《地质灾害防治条例》（中华人民共和国国务院令第394号）第七条：国务院国土资源主管部门负责全国地质灾害防治的组织、协调、指导和监督工作。国务院其他有关部门按照各自的职责负责有关的地质灾害防治工作。县级以上地方人民政府国土资源主管部门负责本行政区域内地质灾害防治的组织、协调、指导和监督工作。县级以上地方人民政府其他有关部门按照各自的职责负责有关的地质灾害防治工作。</w:t>
            </w:r>
          </w:p>
          <w:p w14:paraId="302BB02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行政法规】《地质灾害防治条例》（中华人民共和国国务院令第394号）第三十五条：因工程建设等人为活动引发的地质灾害，由责任单位承担治理责任。责任单位由地质灾害发生地的县级以上人民政府国土资源主管部门负责组织专家对地质灾害的成因进行分析论证后认定。对地质灾害的治理责任认定结果有异议的，可以依法申请行政复议或者提起行政诉讼。</w:t>
            </w:r>
          </w:p>
          <w:p w14:paraId="3FA1FE3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0F2FFC1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3.同1。</w:t>
            </w:r>
          </w:p>
        </w:tc>
        <w:tc>
          <w:tcPr>
            <w:tcW w:w="330" w:type="dxa"/>
            <w:vAlign w:val="center"/>
          </w:tcPr>
          <w:p w14:paraId="0394A729">
            <w:pPr>
              <w:snapToGrid w:val="0"/>
              <w:spacing w:line="240" w:lineRule="atLeast"/>
              <w:jc w:val="center"/>
              <w:rPr>
                <w:rFonts w:ascii="仿宋_GB2312" w:hAnsi="仿宋_GB2312" w:eastAsia="仿宋_GB2312" w:cs="仿宋_GB2312"/>
                <w:sz w:val="20"/>
                <w:szCs w:val="20"/>
              </w:rPr>
            </w:pPr>
          </w:p>
        </w:tc>
      </w:tr>
    </w:tbl>
    <w:p w14:paraId="22AFFB7E"/>
    <w:p w14:paraId="45E376FB"/>
    <w:p w14:paraId="2350B8B9"/>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A30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67C50A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A7F0A57">
            <w:pPr>
              <w:spacing w:line="240" w:lineRule="atLeast"/>
              <w:rPr>
                <w:rFonts w:asciiTheme="majorEastAsia" w:hAnsiTheme="majorEastAsia" w:eastAsiaTheme="majorEastAsia" w:cstheme="majorEastAsia"/>
                <w:spacing w:val="-20"/>
                <w:sz w:val="20"/>
                <w:szCs w:val="20"/>
              </w:rPr>
            </w:pPr>
          </w:p>
          <w:p w14:paraId="2EF1220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81D00C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4B9B0C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2424AF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A57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8FEF4BB">
            <w:pPr>
              <w:spacing w:line="240" w:lineRule="atLeast"/>
              <w:jc w:val="left"/>
              <w:rPr>
                <w:rFonts w:ascii="仿宋_GB2312" w:hAnsi="仿宋_GB2312" w:eastAsia="仿宋_GB2312" w:cs="仿宋_GB2312"/>
                <w:sz w:val="20"/>
                <w:szCs w:val="20"/>
              </w:rPr>
            </w:pPr>
          </w:p>
        </w:tc>
        <w:tc>
          <w:tcPr>
            <w:tcW w:w="555" w:type="dxa"/>
            <w:vMerge w:val="continue"/>
          </w:tcPr>
          <w:p w14:paraId="45293A22">
            <w:pPr>
              <w:spacing w:line="240" w:lineRule="atLeast"/>
              <w:jc w:val="left"/>
              <w:rPr>
                <w:rFonts w:ascii="仿宋_GB2312" w:hAnsi="仿宋_GB2312" w:eastAsia="仿宋_GB2312" w:cs="仿宋_GB2312"/>
                <w:sz w:val="20"/>
                <w:szCs w:val="20"/>
              </w:rPr>
            </w:pPr>
          </w:p>
        </w:tc>
        <w:tc>
          <w:tcPr>
            <w:tcW w:w="784" w:type="dxa"/>
            <w:vAlign w:val="center"/>
          </w:tcPr>
          <w:p w14:paraId="67898DA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6C9FD4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C55845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2CEDD4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0922D47">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283643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0120DA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C86EF57">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57F8AF2">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E7015E9">
            <w:pPr>
              <w:spacing w:line="240" w:lineRule="atLeast"/>
              <w:jc w:val="left"/>
              <w:rPr>
                <w:rFonts w:ascii="仿宋_GB2312" w:hAnsi="仿宋_GB2312" w:eastAsia="仿宋_GB2312" w:cs="仿宋_GB2312"/>
                <w:sz w:val="20"/>
                <w:szCs w:val="20"/>
              </w:rPr>
            </w:pPr>
          </w:p>
        </w:tc>
      </w:tr>
      <w:tr w14:paraId="0923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B73EA9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208</w:t>
            </w:r>
          </w:p>
        </w:tc>
        <w:tc>
          <w:tcPr>
            <w:tcW w:w="555" w:type="dxa"/>
            <w:vAlign w:val="center"/>
          </w:tcPr>
          <w:p w14:paraId="2C20CE0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181F555E">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地质灾害防治工作中做出突出贡献奖励</w:t>
            </w:r>
          </w:p>
        </w:tc>
        <w:tc>
          <w:tcPr>
            <w:tcW w:w="660" w:type="dxa"/>
            <w:vAlign w:val="center"/>
          </w:tcPr>
          <w:p w14:paraId="5E72EE9C">
            <w:pPr>
              <w:snapToGrid w:val="0"/>
              <w:spacing w:line="240" w:lineRule="atLeast"/>
              <w:jc w:val="center"/>
              <w:rPr>
                <w:rFonts w:ascii="仿宋_GB2312" w:hAnsi="仿宋_GB2312" w:eastAsia="仿宋_GB2312" w:cs="仿宋_GB2312"/>
                <w:sz w:val="20"/>
                <w:szCs w:val="20"/>
              </w:rPr>
            </w:pPr>
          </w:p>
        </w:tc>
        <w:tc>
          <w:tcPr>
            <w:tcW w:w="615" w:type="dxa"/>
            <w:vAlign w:val="center"/>
          </w:tcPr>
          <w:p w14:paraId="045EE6F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7BD3654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03EDDF6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地质灾害防治条例》（2003年国务院令第394号）第九条：任何单位和个人对地质灾害防治工作中的违法行为都有权检举和控告。在地质灾害防治工作中做出突出贡献的单位和个人，由人民政府给予奖励。</w:t>
            </w:r>
          </w:p>
        </w:tc>
        <w:tc>
          <w:tcPr>
            <w:tcW w:w="3585" w:type="dxa"/>
            <w:vAlign w:val="center"/>
          </w:tcPr>
          <w:p w14:paraId="6A0056A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1.受理责任：公示地质灾害防治工作中作出突出贡献的奖励需要提交的全部材料的目录，自收到申请材料5个工作日内作出不予受理、补正材料或者予以受理的决定。</w:t>
            </w:r>
          </w:p>
          <w:p w14:paraId="7E2D673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2.审核责任：负责审核（主要包括申请材料的成绩性认定）；20个工作日内提出审核意见。</w:t>
            </w:r>
          </w:p>
          <w:p w14:paraId="6ECC666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3.决定责任：公示审核结果5个工作日，告知是否给予奖励的结果。</w:t>
            </w:r>
          </w:p>
          <w:p w14:paraId="7EB94E3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0E94596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1—1.【地方政府规章】《广西壮族自治区行政奖励暂行规定》（2002年广西壮族自治区人民政府令第4号）第七条第二款 ：设区的市人民政府、自治区人民政府工作部门可以授予二等功以下奖励；其中，自治区人民政府工作部门授予二等功奖励，须经自治区人民政府人事行政部门审核同意。</w:t>
            </w:r>
          </w:p>
          <w:p w14:paraId="2760650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 ： 除前款规定的奖励条件外，奖励主办单位或者承办单位还应当结合本地区、本系统、本单位的工作性质和特点，制定具体的奖励条件。</w:t>
            </w:r>
          </w:p>
          <w:p w14:paraId="2C38963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1—3.【地方政府规章】《广西壮族自治区行政奖励暂行规定》（2002年广西壮族自治区人民政府令第4号）第十一条第二款 ：设区的市人民政府工作部门和自治区人民政府工作部门进行的综合奖励，一般3年或者4年进行一次，主办单位须提前6个月向同级政府人事行政部门报送方案，人事行政部门应当在1个月内予以审批。</w:t>
            </w:r>
          </w:p>
          <w:p w14:paraId="482227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政府规章】《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7880CFC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7BA8CA9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2.【地方政府规章】《广西壮族自治区行政奖励暂行规定》（2002年广西壮族自治区人民政府令第4号）第十五条获得奖励的集体，由批准机关颁发奖状、奖旗或者奖牌，并可以根据实际情况给予适当的物质奖励。获得奖励的个人，由批准机关颁发奖励证书，发给奖品或者奖金，其中，对获得一等功以上的，并授予奖章。奖章由自治区人事行政部门统一制作，奖励证书由自治区人事行政部门统一式样。</w:t>
            </w:r>
          </w:p>
        </w:tc>
        <w:tc>
          <w:tcPr>
            <w:tcW w:w="330" w:type="dxa"/>
            <w:vAlign w:val="center"/>
          </w:tcPr>
          <w:p w14:paraId="620B5950">
            <w:pPr>
              <w:snapToGrid w:val="0"/>
              <w:spacing w:line="240" w:lineRule="atLeast"/>
              <w:jc w:val="center"/>
              <w:rPr>
                <w:rFonts w:ascii="仿宋_GB2312" w:hAnsi="仿宋_GB2312" w:eastAsia="仿宋_GB2312" w:cs="仿宋_GB2312"/>
                <w:sz w:val="20"/>
                <w:szCs w:val="20"/>
              </w:rPr>
            </w:pPr>
          </w:p>
        </w:tc>
      </w:tr>
    </w:tbl>
    <w:p w14:paraId="21698CD0"/>
    <w:p w14:paraId="7B2E84F1"/>
    <w:p w14:paraId="403D306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D93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442A024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37E3AA10">
            <w:pPr>
              <w:spacing w:line="240" w:lineRule="atLeast"/>
              <w:rPr>
                <w:rFonts w:asciiTheme="majorEastAsia" w:hAnsiTheme="majorEastAsia" w:eastAsiaTheme="majorEastAsia" w:cstheme="majorEastAsia"/>
                <w:spacing w:val="-20"/>
                <w:sz w:val="20"/>
                <w:szCs w:val="20"/>
              </w:rPr>
            </w:pPr>
          </w:p>
          <w:p w14:paraId="2CE3B19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52138D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C0F6D0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B3E2FE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869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8F56289">
            <w:pPr>
              <w:spacing w:line="240" w:lineRule="atLeast"/>
              <w:jc w:val="left"/>
              <w:rPr>
                <w:rFonts w:ascii="仿宋_GB2312" w:hAnsi="仿宋_GB2312" w:eastAsia="仿宋_GB2312" w:cs="仿宋_GB2312"/>
                <w:sz w:val="20"/>
                <w:szCs w:val="20"/>
              </w:rPr>
            </w:pPr>
          </w:p>
        </w:tc>
        <w:tc>
          <w:tcPr>
            <w:tcW w:w="555" w:type="dxa"/>
            <w:vMerge w:val="continue"/>
          </w:tcPr>
          <w:p w14:paraId="3C2806B3">
            <w:pPr>
              <w:spacing w:line="240" w:lineRule="atLeast"/>
              <w:jc w:val="left"/>
              <w:rPr>
                <w:rFonts w:ascii="仿宋_GB2312" w:hAnsi="仿宋_GB2312" w:eastAsia="仿宋_GB2312" w:cs="仿宋_GB2312"/>
                <w:sz w:val="20"/>
                <w:szCs w:val="20"/>
              </w:rPr>
            </w:pPr>
          </w:p>
        </w:tc>
        <w:tc>
          <w:tcPr>
            <w:tcW w:w="784" w:type="dxa"/>
            <w:vAlign w:val="center"/>
          </w:tcPr>
          <w:p w14:paraId="559417B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4CE53D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8079EF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7F2192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29ACC2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00D371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8678A5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D2CA0F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9DB2EF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41CC7DA">
            <w:pPr>
              <w:spacing w:line="240" w:lineRule="atLeast"/>
              <w:jc w:val="left"/>
              <w:rPr>
                <w:rFonts w:ascii="仿宋_GB2312" w:hAnsi="仿宋_GB2312" w:eastAsia="仿宋_GB2312" w:cs="仿宋_GB2312"/>
                <w:sz w:val="20"/>
                <w:szCs w:val="20"/>
              </w:rPr>
            </w:pPr>
          </w:p>
        </w:tc>
      </w:tr>
      <w:tr w14:paraId="0F06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B52E8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209</w:t>
            </w:r>
          </w:p>
        </w:tc>
        <w:tc>
          <w:tcPr>
            <w:tcW w:w="555" w:type="dxa"/>
            <w:vAlign w:val="center"/>
          </w:tcPr>
          <w:p w14:paraId="793FA25D">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0CFC83E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对勘查、开发、保护矿产资源和进行科学技术研究的奖励</w:t>
            </w:r>
          </w:p>
        </w:tc>
        <w:tc>
          <w:tcPr>
            <w:tcW w:w="660" w:type="dxa"/>
            <w:vAlign w:val="center"/>
          </w:tcPr>
          <w:p w14:paraId="701068B5">
            <w:pPr>
              <w:snapToGrid w:val="0"/>
              <w:spacing w:line="240" w:lineRule="atLeast"/>
              <w:jc w:val="center"/>
              <w:rPr>
                <w:rFonts w:ascii="仿宋_GB2312" w:hAnsi="仿宋_GB2312" w:eastAsia="仿宋_GB2312" w:cs="仿宋_GB2312"/>
                <w:sz w:val="20"/>
                <w:szCs w:val="20"/>
              </w:rPr>
            </w:pPr>
          </w:p>
        </w:tc>
        <w:tc>
          <w:tcPr>
            <w:tcW w:w="615" w:type="dxa"/>
            <w:vAlign w:val="center"/>
          </w:tcPr>
          <w:p w14:paraId="08A25F0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52ADCD48">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7FF893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【法律】《中华人民共和国矿产资源法》第九条：在勘查、开发、保护矿产资源和进行科学技术研究等方面成绩显著的单位和个人，由各级人民政府给予奖励。</w:t>
            </w:r>
          </w:p>
        </w:tc>
        <w:tc>
          <w:tcPr>
            <w:tcW w:w="3585" w:type="dxa"/>
            <w:vAlign w:val="center"/>
          </w:tcPr>
          <w:p w14:paraId="2F4C3A80">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1.受理责任：制定对勘查、开发、保护矿产资源和进行科学技术研究的奖励的具体条件和奖励方案，按照方案受理报奖申请相关材料；</w:t>
            </w:r>
          </w:p>
          <w:p w14:paraId="1E893962">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2.审核责任：对申请材料按对勘查、开发、保护矿产资源和进行科学技术研究的奖励条件进行审核，初步确定评选对象后，公开征求人民群众和有关国家机关的意见，并对反映的意见进行审查；</w:t>
            </w:r>
          </w:p>
          <w:p w14:paraId="68B6D237">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3.决定责任：按照对勘查、开发、保护矿产资源和进行科学技术研究的奖励方案公布奖励决定；</w:t>
            </w:r>
          </w:p>
          <w:p w14:paraId="26E73F5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4D7AD924">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七条第二款：设区的市人民政府、自治区人民政府工作部门可以授予二等功以下奖励；其中，自治区人民政府工作部门授予二等功奖励，须经自治区人民政府人事行政部门审核同意。</w:t>
            </w:r>
          </w:p>
          <w:p w14:paraId="6B7BF6DC">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14:paraId="21FF502E">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政府规章】《广西壮族自治区行政奖励暂行规定》（2002年广西壮族自治区人民政府令第4号）第十一条第二款：设区的市人民政府工作部门和自治区人民政府工作部门进行的综合奖励，一般3年或者4年进行一次，主办单位须提前6个月向同级政府人事行政部门报送方案，人事行政部门应当在1个月内予以审批。</w:t>
            </w:r>
          </w:p>
          <w:p w14:paraId="3AE7EAA5">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095B7558">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6A5FB53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3—2.【地方政府规章】《广西壮族自治区行政奖励暂行规定》（2002年广西壮族自治区人民政府令第4号）第十五条：获得奖励的集体，由批准机关颁发奖状、奖旗或者奖牌，并可以根据实际情况给予适当的</w:t>
            </w:r>
            <w:r>
              <w:rPr>
                <w:rFonts w:hint="eastAsia" w:eastAsia="仿宋_GB2312"/>
                <w:snapToGrid w:val="0"/>
                <w:color w:val="000000"/>
                <w:spacing w:val="-4"/>
                <w:sz w:val="20"/>
                <w:szCs w:val="20"/>
              </w:rPr>
              <w:t>物质奖励。获得奖励的个人，由批准机关颁发奖励证书，发给奖品或者奖金，其中，对获得一等功以上的，并授予奖章。奖章由自治区人事行政部门统一制作，奖励证书由自治区人事行政部门统一式样。</w:t>
            </w:r>
          </w:p>
        </w:tc>
        <w:tc>
          <w:tcPr>
            <w:tcW w:w="330" w:type="dxa"/>
            <w:vAlign w:val="center"/>
          </w:tcPr>
          <w:p w14:paraId="51064948">
            <w:pPr>
              <w:snapToGrid w:val="0"/>
              <w:spacing w:line="240" w:lineRule="atLeast"/>
              <w:jc w:val="center"/>
              <w:rPr>
                <w:rFonts w:ascii="仿宋_GB2312" w:hAnsi="仿宋_GB2312" w:eastAsia="仿宋_GB2312" w:cs="仿宋_GB2312"/>
                <w:sz w:val="20"/>
                <w:szCs w:val="20"/>
              </w:rPr>
            </w:pPr>
          </w:p>
        </w:tc>
      </w:tr>
    </w:tbl>
    <w:p w14:paraId="62039242"/>
    <w:p w14:paraId="463ABC9D"/>
    <w:p w14:paraId="2AF3A7D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35B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758FDA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F3F88DB">
            <w:pPr>
              <w:spacing w:line="240" w:lineRule="atLeast"/>
              <w:rPr>
                <w:rFonts w:asciiTheme="majorEastAsia" w:hAnsiTheme="majorEastAsia" w:eastAsiaTheme="majorEastAsia" w:cstheme="majorEastAsia"/>
                <w:spacing w:val="-20"/>
                <w:sz w:val="20"/>
                <w:szCs w:val="20"/>
              </w:rPr>
            </w:pPr>
          </w:p>
          <w:p w14:paraId="4CC91176">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FCE373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840B03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3A3F1806">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24E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0E5FA8B">
            <w:pPr>
              <w:spacing w:line="240" w:lineRule="atLeast"/>
              <w:jc w:val="left"/>
              <w:rPr>
                <w:rFonts w:ascii="仿宋_GB2312" w:hAnsi="仿宋_GB2312" w:eastAsia="仿宋_GB2312" w:cs="仿宋_GB2312"/>
                <w:sz w:val="20"/>
                <w:szCs w:val="20"/>
              </w:rPr>
            </w:pPr>
          </w:p>
        </w:tc>
        <w:tc>
          <w:tcPr>
            <w:tcW w:w="555" w:type="dxa"/>
            <w:vMerge w:val="continue"/>
          </w:tcPr>
          <w:p w14:paraId="7127AD05">
            <w:pPr>
              <w:spacing w:line="240" w:lineRule="atLeast"/>
              <w:jc w:val="left"/>
              <w:rPr>
                <w:rFonts w:ascii="仿宋_GB2312" w:hAnsi="仿宋_GB2312" w:eastAsia="仿宋_GB2312" w:cs="仿宋_GB2312"/>
                <w:sz w:val="20"/>
                <w:szCs w:val="20"/>
              </w:rPr>
            </w:pPr>
          </w:p>
        </w:tc>
        <w:tc>
          <w:tcPr>
            <w:tcW w:w="784" w:type="dxa"/>
            <w:vAlign w:val="center"/>
          </w:tcPr>
          <w:p w14:paraId="074BAA2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08A9B9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37970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157896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85BC571">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3BBAFC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2C4498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582B86F">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676C95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F43FEBE">
            <w:pPr>
              <w:spacing w:line="240" w:lineRule="atLeast"/>
              <w:jc w:val="left"/>
              <w:rPr>
                <w:rFonts w:ascii="仿宋_GB2312" w:hAnsi="仿宋_GB2312" w:eastAsia="仿宋_GB2312" w:cs="仿宋_GB2312"/>
                <w:sz w:val="20"/>
                <w:szCs w:val="20"/>
              </w:rPr>
            </w:pPr>
          </w:p>
        </w:tc>
      </w:tr>
      <w:tr w14:paraId="5995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3B88FC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210</w:t>
            </w:r>
          </w:p>
        </w:tc>
        <w:tc>
          <w:tcPr>
            <w:tcW w:w="555" w:type="dxa"/>
            <w:vAlign w:val="center"/>
          </w:tcPr>
          <w:p w14:paraId="549FC7C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494F073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土地复垦工作中取得突出贡献奖励</w:t>
            </w:r>
          </w:p>
        </w:tc>
        <w:tc>
          <w:tcPr>
            <w:tcW w:w="660" w:type="dxa"/>
            <w:vAlign w:val="center"/>
          </w:tcPr>
          <w:p w14:paraId="04437CC2">
            <w:pPr>
              <w:snapToGrid w:val="0"/>
              <w:spacing w:line="240" w:lineRule="atLeast"/>
              <w:jc w:val="center"/>
              <w:rPr>
                <w:rFonts w:ascii="仿宋_GB2312" w:hAnsi="仿宋_GB2312" w:eastAsia="仿宋_GB2312" w:cs="仿宋_GB2312"/>
                <w:sz w:val="20"/>
                <w:szCs w:val="20"/>
              </w:rPr>
            </w:pPr>
          </w:p>
        </w:tc>
        <w:tc>
          <w:tcPr>
            <w:tcW w:w="615" w:type="dxa"/>
            <w:vAlign w:val="center"/>
          </w:tcPr>
          <w:p w14:paraId="25B9568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7B21C95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4605" w:type="dxa"/>
            <w:vAlign w:val="center"/>
          </w:tcPr>
          <w:p w14:paraId="5FCF5BF0">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【行政法规】《土地复垦条例》（2011年国务院令第592号）第九条： 国家鼓励和支持土地复垦科学研究和技术创新，推广先进的土地复垦技术。对在土地复垦工作中作出突出贡献的单位和个人，由县级以上人民政府给予表彰。</w:t>
            </w:r>
          </w:p>
        </w:tc>
        <w:tc>
          <w:tcPr>
            <w:tcW w:w="3585" w:type="dxa"/>
            <w:vAlign w:val="center"/>
          </w:tcPr>
          <w:p w14:paraId="1EB38A29">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1.申请责任、：一次性告知推荐单位和个人需提交或补正的材料；</w:t>
            </w:r>
          </w:p>
          <w:p w14:paraId="5CC2A1EA">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2.受理责任、：依法受理或不予受理的理由和原因；</w:t>
            </w:r>
          </w:p>
          <w:p w14:paraId="4457D815">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3.审核责任、：对提交的申报材料进行审查，提出审查意见；</w:t>
            </w:r>
          </w:p>
          <w:p w14:paraId="31AB64E9">
            <w:pPr>
              <w:widowControl/>
              <w:adjustRightInd w:val="0"/>
              <w:snapToGrid w:val="0"/>
              <w:spacing w:line="29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4．公示责任、：公示期间，有公众提出异议或实名举报，组织重新审查；</w:t>
            </w:r>
          </w:p>
          <w:p w14:paraId="0C7F115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BDCF0CA">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七条：县级人民政府、设区的市人民政府工作部门可以授予三等功以下奖励；其中，设区的市人民政府工作部门授予三等功奖励，须经同级政府人事行政部门审核同意。设区的市人民政府、自治区人民政府工作部门可以授予二等功以下奖励；其中，自治区人民政府工作部门授予二等功奖励，须经自治区人民政府人事行政部门审核同意。一等功、荣誉称号和通令嘉奖，由自治区人民政府批准授予。</w:t>
            </w:r>
          </w:p>
          <w:p w14:paraId="1E0C415D">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14:paraId="2FEFCE44">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章《广西壮族自治区行政奖励暂行规定》（2002年广西壮族自治区人民政府令第4号）第十一条：县级以上人民政府进行的奖励活动，一般5年进行一次，承办单位须提前6个月向同级政府人事行政部门报送方案，人事行政部门应当在1个月内提出审核意见后，共同报同级人民政府决定。设区的市人民政府工作部门和自治区人民政府工作部门进行的综合奖励，一般3年或者4年进行一次，主办单位须提前6个月向同级政府人事行政部门报送方案，人事行政部门应当在1个月内予以审批。</w:t>
            </w:r>
          </w:p>
          <w:p w14:paraId="04D6BDBC">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3A228C74">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54D5A745">
            <w:pPr>
              <w:widowControl/>
              <w:adjustRightInd w:val="0"/>
              <w:snapToGrid w:val="0"/>
              <w:spacing w:line="28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0604085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5—2.【地方政府规章】《广西壮族自治区行政奖励暂行规定》（2002年广西壮族自治区人民政府令第4号）第十五条：获得奖励的集体，由批准机关颁发奖状、奖旗或者奖牌，并可以根据实际情况给予适当的</w:t>
            </w:r>
            <w:r>
              <w:rPr>
                <w:rFonts w:hint="eastAsia" w:eastAsia="仿宋_GB2312"/>
                <w:snapToGrid w:val="0"/>
                <w:color w:val="000000"/>
                <w:spacing w:val="-4"/>
                <w:sz w:val="20"/>
                <w:szCs w:val="20"/>
              </w:rPr>
              <w:t>物质奖励。获得奖励的个人，由批准机关颁发奖励证书，发给奖品或者奖金，其中，对获得一等功以上的，并授予奖章。奖章由自治区人事行政部门统一制作，奖励证书由自治区人事行政部门统一式样。</w:t>
            </w:r>
          </w:p>
        </w:tc>
        <w:tc>
          <w:tcPr>
            <w:tcW w:w="330" w:type="dxa"/>
            <w:vAlign w:val="center"/>
          </w:tcPr>
          <w:p w14:paraId="7DCF9F73">
            <w:pPr>
              <w:snapToGrid w:val="0"/>
              <w:spacing w:line="240" w:lineRule="atLeast"/>
              <w:jc w:val="center"/>
              <w:rPr>
                <w:rFonts w:ascii="仿宋_GB2312" w:hAnsi="仿宋_GB2312" w:eastAsia="仿宋_GB2312" w:cs="仿宋_GB2312"/>
                <w:sz w:val="20"/>
                <w:szCs w:val="20"/>
              </w:rPr>
            </w:pPr>
          </w:p>
        </w:tc>
      </w:tr>
    </w:tbl>
    <w:p w14:paraId="463AEF1B"/>
    <w:p w14:paraId="49B5D57B"/>
    <w:p w14:paraId="6810F966"/>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75"/>
        <w:gridCol w:w="600"/>
        <w:gridCol w:w="1110"/>
        <w:gridCol w:w="4605"/>
        <w:gridCol w:w="3585"/>
        <w:gridCol w:w="9515"/>
        <w:gridCol w:w="330"/>
      </w:tblGrid>
      <w:tr w14:paraId="08F6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DF81F1B">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630FFAD">
            <w:pPr>
              <w:spacing w:line="240" w:lineRule="atLeast"/>
              <w:rPr>
                <w:rFonts w:asciiTheme="majorEastAsia" w:hAnsiTheme="majorEastAsia" w:eastAsiaTheme="majorEastAsia" w:cstheme="majorEastAsia"/>
                <w:spacing w:val="-20"/>
                <w:sz w:val="20"/>
                <w:szCs w:val="20"/>
              </w:rPr>
            </w:pPr>
          </w:p>
          <w:p w14:paraId="162F54BD">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3CF1F5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5C6F849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AE3087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375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2E20560">
            <w:pPr>
              <w:spacing w:line="240" w:lineRule="atLeast"/>
              <w:jc w:val="left"/>
              <w:rPr>
                <w:rFonts w:ascii="仿宋_GB2312" w:hAnsi="仿宋_GB2312" w:eastAsia="仿宋_GB2312" w:cs="仿宋_GB2312"/>
                <w:sz w:val="20"/>
                <w:szCs w:val="20"/>
              </w:rPr>
            </w:pPr>
          </w:p>
        </w:tc>
        <w:tc>
          <w:tcPr>
            <w:tcW w:w="555" w:type="dxa"/>
            <w:vMerge w:val="continue"/>
          </w:tcPr>
          <w:p w14:paraId="00A9B729">
            <w:pPr>
              <w:spacing w:line="240" w:lineRule="atLeast"/>
              <w:jc w:val="left"/>
              <w:rPr>
                <w:rFonts w:ascii="仿宋_GB2312" w:hAnsi="仿宋_GB2312" w:eastAsia="仿宋_GB2312" w:cs="仿宋_GB2312"/>
                <w:sz w:val="20"/>
                <w:szCs w:val="20"/>
              </w:rPr>
            </w:pPr>
          </w:p>
        </w:tc>
        <w:tc>
          <w:tcPr>
            <w:tcW w:w="784" w:type="dxa"/>
            <w:vAlign w:val="center"/>
          </w:tcPr>
          <w:p w14:paraId="6D89B9F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6CAA89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75" w:type="dxa"/>
            <w:vAlign w:val="center"/>
          </w:tcPr>
          <w:p w14:paraId="33A838B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00" w:type="dxa"/>
            <w:vAlign w:val="center"/>
          </w:tcPr>
          <w:p w14:paraId="1919C75D">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50F0C55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70ECC9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A2CA51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0AD0D1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691D6A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1776EAF">
            <w:pPr>
              <w:spacing w:line="240" w:lineRule="atLeast"/>
              <w:jc w:val="left"/>
              <w:rPr>
                <w:rFonts w:ascii="仿宋_GB2312" w:hAnsi="仿宋_GB2312" w:eastAsia="仿宋_GB2312" w:cs="仿宋_GB2312"/>
                <w:sz w:val="20"/>
                <w:szCs w:val="20"/>
              </w:rPr>
            </w:pPr>
          </w:p>
        </w:tc>
      </w:tr>
      <w:tr w14:paraId="5200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7BC19A0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211</w:t>
            </w:r>
          </w:p>
        </w:tc>
        <w:tc>
          <w:tcPr>
            <w:tcW w:w="555" w:type="dxa"/>
            <w:vAlign w:val="center"/>
          </w:tcPr>
          <w:p w14:paraId="39E1445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2036987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对在古生物化石保护工作中做出突出成绩的单位和个人给与奖励</w:t>
            </w:r>
          </w:p>
        </w:tc>
        <w:tc>
          <w:tcPr>
            <w:tcW w:w="675" w:type="dxa"/>
            <w:vAlign w:val="center"/>
          </w:tcPr>
          <w:p w14:paraId="34D08657">
            <w:pPr>
              <w:snapToGrid w:val="0"/>
              <w:spacing w:line="240" w:lineRule="atLeast"/>
              <w:jc w:val="center"/>
              <w:rPr>
                <w:rFonts w:ascii="仿宋_GB2312" w:hAnsi="仿宋_GB2312" w:eastAsia="仿宋_GB2312" w:cs="仿宋_GB2312"/>
                <w:sz w:val="20"/>
                <w:szCs w:val="20"/>
              </w:rPr>
            </w:pPr>
          </w:p>
        </w:tc>
        <w:tc>
          <w:tcPr>
            <w:tcW w:w="600" w:type="dxa"/>
            <w:vAlign w:val="center"/>
          </w:tcPr>
          <w:p w14:paraId="726A9C2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玉林市人民政府（具体由玉林市自然资源局承办）</w:t>
            </w:r>
          </w:p>
        </w:tc>
        <w:tc>
          <w:tcPr>
            <w:tcW w:w="1110" w:type="dxa"/>
            <w:vAlign w:val="center"/>
          </w:tcPr>
          <w:p w14:paraId="3920A94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648F791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古生物化石保护条例》（2010年国务院令第580号公布，2019年国务院令第709号令修订））第九条第二款：县级以上人民政府应当组织有关部门开展古生物化石保护知识的宣传教育，增强公众保护古生物化石的意识，并按照国家有关规定对在古生物化石保护工作中做出突出成绩的单位和个人给予奖励。</w:t>
            </w:r>
          </w:p>
        </w:tc>
        <w:tc>
          <w:tcPr>
            <w:tcW w:w="3585" w:type="dxa"/>
            <w:vAlign w:val="center"/>
          </w:tcPr>
          <w:p w14:paraId="10EF2CFC">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1.受理责任：制定对古生物化石保护工作中做出突出成绩的单位和个人进行奖励的具体条件和奖励方案，按照方案受理报奖申请相关材料；</w:t>
            </w:r>
          </w:p>
          <w:p w14:paraId="7EB7791C">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2.审核责任：对申请材料按具体条件和奖励方案进行审核，初步确定评选对象后，公开征求人民群众和有关国家机关的意见，并对反映的意见进行审查；</w:t>
            </w:r>
          </w:p>
          <w:p w14:paraId="30B3A0E7">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3.决定责任：按照奖励方案公布奖励决定；</w:t>
            </w:r>
          </w:p>
          <w:p w14:paraId="4024B8D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6C05D6BB">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二条：本规定适用于下列行政机关以行政名义进行的奖励：（一）县级以上人民政府进行的奖励；（二）设区的市人民政府（含地区行政公署，下同）工作部门和自治区人民政府工作部门进行的综合奖励。法律、法规和规章对行政奖励另有规定的，从其规定。第六条行政奖励分为个人奖励和集体奖励两类。个人奖励依次为嘉奖、记三等功、记二等功、记一等功、授予荣誉称号。集体奖励依次为授予先进集体称号、记集体三等功、记集体二等功、记集体一等功、通令嘉奖。</w:t>
            </w:r>
          </w:p>
          <w:p w14:paraId="72680273">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第九款：除前款规定的奖励条件外，奖励主办单位或者承办单位还应当结合本地区、本系统、本单位的工作性质和特点，制定具体的奖励条件。</w:t>
            </w:r>
          </w:p>
          <w:p w14:paraId="76E0F16E">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3.【地方政府规章】《广西壮族自治区行政奖励暂行规定》（2002年广西壮族自治区人民政府令第4号）第十一条第二款：设区的市人民政府工作部门和自治区人民政府工作部门进行的综合奖励，一般3年或者4年进行一次，主办单位须提前6个月向同级政府人事行政部门报送方案，人事行政部门应当在1个月内予以审批。</w:t>
            </w:r>
          </w:p>
          <w:p w14:paraId="46AB777C">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1710F31E">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政府规章】《广西壮族自治区行政奖励暂行规定》（2002年广西壮族自治区人民政府令第4号）第十四条：公布奖励决定，应当采取庄重、节俭的方式，一般不专门召开表彰大会，可以结合有关工作会议或者采取电话会议、新闻发布会等简便形式公布奖励决定。</w:t>
            </w:r>
          </w:p>
          <w:p w14:paraId="3E62E63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3—2.【地方政府规章】《广西壮族自治区行政奖励暂行规定》（2002年广西壮族自治区人民政府令第4号）</w:t>
            </w:r>
            <w:r>
              <w:rPr>
                <w:rFonts w:hint="eastAsia" w:eastAsia="仿宋_GB2312"/>
                <w:snapToGrid w:val="0"/>
                <w:color w:val="000000"/>
                <w:spacing w:val="-4"/>
                <w:sz w:val="20"/>
                <w:szCs w:val="20"/>
              </w:rPr>
              <w:t>第十五条：获得奖励的集体，由批准机关颁发奖状、奖旗或者奖牌，并可以根据实际情况给予适当的物质奖励。获得奖励的个人，由批准机关颁发奖励证书，发给奖品或者奖金，其中，对获得一等功以上的</w:t>
            </w:r>
            <w:r>
              <w:rPr>
                <w:rFonts w:hint="eastAsia" w:eastAsia="仿宋_GB2312"/>
                <w:snapToGrid w:val="0"/>
                <w:color w:val="000000"/>
                <w:sz w:val="20"/>
                <w:szCs w:val="20"/>
              </w:rPr>
              <w:t>，并授予奖章。奖章由自治区人事行政部门统一制作，奖励证书由自治区人事行政部门统一式样。</w:t>
            </w:r>
          </w:p>
        </w:tc>
        <w:tc>
          <w:tcPr>
            <w:tcW w:w="330" w:type="dxa"/>
            <w:vAlign w:val="center"/>
          </w:tcPr>
          <w:p w14:paraId="127CEDDA">
            <w:pPr>
              <w:snapToGrid w:val="0"/>
              <w:spacing w:line="240" w:lineRule="atLeast"/>
              <w:jc w:val="center"/>
              <w:rPr>
                <w:rFonts w:ascii="仿宋_GB2312" w:hAnsi="仿宋_GB2312" w:eastAsia="仿宋_GB2312" w:cs="仿宋_GB2312"/>
                <w:sz w:val="20"/>
                <w:szCs w:val="20"/>
              </w:rPr>
            </w:pPr>
          </w:p>
        </w:tc>
      </w:tr>
    </w:tbl>
    <w:p w14:paraId="7E76D363"/>
    <w:p w14:paraId="628F9680"/>
    <w:p w14:paraId="63A92F6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5590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3FB8FE4">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64248DA">
            <w:pPr>
              <w:spacing w:line="240" w:lineRule="atLeast"/>
              <w:rPr>
                <w:rFonts w:asciiTheme="majorEastAsia" w:hAnsiTheme="majorEastAsia" w:eastAsiaTheme="majorEastAsia" w:cstheme="majorEastAsia"/>
                <w:spacing w:val="-20"/>
                <w:sz w:val="20"/>
                <w:szCs w:val="20"/>
              </w:rPr>
            </w:pPr>
          </w:p>
          <w:p w14:paraId="5864944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E6EAB8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BFC333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DAE80C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5673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AD2FC4D">
            <w:pPr>
              <w:spacing w:line="240" w:lineRule="atLeast"/>
              <w:jc w:val="left"/>
              <w:rPr>
                <w:rFonts w:ascii="仿宋_GB2312" w:hAnsi="仿宋_GB2312" w:eastAsia="仿宋_GB2312" w:cs="仿宋_GB2312"/>
                <w:sz w:val="20"/>
                <w:szCs w:val="20"/>
              </w:rPr>
            </w:pPr>
          </w:p>
        </w:tc>
        <w:tc>
          <w:tcPr>
            <w:tcW w:w="555" w:type="dxa"/>
            <w:vMerge w:val="continue"/>
          </w:tcPr>
          <w:p w14:paraId="0FB06D57">
            <w:pPr>
              <w:spacing w:line="240" w:lineRule="atLeast"/>
              <w:jc w:val="left"/>
              <w:rPr>
                <w:rFonts w:ascii="仿宋_GB2312" w:hAnsi="仿宋_GB2312" w:eastAsia="仿宋_GB2312" w:cs="仿宋_GB2312"/>
                <w:sz w:val="20"/>
                <w:szCs w:val="20"/>
              </w:rPr>
            </w:pPr>
          </w:p>
        </w:tc>
        <w:tc>
          <w:tcPr>
            <w:tcW w:w="784" w:type="dxa"/>
            <w:vAlign w:val="center"/>
          </w:tcPr>
          <w:p w14:paraId="0D60A8C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856AD8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CBC25B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2FC86058">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9E6A4E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DFAE66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CF6C1C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DB6A69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3A4B7804">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CC11B09">
            <w:pPr>
              <w:spacing w:line="240" w:lineRule="atLeast"/>
              <w:jc w:val="left"/>
              <w:rPr>
                <w:rFonts w:ascii="仿宋_GB2312" w:hAnsi="仿宋_GB2312" w:eastAsia="仿宋_GB2312" w:cs="仿宋_GB2312"/>
                <w:sz w:val="20"/>
                <w:szCs w:val="20"/>
              </w:rPr>
            </w:pPr>
          </w:p>
        </w:tc>
      </w:tr>
      <w:tr w14:paraId="7017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2665A3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212</w:t>
            </w:r>
          </w:p>
        </w:tc>
        <w:tc>
          <w:tcPr>
            <w:tcW w:w="555" w:type="dxa"/>
            <w:vAlign w:val="center"/>
          </w:tcPr>
          <w:p w14:paraId="29291A8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行政奖励</w:t>
            </w:r>
          </w:p>
        </w:tc>
        <w:tc>
          <w:tcPr>
            <w:tcW w:w="784" w:type="dxa"/>
            <w:vAlign w:val="center"/>
          </w:tcPr>
          <w:p w14:paraId="068ABE8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基本农田保护工作中取得显著成绩奖励</w:t>
            </w:r>
          </w:p>
        </w:tc>
        <w:tc>
          <w:tcPr>
            <w:tcW w:w="660" w:type="dxa"/>
            <w:vAlign w:val="center"/>
          </w:tcPr>
          <w:p w14:paraId="36733E9A">
            <w:pPr>
              <w:snapToGrid w:val="0"/>
              <w:spacing w:line="240" w:lineRule="atLeast"/>
              <w:jc w:val="center"/>
              <w:rPr>
                <w:rFonts w:ascii="仿宋_GB2312" w:hAnsi="仿宋_GB2312" w:eastAsia="仿宋_GB2312" w:cs="仿宋_GB2312"/>
                <w:sz w:val="20"/>
                <w:szCs w:val="20"/>
              </w:rPr>
            </w:pPr>
          </w:p>
        </w:tc>
        <w:tc>
          <w:tcPr>
            <w:tcW w:w="615" w:type="dxa"/>
            <w:vAlign w:val="center"/>
          </w:tcPr>
          <w:p w14:paraId="52B609B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B3270D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1230F7F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【行政法规】《基本农田保护条例》（1998年国务院令第257号发布,2011年国务院令第588号修正）第七条： 国家对在基本农田保护工作中取得显著成绩的单位和个人，给予奖励。</w:t>
            </w:r>
          </w:p>
        </w:tc>
        <w:tc>
          <w:tcPr>
            <w:tcW w:w="3585" w:type="dxa"/>
            <w:vAlign w:val="center"/>
          </w:tcPr>
          <w:p w14:paraId="439DFA6D">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1.申报责任：一次性告知推荐单位和个人需提交或补正的材料；</w:t>
            </w:r>
          </w:p>
          <w:p w14:paraId="6D084ECF">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2.受理责任：依法受理或不予受理的理由和原因；</w:t>
            </w:r>
          </w:p>
          <w:p w14:paraId="5F38E17F">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3.审核责任：对提交的申报材料进行审查，提出审查意见；</w:t>
            </w:r>
          </w:p>
          <w:p w14:paraId="1EECBE4E">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4．公示责任：公示期间，有公众提出异议或实名举报，组织重新审查；</w:t>
            </w:r>
          </w:p>
          <w:p w14:paraId="2274374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70D31731">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1.【地方政府规章】《广西壮族自治区行政奖励暂行规定》（2002年广西壮族自治区人民政府令第4号）第二条：本规定适用于下列行政机关以行政名义进行的奖励：（一）县级以上人民政府进行的奖励；（二）设区的市人民政府（含地区行政公署，下同）工作部门和自治区人民政府工作部门进行的综合奖励。法律、法规和规章对行政奖励另有规定的，从其规定。第六条行政奖励分为个人奖励和集体奖励两类。个人奖励依次为嘉奖、记三等功、记二等功、记一等功、授予荣誉称号。集体奖励依次为授予先进集体称号、记集体三等功、记集体二等功、记集体一等功、通令嘉奖。</w:t>
            </w:r>
          </w:p>
          <w:p w14:paraId="44997B1E">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2.【地方政府规章】《广西壮族自治区行政奖励暂行规定》（2002年广西壮族自治区人民政府令第4号）第九条：有下列行为之一的，应当予以奖励：（一）忠于职守、积极工作，成绩显著的；（二）遵守纪律，廉洁奉公，作风正派，办事公道，起模范作用的；（三）在增进民族团结，维护社会稳定方面做出突出贡献的；（四）在社会主义精神文明建设方面做出突出贡献的；（五）在工作中有发明、创造或者提出合理化建议，为国家取得显著经济效益和社会效益的；（六）爱护公共财产，节约国家资财，有突出成绩的；七）同违法、违纪行为作斗争，有功绩的；八）在对外交往中，为国家争得荣誉和利益的。除前款规定的奖励条件外，奖励主办单位或者承办单位还应当结合本地区、本系统、本单位的工作性质和特点，制定具体的奖励条件。</w:t>
            </w:r>
          </w:p>
          <w:p w14:paraId="140BB715">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2.同1—2</w:t>
            </w:r>
          </w:p>
          <w:p w14:paraId="5024E17C">
            <w:pPr>
              <w:widowControl/>
              <w:adjustRightInd w:val="0"/>
              <w:snapToGrid w:val="0"/>
              <w:spacing w:line="256"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地方政府规章】《广西壮族自治区行政奖励暂行规定》（2002年广西壮族自治区人民政府令第4号）第十三条：在初步确定评选对象后，应当公开征求人民群众和有关国家机关的意见。对弄虚作假或者有其他问题，经审查属实的，不能作为奖励对象。</w:t>
            </w:r>
          </w:p>
          <w:p w14:paraId="433F41D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4.同3</w:t>
            </w:r>
          </w:p>
        </w:tc>
        <w:tc>
          <w:tcPr>
            <w:tcW w:w="330" w:type="dxa"/>
            <w:vAlign w:val="center"/>
          </w:tcPr>
          <w:p w14:paraId="377E0DB0">
            <w:pPr>
              <w:snapToGrid w:val="0"/>
              <w:spacing w:line="240" w:lineRule="atLeast"/>
              <w:jc w:val="center"/>
              <w:rPr>
                <w:rFonts w:ascii="仿宋_GB2312" w:hAnsi="仿宋_GB2312" w:eastAsia="仿宋_GB2312" w:cs="仿宋_GB2312"/>
                <w:sz w:val="20"/>
                <w:szCs w:val="20"/>
              </w:rPr>
            </w:pPr>
          </w:p>
        </w:tc>
      </w:tr>
    </w:tbl>
    <w:p w14:paraId="61D24FBB"/>
    <w:p w14:paraId="627F2D8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A02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A90B1FF">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0B315EA">
            <w:pPr>
              <w:spacing w:line="240" w:lineRule="atLeast"/>
              <w:rPr>
                <w:rFonts w:asciiTheme="majorEastAsia" w:hAnsiTheme="majorEastAsia" w:eastAsiaTheme="majorEastAsia" w:cstheme="majorEastAsia"/>
                <w:spacing w:val="-20"/>
                <w:sz w:val="20"/>
                <w:szCs w:val="20"/>
              </w:rPr>
            </w:pPr>
          </w:p>
          <w:p w14:paraId="392449EB">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EB41C5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91959D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F415CC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1C6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381A35C2">
            <w:pPr>
              <w:spacing w:line="240" w:lineRule="atLeast"/>
              <w:jc w:val="left"/>
              <w:rPr>
                <w:rFonts w:ascii="仿宋_GB2312" w:hAnsi="仿宋_GB2312" w:eastAsia="仿宋_GB2312" w:cs="仿宋_GB2312"/>
                <w:sz w:val="20"/>
                <w:szCs w:val="20"/>
              </w:rPr>
            </w:pPr>
          </w:p>
        </w:tc>
        <w:tc>
          <w:tcPr>
            <w:tcW w:w="555" w:type="dxa"/>
            <w:vMerge w:val="continue"/>
          </w:tcPr>
          <w:p w14:paraId="118EF8CC">
            <w:pPr>
              <w:spacing w:line="240" w:lineRule="atLeast"/>
              <w:jc w:val="left"/>
              <w:rPr>
                <w:rFonts w:ascii="仿宋_GB2312" w:hAnsi="仿宋_GB2312" w:eastAsia="仿宋_GB2312" w:cs="仿宋_GB2312"/>
                <w:sz w:val="20"/>
                <w:szCs w:val="20"/>
              </w:rPr>
            </w:pPr>
          </w:p>
        </w:tc>
        <w:tc>
          <w:tcPr>
            <w:tcW w:w="784" w:type="dxa"/>
            <w:vAlign w:val="center"/>
          </w:tcPr>
          <w:p w14:paraId="080AD7EC">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31F73AC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CD51CB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7DB3A0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CF004CF">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32DA27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3D0BEFD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DA9A83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1C382FD">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612BC3F">
            <w:pPr>
              <w:spacing w:line="240" w:lineRule="atLeast"/>
              <w:jc w:val="left"/>
              <w:rPr>
                <w:rFonts w:ascii="仿宋_GB2312" w:hAnsi="仿宋_GB2312" w:eastAsia="仿宋_GB2312" w:cs="仿宋_GB2312"/>
                <w:sz w:val="20"/>
                <w:szCs w:val="20"/>
              </w:rPr>
            </w:pPr>
          </w:p>
        </w:tc>
      </w:tr>
      <w:tr w14:paraId="58F7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69F60FD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213</w:t>
            </w:r>
          </w:p>
        </w:tc>
        <w:tc>
          <w:tcPr>
            <w:tcW w:w="555" w:type="dxa"/>
            <w:vAlign w:val="center"/>
          </w:tcPr>
          <w:p w14:paraId="0CD375CB">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行政裁决</w:t>
            </w:r>
          </w:p>
        </w:tc>
        <w:tc>
          <w:tcPr>
            <w:tcW w:w="784" w:type="dxa"/>
            <w:vAlign w:val="center"/>
          </w:tcPr>
          <w:p w14:paraId="5699071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采矿权人对矿区范围争议的裁决</w:t>
            </w:r>
          </w:p>
        </w:tc>
        <w:tc>
          <w:tcPr>
            <w:tcW w:w="660" w:type="dxa"/>
            <w:vAlign w:val="center"/>
          </w:tcPr>
          <w:p w14:paraId="71366C97">
            <w:pPr>
              <w:snapToGrid w:val="0"/>
              <w:spacing w:line="240" w:lineRule="atLeast"/>
              <w:jc w:val="center"/>
              <w:rPr>
                <w:rFonts w:ascii="仿宋_GB2312" w:hAnsi="仿宋_GB2312" w:eastAsia="仿宋_GB2312" w:cs="仿宋_GB2312"/>
                <w:sz w:val="20"/>
                <w:szCs w:val="20"/>
              </w:rPr>
            </w:pPr>
          </w:p>
        </w:tc>
        <w:tc>
          <w:tcPr>
            <w:tcW w:w="615" w:type="dxa"/>
            <w:vAlign w:val="center"/>
          </w:tcPr>
          <w:p w14:paraId="11857A7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DD1C02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矿业权管理科</w:t>
            </w:r>
          </w:p>
        </w:tc>
        <w:tc>
          <w:tcPr>
            <w:tcW w:w="4605" w:type="dxa"/>
            <w:vAlign w:val="center"/>
          </w:tcPr>
          <w:p w14:paraId="5892429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四十九条：矿山企业之间的矿区范围的争议，由当事人协商解决，协商不成的，由有关县级以上地方人民政府根据依法核定的矿区范围处理；跨省、自治区、直辖市的矿区范围的争议，由有关省、自治区、直辖市人民政府协商解决，协商不成的，由国务院处理。</w:t>
            </w:r>
          </w:p>
          <w:p w14:paraId="1042B7B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行政法规】《中华人民共和国矿产资源法实施细则》（1994年国务院令第152号）第三十六条：采矿权人之间对矿区范围发生争议时，由当事人协商解决；协商不成的，由矿产资源所在地的县级以上地方人民政府根据依法核定的矿区范围处理；跨省、自治区、直辖市的矿区范围争议，当事人协商不成的，由有关省、自治区、直辖市人民政府协商解决；协商不成的，由国务院地质矿产主管部门提出处理意见，报国务院决定。</w:t>
            </w:r>
          </w:p>
          <w:p w14:paraId="454959D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3.【行政法规】《矿产资源勘查区块登记管理办法》（1998年国务院令第240号公布，2014年国务院令第653号修订）第九条： 禁止任何单位和个人进入他人依法取得探矿权的勘查作业区进行勘查或者采矿活动。探矿权人与采矿权人对勘查作业区范围和矿区范围发生争议的，由当事人协商解决；协商不成的，由发证的登记管理机关中级别高的登记管理机关裁决。</w:t>
            </w:r>
          </w:p>
        </w:tc>
        <w:tc>
          <w:tcPr>
            <w:tcW w:w="3585" w:type="dxa"/>
            <w:vAlign w:val="center"/>
          </w:tcPr>
          <w:p w14:paraId="2D1A6D45">
            <w:pPr>
              <w:widowControl/>
              <w:adjustRightInd w:val="0"/>
              <w:snapToGrid w:val="0"/>
              <w:spacing w:line="270" w:lineRule="exact"/>
              <w:ind w:firstLine="376" w:firstLineChars="200"/>
              <w:rPr>
                <w:rFonts w:eastAsia="仿宋_GB2312"/>
                <w:snapToGrid w:val="0"/>
                <w:color w:val="000000"/>
                <w:spacing w:val="-6"/>
                <w:sz w:val="20"/>
                <w:szCs w:val="20"/>
              </w:rPr>
            </w:pPr>
            <w:r>
              <w:rPr>
                <w:rFonts w:hint="eastAsia" w:eastAsia="仿宋_GB2312"/>
                <w:snapToGrid w:val="0"/>
                <w:color w:val="000000"/>
                <w:spacing w:val="-6"/>
                <w:sz w:val="20"/>
                <w:szCs w:val="20"/>
              </w:rPr>
              <w:t>1.受理责任：自然资源主管部门收到采矿权申请后，作出是否处理决定。不符合要求应一次性告知补正材料；符合受理条件的，应及时受理并将受理通知发送被申请人。</w:t>
            </w:r>
          </w:p>
          <w:p w14:paraId="15AA2944">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2.调查责任：自然资源主管部门对受理的纠纷，指定专人负责，及时</w:t>
            </w:r>
            <w:r>
              <w:rPr>
                <w:rFonts w:hint="eastAsia" w:eastAsia="仿宋_GB2312"/>
                <w:snapToGrid w:val="0"/>
                <w:color w:val="000000"/>
                <w:spacing w:val="-4"/>
                <w:sz w:val="20"/>
                <w:szCs w:val="20"/>
              </w:rPr>
              <w:t>组织调查取证，与争议案件有直接厉害关系的应当回避。进行实地调查时</w:t>
            </w:r>
            <w:r>
              <w:rPr>
                <w:rFonts w:hint="eastAsia" w:eastAsia="仿宋_GB2312"/>
                <w:snapToGrid w:val="0"/>
                <w:color w:val="000000"/>
                <w:sz w:val="20"/>
                <w:szCs w:val="20"/>
              </w:rPr>
              <w:t>，工作人员不得少于2人。</w:t>
            </w:r>
          </w:p>
          <w:p w14:paraId="44229A1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调解责任：自然资源主管部门在查清事实、分清权属关系的基础上先行调解，帮助当事人达成协议。调解应当坚持自愿、合法的原则。达成协议的，应当制作调解书，将调解书送达当事人，并同时抄报上一级国土资源行政主管部门；未达成协议的，当事人可以提起民事诉讼。</w:t>
            </w:r>
          </w:p>
          <w:p w14:paraId="49E59667">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决定责任：自然资源主管部门根据事实和法律法规、政策提出调查处理意见，报送当地人民政府决定。根据当地人民政府的决定制作并向双方当事人送达裁决书。当事人对当地人民政府的处理裁决不服的，可向上一级人民政府申请复议，也可直接向当地人民法院起诉。</w:t>
            </w:r>
          </w:p>
          <w:p w14:paraId="172A291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571B2993">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1.【行政法规】《矿产资源勘查区块登记管理办法》（1998年国务院令第240号公布，2014年国务院令第653号修订）第九条： 禁止任何单位和个人进入他人依法取得探矿权的勘查作业区进行勘查或者采矿活动。探矿权人与采矿权人对勘查作业区范围和矿区范围发生争议的，由当事人协商解决；协商不成的，由发证的登记管理机关中级别高的登记管理机关裁决。</w:t>
            </w:r>
          </w:p>
          <w:p w14:paraId="65C304EF">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1B01A393">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186FA26E">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4—1.【部门规章】 《中华人民共和国矿产资源法实施细则》（1994年国务院令第152号）第三十六条：采矿权人之间对矿区范围发生争议时，由当事人协商解决；协商不成的，由矿产资源所在地的县级以上地方人民政府根据依法核定的矿区范围处理；跨省、自治区、直辖市的矿区范围争议，当事人协商不成的，由有关省、自治区、直辖市人民政府协商解决；协商不成的，由国务院地质矿产主管部门提出处理意见，报国务院决定；</w:t>
            </w:r>
          </w:p>
          <w:p w14:paraId="2E506459">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4—2.【法律】《中华人民共和国行政复议法》第六条：有下列情形之一的，公民、法人或者其他组织可以依照本法申请行政复议： 四）对行政机关作出的关于确认土地、矿藏、水流、森林、山岭、草原、荒地、滩涂、海域等自然资源的所有权或者使用权的决定不服的；</w:t>
            </w:r>
          </w:p>
          <w:p w14:paraId="3910362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3.【法律】《中华人民共和国行政诉讼法》第十二条：人民法院受理公民、法人或者其他组织提起的下列诉讼：（四）对行政机关作出的关于确认土地、矿藏、水流、森林、山岭、草原、荒地、滩涂、海域等自然资源的所有权或者使用权的决定不服的。</w:t>
            </w:r>
          </w:p>
        </w:tc>
        <w:tc>
          <w:tcPr>
            <w:tcW w:w="330" w:type="dxa"/>
            <w:vAlign w:val="center"/>
          </w:tcPr>
          <w:p w14:paraId="1FFEC356">
            <w:pPr>
              <w:snapToGrid w:val="0"/>
              <w:spacing w:line="240" w:lineRule="atLeast"/>
              <w:jc w:val="center"/>
              <w:rPr>
                <w:rFonts w:ascii="仿宋_GB2312" w:hAnsi="仿宋_GB2312" w:eastAsia="仿宋_GB2312" w:cs="仿宋_GB2312"/>
                <w:sz w:val="20"/>
                <w:szCs w:val="20"/>
              </w:rPr>
            </w:pPr>
          </w:p>
        </w:tc>
      </w:tr>
    </w:tbl>
    <w:p w14:paraId="08422173"/>
    <w:p w14:paraId="0FA04ED5"/>
    <w:p w14:paraId="16BDC33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ADD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905037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EFE2A90">
            <w:pPr>
              <w:spacing w:line="240" w:lineRule="atLeast"/>
              <w:rPr>
                <w:rFonts w:asciiTheme="majorEastAsia" w:hAnsiTheme="majorEastAsia" w:eastAsiaTheme="majorEastAsia" w:cstheme="majorEastAsia"/>
                <w:spacing w:val="-20"/>
                <w:sz w:val="20"/>
                <w:szCs w:val="20"/>
              </w:rPr>
            </w:pPr>
          </w:p>
          <w:p w14:paraId="6F95F72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3B6B4B2">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397A4A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1DD3B2D2">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89D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9036536">
            <w:pPr>
              <w:spacing w:line="240" w:lineRule="atLeast"/>
              <w:jc w:val="left"/>
              <w:rPr>
                <w:rFonts w:ascii="仿宋_GB2312" w:hAnsi="仿宋_GB2312" w:eastAsia="仿宋_GB2312" w:cs="仿宋_GB2312"/>
                <w:sz w:val="20"/>
                <w:szCs w:val="20"/>
              </w:rPr>
            </w:pPr>
          </w:p>
        </w:tc>
        <w:tc>
          <w:tcPr>
            <w:tcW w:w="555" w:type="dxa"/>
            <w:vMerge w:val="continue"/>
          </w:tcPr>
          <w:p w14:paraId="67D9DA1A">
            <w:pPr>
              <w:spacing w:line="240" w:lineRule="atLeast"/>
              <w:jc w:val="left"/>
              <w:rPr>
                <w:rFonts w:ascii="仿宋_GB2312" w:hAnsi="仿宋_GB2312" w:eastAsia="仿宋_GB2312" w:cs="仿宋_GB2312"/>
                <w:sz w:val="20"/>
                <w:szCs w:val="20"/>
              </w:rPr>
            </w:pPr>
          </w:p>
        </w:tc>
        <w:tc>
          <w:tcPr>
            <w:tcW w:w="784" w:type="dxa"/>
            <w:vAlign w:val="center"/>
          </w:tcPr>
          <w:p w14:paraId="6CC3E0E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05DB00E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B91B20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88374B5">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06D11A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F1F8336">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DDF68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684CC2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611B0F3F">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9EEF635">
            <w:pPr>
              <w:spacing w:line="240" w:lineRule="atLeast"/>
              <w:jc w:val="left"/>
              <w:rPr>
                <w:rFonts w:ascii="仿宋_GB2312" w:hAnsi="仿宋_GB2312" w:eastAsia="仿宋_GB2312" w:cs="仿宋_GB2312"/>
                <w:sz w:val="20"/>
                <w:szCs w:val="20"/>
              </w:rPr>
            </w:pPr>
          </w:p>
        </w:tc>
      </w:tr>
      <w:tr w14:paraId="1D63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B826C6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214</w:t>
            </w:r>
          </w:p>
        </w:tc>
        <w:tc>
          <w:tcPr>
            <w:tcW w:w="555" w:type="dxa"/>
            <w:vAlign w:val="center"/>
          </w:tcPr>
          <w:p w14:paraId="3F9B699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2272BCA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矿山地质环境治理恢复工程验收</w:t>
            </w:r>
          </w:p>
        </w:tc>
        <w:tc>
          <w:tcPr>
            <w:tcW w:w="660" w:type="dxa"/>
            <w:vAlign w:val="center"/>
          </w:tcPr>
          <w:p w14:paraId="28ED01E6">
            <w:pPr>
              <w:snapToGrid w:val="0"/>
              <w:spacing w:line="240" w:lineRule="atLeast"/>
              <w:jc w:val="center"/>
              <w:rPr>
                <w:rFonts w:ascii="仿宋_GB2312" w:hAnsi="仿宋_GB2312" w:eastAsia="仿宋_GB2312" w:cs="仿宋_GB2312"/>
                <w:sz w:val="20"/>
                <w:szCs w:val="20"/>
              </w:rPr>
            </w:pPr>
          </w:p>
        </w:tc>
        <w:tc>
          <w:tcPr>
            <w:tcW w:w="615" w:type="dxa"/>
            <w:vAlign w:val="center"/>
          </w:tcPr>
          <w:p w14:paraId="67A7A1C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1110" w:type="dxa"/>
            <w:vAlign w:val="center"/>
          </w:tcPr>
          <w:p w14:paraId="672E49F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4605" w:type="dxa"/>
            <w:vAlign w:val="center"/>
          </w:tcPr>
          <w:p w14:paraId="290EB113">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矿山地质环境保护规定》（2009年国土资源部令第44号发布，2019年自然资源部令第5号修正）第十九条：矿山关闭前，采矿权人应当完成矿山地质环境保护与土地复垦义务。采矿权人在申请办理闭坑手续时，应当经自然资源主管部门验收合格，并提交验收合格文件。</w:t>
            </w:r>
          </w:p>
          <w:p w14:paraId="4557B78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广西壮族自治区矿山地质环境治理恢复基金管理办法（试行）》（桂自然资规〔2019〕4号）第十四条：矿山企业按《方案》完成年度或阶段矿山地质环境治理恢复工程，经自检合格后60天内应向当地自然资源行政主管部门申请工程验收，工程验收合格后核算基金使用情况。自然资源部、自治区、设区市发证矿山的矿山地质环境治理恢复工程由市级自然资源行政主管部门负责组织验收，县级发证矿山的矿山地质环境治理恢复工程由县级自然资源行政主管部门负责组织验收。</w:t>
            </w:r>
          </w:p>
        </w:tc>
        <w:tc>
          <w:tcPr>
            <w:tcW w:w="3585" w:type="dxa"/>
            <w:vAlign w:val="center"/>
          </w:tcPr>
          <w:p w14:paraId="1BBBA162">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1.受理阶段责任：公示依法应当提交的材料；一次性告知补正材料，依法受理或不予受理（不予受理的，应当告知理由）；</w:t>
            </w:r>
          </w:p>
          <w:p w14:paraId="27D2B17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2.审查阶段责任：对申请材料进行审核，组织专家验收组，按规定程序进行验收；</w:t>
            </w:r>
          </w:p>
          <w:p w14:paraId="40984C3B">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3.决定阶段责任：形成验收意见，将验收过程材料及验收意见报领导审核同意；作出验收合格或不合格的决定（不合格的，应当告知理由，提出整改意见，限期整改）；</w:t>
            </w:r>
          </w:p>
          <w:p w14:paraId="533F7DCF">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 xml:space="preserve">4.送达阶段责任：制发并送达合格证；   </w:t>
            </w:r>
          </w:p>
          <w:p w14:paraId="768C96D8">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5．事后监管责任：对验收材料进行归档和信息公开；</w:t>
            </w:r>
          </w:p>
          <w:p w14:paraId="3D9C175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9515" w:type="dxa"/>
            <w:vAlign w:val="center"/>
          </w:tcPr>
          <w:p w14:paraId="0B81CD23">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1.【规范性文件】《矿山地质环境治理恢复要求与验收规范》（DB45/T701-2010） 8．3.2验收步骤b）竣工验收：自检合格后，向有采矿权管辖权的国土资源行政主管部门或上级国土资源局提出竣工验收申请（格式见附录A表中表A.2），由国土资源行政主管部门组织有关部门及专家进行实地竣工验收，竣工验收应审查的项目和提出的军工验收书见附录A中图A.</w:t>
            </w:r>
          </w:p>
          <w:p w14:paraId="6D9C5D03">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22B41C44">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3.【规范性文件】《矿山地质环境治理恢复要求与验收规范》（DB45/T701-2010）</w:t>
            </w:r>
          </w:p>
          <w:p w14:paraId="438D73A6">
            <w:pPr>
              <w:widowControl/>
              <w:adjustRightInd w:val="0"/>
              <w:snapToGrid w:val="0"/>
              <w:spacing w:line="270"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4．同1。</w:t>
            </w:r>
          </w:p>
          <w:p w14:paraId="2044C26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规范性文件】《广西壮族自治区矿山地质环境治理恢复基金管理办法（试行）》（桂自然资规〔2019〕4号）第十九条：矿山地质环境治理恢复基金涉及的相关部门主要职责。（一）自然资源行政主管部门：按有关规定和要求组织审查、批复矿山企业编制的《方案》，监督矿山企业执行《方案》、校核企业的《方案》变更，对矿山企业矿山地质环境治理恢复基金账户设立、基金计提、基金使用及矿山企业履行矿山地质环境治理恢复义务情况开展监督、检查,及时组织专家对矿山企业申请验收的治理工程进行验收，及时开展矿业权人“异常名录”和“严重违法名单”管理工作，开展矿山企业矿山地质环境治理恢复情况动态监管。</w:t>
            </w:r>
          </w:p>
        </w:tc>
        <w:tc>
          <w:tcPr>
            <w:tcW w:w="330" w:type="dxa"/>
            <w:vAlign w:val="center"/>
          </w:tcPr>
          <w:p w14:paraId="50EEFB58">
            <w:pPr>
              <w:snapToGrid w:val="0"/>
              <w:spacing w:line="240" w:lineRule="atLeast"/>
              <w:jc w:val="center"/>
              <w:rPr>
                <w:rFonts w:ascii="仿宋_GB2312" w:hAnsi="仿宋_GB2312" w:eastAsia="仿宋_GB2312" w:cs="仿宋_GB2312"/>
                <w:sz w:val="20"/>
                <w:szCs w:val="20"/>
              </w:rPr>
            </w:pPr>
          </w:p>
        </w:tc>
      </w:tr>
    </w:tbl>
    <w:p w14:paraId="21D3E240"/>
    <w:p w14:paraId="62E0C322"/>
    <w:p w14:paraId="0CE3018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5310"/>
        <w:gridCol w:w="4170"/>
        <w:gridCol w:w="8225"/>
        <w:gridCol w:w="330"/>
      </w:tblGrid>
      <w:tr w14:paraId="5456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9CDEEE1">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63CCD5E6">
            <w:pPr>
              <w:spacing w:line="240" w:lineRule="atLeast"/>
              <w:rPr>
                <w:rFonts w:asciiTheme="majorEastAsia" w:hAnsiTheme="majorEastAsia" w:eastAsiaTheme="majorEastAsia" w:cstheme="majorEastAsia"/>
                <w:spacing w:val="-20"/>
                <w:sz w:val="20"/>
                <w:szCs w:val="20"/>
              </w:rPr>
            </w:pPr>
          </w:p>
          <w:p w14:paraId="1E715529">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479" w:type="dxa"/>
            <w:gridSpan w:val="5"/>
            <w:vAlign w:val="center"/>
          </w:tcPr>
          <w:p w14:paraId="7B458C9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395" w:type="dxa"/>
            <w:gridSpan w:val="2"/>
            <w:vAlign w:val="center"/>
          </w:tcPr>
          <w:p w14:paraId="619BD1A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624B31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3EF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778C722">
            <w:pPr>
              <w:spacing w:line="240" w:lineRule="atLeast"/>
              <w:jc w:val="left"/>
              <w:rPr>
                <w:rFonts w:ascii="仿宋_GB2312" w:hAnsi="仿宋_GB2312" w:eastAsia="仿宋_GB2312" w:cs="仿宋_GB2312"/>
                <w:sz w:val="20"/>
                <w:szCs w:val="20"/>
              </w:rPr>
            </w:pPr>
          </w:p>
        </w:tc>
        <w:tc>
          <w:tcPr>
            <w:tcW w:w="555" w:type="dxa"/>
            <w:vMerge w:val="continue"/>
          </w:tcPr>
          <w:p w14:paraId="309C5484">
            <w:pPr>
              <w:spacing w:line="240" w:lineRule="atLeast"/>
              <w:jc w:val="left"/>
              <w:rPr>
                <w:rFonts w:ascii="仿宋_GB2312" w:hAnsi="仿宋_GB2312" w:eastAsia="仿宋_GB2312" w:cs="仿宋_GB2312"/>
                <w:sz w:val="20"/>
                <w:szCs w:val="20"/>
              </w:rPr>
            </w:pPr>
          </w:p>
        </w:tc>
        <w:tc>
          <w:tcPr>
            <w:tcW w:w="784" w:type="dxa"/>
            <w:vAlign w:val="center"/>
          </w:tcPr>
          <w:p w14:paraId="509CCCD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2A46BA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1394D3A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1102B6B">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369C6A7D">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310" w:type="dxa"/>
            <w:vAlign w:val="center"/>
          </w:tcPr>
          <w:p w14:paraId="120FEED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70" w:type="dxa"/>
            <w:vAlign w:val="center"/>
          </w:tcPr>
          <w:p w14:paraId="5B7497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33B4E4C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225" w:type="dxa"/>
            <w:vAlign w:val="center"/>
          </w:tcPr>
          <w:p w14:paraId="509BFB2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91ABA78">
            <w:pPr>
              <w:spacing w:line="240" w:lineRule="atLeast"/>
              <w:jc w:val="left"/>
              <w:rPr>
                <w:rFonts w:ascii="仿宋_GB2312" w:hAnsi="仿宋_GB2312" w:eastAsia="仿宋_GB2312" w:cs="仿宋_GB2312"/>
                <w:sz w:val="20"/>
                <w:szCs w:val="20"/>
              </w:rPr>
            </w:pPr>
          </w:p>
        </w:tc>
      </w:tr>
      <w:tr w14:paraId="2068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7" w:hRule="atLeast"/>
        </w:trPr>
        <w:tc>
          <w:tcPr>
            <w:tcW w:w="611" w:type="dxa"/>
            <w:vAlign w:val="center"/>
          </w:tcPr>
          <w:p w14:paraId="7CAD21D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215</w:t>
            </w:r>
          </w:p>
        </w:tc>
        <w:tc>
          <w:tcPr>
            <w:tcW w:w="555" w:type="dxa"/>
            <w:vAlign w:val="center"/>
          </w:tcPr>
          <w:p w14:paraId="6B320C9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7F70037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土地复垦验收确认</w:t>
            </w:r>
          </w:p>
        </w:tc>
        <w:tc>
          <w:tcPr>
            <w:tcW w:w="660" w:type="dxa"/>
            <w:vAlign w:val="center"/>
          </w:tcPr>
          <w:p w14:paraId="001F7D5D">
            <w:pPr>
              <w:snapToGrid w:val="0"/>
              <w:spacing w:line="240" w:lineRule="atLeast"/>
              <w:jc w:val="center"/>
              <w:rPr>
                <w:rFonts w:ascii="仿宋_GB2312" w:hAnsi="仿宋_GB2312" w:eastAsia="仿宋_GB2312" w:cs="仿宋_GB2312"/>
                <w:sz w:val="20"/>
                <w:szCs w:val="20"/>
              </w:rPr>
            </w:pPr>
          </w:p>
        </w:tc>
        <w:tc>
          <w:tcPr>
            <w:tcW w:w="615" w:type="dxa"/>
            <w:vAlign w:val="center"/>
          </w:tcPr>
          <w:p w14:paraId="69A6658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6CEB46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5310" w:type="dxa"/>
            <w:vAlign w:val="center"/>
          </w:tcPr>
          <w:p w14:paraId="32C6469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土地复垦条例》（2011年国务院令第592号）第二十九条：负责组织验收的国土资源主管部门应当会同有关部门在接到土地复垦验收申请之日起60个工作日内完成验收，经验收合格的，向土地复垦义务人出具验收合格确认书。</w:t>
            </w:r>
          </w:p>
          <w:p w14:paraId="3140BE3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土地复垦条例实施办法》（2012年国土资源部第56号令公布，2019年自然资源部令第5号修正）第三十七条：土地复垦工程经阶段验收或者总体验收合格的，负责验收的自然资源主管部门应当依照条例第二十九条规定出具阶段或者总体验收合格确认书。验收合格确认书应当载明下列事项：</w:t>
            </w:r>
          </w:p>
          <w:p w14:paraId="114460C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（一）土地复垦工程概况；</w:t>
            </w:r>
          </w:p>
          <w:p w14:paraId="1FCDD74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（二）损毁土地情况；</w:t>
            </w:r>
          </w:p>
          <w:p w14:paraId="76FE0C5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（三）土地复垦完成情况；</w:t>
            </w:r>
          </w:p>
          <w:p w14:paraId="6786692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（四）土地复垦中存在的问题和整改建议、处理意见；</w:t>
            </w:r>
          </w:p>
          <w:p w14:paraId="50505C4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（五）验收结论。</w:t>
            </w:r>
          </w:p>
        </w:tc>
        <w:tc>
          <w:tcPr>
            <w:tcW w:w="4170" w:type="dxa"/>
            <w:vAlign w:val="center"/>
          </w:tcPr>
          <w:p w14:paraId="7FCF044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1.受理责任：审查申请人或单位的验收申请材料是否齐全，是否在规定的时间内提交验收材料。材料不全的，通知验收申请个人或单位一次性补齐。</w:t>
            </w:r>
          </w:p>
          <w:p w14:paraId="1613B85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2.审查责任：根据验收确认规定，对材料齐全，且符合要求的申请材料，予以审查通过。</w:t>
            </w:r>
          </w:p>
          <w:p w14:paraId="7F35961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3.决定责任：对审查通过的申请材料予以确认。</w:t>
            </w:r>
          </w:p>
          <w:p w14:paraId="1794537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4．送达责任：印发土地复垦验收合格确认书，并通知申请人或单位。</w:t>
            </w:r>
          </w:p>
          <w:p w14:paraId="0DD3C7B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225" w:type="dxa"/>
            <w:vAlign w:val="center"/>
          </w:tcPr>
          <w:p w14:paraId="280E29F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1.【行政法规】《土地复垦条例》（2011年国务院令第592号） 第二十九条：负责组织验收的国土资源主管部门应当会同有关部门在接到土地复垦验收申请之日起60个工作日内完成验收，经验收合格的，向土地复垦义务人出具验收合格确认书。</w:t>
            </w:r>
          </w:p>
          <w:p w14:paraId="6D35DFA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土地复垦条例实施办法》（2012年国土资源部第56号令公布，2019年自然资源部令第5号修正）第三十七条土地复垦工程经阶段验收或者总体验收合格的，负责验收的自然资源主管部门应当依照条例第二十九条规定出具阶段或者总体验收合格确认书。验收合格确认书应当载明下列事项：（一）土地复垦工程概况；（二）损毁土地情况；（三）土地复垦完成情况；（四）土地复垦中存在的问题和整改建议、处理意见；（五）验收结论。</w:t>
            </w:r>
          </w:p>
          <w:p w14:paraId="4FB8F0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4AE6016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4.同2。</w:t>
            </w:r>
          </w:p>
        </w:tc>
        <w:tc>
          <w:tcPr>
            <w:tcW w:w="330" w:type="dxa"/>
            <w:vAlign w:val="center"/>
          </w:tcPr>
          <w:p w14:paraId="2569157B">
            <w:pPr>
              <w:snapToGrid w:val="0"/>
              <w:spacing w:line="240" w:lineRule="atLeast"/>
              <w:jc w:val="center"/>
              <w:rPr>
                <w:rFonts w:ascii="仿宋_GB2312" w:hAnsi="仿宋_GB2312" w:eastAsia="仿宋_GB2312" w:cs="仿宋_GB2312"/>
                <w:sz w:val="20"/>
                <w:szCs w:val="20"/>
              </w:rPr>
            </w:pPr>
          </w:p>
        </w:tc>
      </w:tr>
    </w:tbl>
    <w:p w14:paraId="678AF95C"/>
    <w:p w14:paraId="28E4B581"/>
    <w:p w14:paraId="59FC10B9"/>
    <w:p w14:paraId="0F89704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5295"/>
        <w:gridCol w:w="4185"/>
        <w:gridCol w:w="8225"/>
        <w:gridCol w:w="330"/>
      </w:tblGrid>
      <w:tr w14:paraId="2455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BDAC428">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DF88AB8">
            <w:pPr>
              <w:spacing w:line="240" w:lineRule="atLeast"/>
              <w:rPr>
                <w:rFonts w:asciiTheme="majorEastAsia" w:hAnsiTheme="majorEastAsia" w:eastAsiaTheme="majorEastAsia" w:cstheme="majorEastAsia"/>
                <w:spacing w:val="-20"/>
                <w:sz w:val="20"/>
                <w:szCs w:val="20"/>
              </w:rPr>
            </w:pPr>
          </w:p>
          <w:p w14:paraId="2D56F27A">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8464" w:type="dxa"/>
            <w:gridSpan w:val="5"/>
            <w:vAlign w:val="center"/>
          </w:tcPr>
          <w:p w14:paraId="398CA8AF">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2410" w:type="dxa"/>
            <w:gridSpan w:val="2"/>
            <w:vAlign w:val="center"/>
          </w:tcPr>
          <w:p w14:paraId="7EBF7D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CD584FC">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71BD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2B16F63">
            <w:pPr>
              <w:spacing w:line="240" w:lineRule="atLeast"/>
              <w:jc w:val="left"/>
              <w:rPr>
                <w:rFonts w:ascii="仿宋_GB2312" w:hAnsi="仿宋_GB2312" w:eastAsia="仿宋_GB2312" w:cs="仿宋_GB2312"/>
                <w:sz w:val="20"/>
                <w:szCs w:val="20"/>
              </w:rPr>
            </w:pPr>
          </w:p>
        </w:tc>
        <w:tc>
          <w:tcPr>
            <w:tcW w:w="555" w:type="dxa"/>
            <w:vMerge w:val="continue"/>
          </w:tcPr>
          <w:p w14:paraId="06AC6054">
            <w:pPr>
              <w:spacing w:line="240" w:lineRule="atLeast"/>
              <w:jc w:val="left"/>
              <w:rPr>
                <w:rFonts w:ascii="仿宋_GB2312" w:hAnsi="仿宋_GB2312" w:eastAsia="仿宋_GB2312" w:cs="仿宋_GB2312"/>
                <w:sz w:val="20"/>
                <w:szCs w:val="20"/>
              </w:rPr>
            </w:pPr>
          </w:p>
        </w:tc>
        <w:tc>
          <w:tcPr>
            <w:tcW w:w="784" w:type="dxa"/>
            <w:vAlign w:val="center"/>
          </w:tcPr>
          <w:p w14:paraId="52A2824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53C6A1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BDBFFE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E57C517">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061F64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5295" w:type="dxa"/>
            <w:vAlign w:val="center"/>
          </w:tcPr>
          <w:p w14:paraId="6671519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4185" w:type="dxa"/>
            <w:vAlign w:val="center"/>
          </w:tcPr>
          <w:p w14:paraId="77558765">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377148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8225" w:type="dxa"/>
            <w:vAlign w:val="center"/>
          </w:tcPr>
          <w:p w14:paraId="57CF2D80">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6DB6CFB6">
            <w:pPr>
              <w:spacing w:line="240" w:lineRule="atLeast"/>
              <w:jc w:val="left"/>
              <w:rPr>
                <w:rFonts w:ascii="仿宋_GB2312" w:hAnsi="仿宋_GB2312" w:eastAsia="仿宋_GB2312" w:cs="仿宋_GB2312"/>
                <w:sz w:val="20"/>
                <w:szCs w:val="20"/>
              </w:rPr>
            </w:pPr>
          </w:p>
        </w:tc>
      </w:tr>
      <w:tr w14:paraId="4C5B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2" w:hRule="atLeast"/>
        </w:trPr>
        <w:tc>
          <w:tcPr>
            <w:tcW w:w="611" w:type="dxa"/>
            <w:vAlign w:val="center"/>
          </w:tcPr>
          <w:p w14:paraId="5652F75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216</w:t>
            </w:r>
          </w:p>
        </w:tc>
        <w:tc>
          <w:tcPr>
            <w:tcW w:w="555" w:type="dxa"/>
            <w:vAlign w:val="center"/>
          </w:tcPr>
          <w:p w14:paraId="38D785E6">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2DA8DD7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土地复垦方案审查</w:t>
            </w:r>
          </w:p>
        </w:tc>
        <w:tc>
          <w:tcPr>
            <w:tcW w:w="660" w:type="dxa"/>
            <w:vAlign w:val="center"/>
          </w:tcPr>
          <w:p w14:paraId="23DF4423">
            <w:pPr>
              <w:snapToGrid w:val="0"/>
              <w:spacing w:line="240" w:lineRule="atLeast"/>
              <w:jc w:val="center"/>
              <w:rPr>
                <w:rFonts w:ascii="仿宋_GB2312" w:hAnsi="仿宋_GB2312" w:eastAsia="仿宋_GB2312" w:cs="仿宋_GB2312"/>
                <w:sz w:val="20"/>
                <w:szCs w:val="20"/>
              </w:rPr>
            </w:pPr>
          </w:p>
        </w:tc>
        <w:tc>
          <w:tcPr>
            <w:tcW w:w="615" w:type="dxa"/>
            <w:vAlign w:val="center"/>
          </w:tcPr>
          <w:p w14:paraId="58A1E1B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60BDF8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国土空间生态修复科</w:t>
            </w:r>
          </w:p>
        </w:tc>
        <w:tc>
          <w:tcPr>
            <w:tcW w:w="5295" w:type="dxa"/>
            <w:vAlign w:val="center"/>
          </w:tcPr>
          <w:p w14:paraId="35A9AB1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行政法规】《土地复垦条例》（2011年国务院令第592号）第十一条：土地复垦义务人应当按照土地复垦标准和国务院国土资源主管部门的规定编制土地复垦方案。第十三条：土地复垦义务人应当在办理建设用地申请或者采矿权申请手续时，随有关报批材料报送土地复垦方案。</w:t>
            </w:r>
          </w:p>
          <w:p w14:paraId="57F41D2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2.【部门规章】《土地复垦条例实施办法》（2012年国土资源部第56号令公布，2019年自然资源部令第5号修正）第六条： 属于条例第十条规定的生产建设项目，土地复垦义务人应当在办理建设用地申请或者采矿权申请手续时，依据自然资源部《土地复垦方案编制规程》的要求，组织编制土地复垦方案，随有关报批材料报送有关自然资源主管部门审查。</w:t>
            </w:r>
          </w:p>
          <w:p w14:paraId="0C1D5C0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具体承担相应建设用地审查和采矿权审批的自然资源主管部门负责对土地复垦义务人报送的土地复垦方案进行审查。具体承担相应建设用地审查和采矿权审批的自然资源主管部门负责对土地复垦义务人报送的土地复垦方案进行审查。</w:t>
            </w:r>
          </w:p>
        </w:tc>
        <w:tc>
          <w:tcPr>
            <w:tcW w:w="4185" w:type="dxa"/>
            <w:vAlign w:val="center"/>
          </w:tcPr>
          <w:p w14:paraId="199FC8E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1.受理责任：受理审核申请，并告知申请人办理审核的相关事项。</w:t>
            </w:r>
          </w:p>
          <w:p w14:paraId="1364AE2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2.审查责任：审查申请资料，材料不齐全的一次性告知，不符合法定条件的退回.</w:t>
            </w:r>
          </w:p>
          <w:p w14:paraId="7AFA65D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3.决定责任：拿出是否审查通过的意见，并报领导审核并签署意见形成审查决定。</w:t>
            </w:r>
          </w:p>
          <w:p w14:paraId="37257F8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4．送达责任：作出审查通过决定的，送达审查意见；作出不同意决定的，说明原因并要求整改。</w:t>
            </w:r>
          </w:p>
          <w:p w14:paraId="222F2C0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8225" w:type="dxa"/>
            <w:vAlign w:val="center"/>
          </w:tcPr>
          <w:p w14:paraId="64B2C86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行政法规】《土地复垦条例》（2011年国务院令第592号）第十一条：土地复垦义务人应当按照土地复垦标准和国务院国土资源主管部门的规定编制土地复垦方案。第十三条：土地复垦义务人应当在办理建设用地申请或者采矿权申请手续时，随有关报批材料报送土地复垦方案。</w:t>
            </w:r>
          </w:p>
          <w:p w14:paraId="5AC49E9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 【部门规章】《土地复垦条例实施办法》（2012年国土资源部第56号令公布，2019年自然资源部令第5号修正）第六条：具体承担相应建设用地审查和采矿权审批的自然资源主管部门负责对土地复垦义务人报送的土地复垦方案进行审查。</w:t>
            </w:r>
          </w:p>
          <w:p w14:paraId="3674B5F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规范性文件】《广西壮族自治区自然资源厅关于进一步规范生产建设项目土地复垦方案编报和审查要求的通知》（桂自然资规〔2019〕7号，2019年11月20日印发）第三（三）6条：出具审查意见。方案经专家评审或复核通过的，由审查机关在3个工作日内出具审查意见。对涉及占用永久基本农田、耕作层土壤剥离利用的，应在审查意见中一并提出相关意见和要求。</w:t>
            </w:r>
          </w:p>
          <w:p w14:paraId="074AF9F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4．同3。</w:t>
            </w:r>
          </w:p>
        </w:tc>
        <w:tc>
          <w:tcPr>
            <w:tcW w:w="330" w:type="dxa"/>
            <w:vAlign w:val="center"/>
          </w:tcPr>
          <w:p w14:paraId="115FFED9">
            <w:pPr>
              <w:snapToGrid w:val="0"/>
              <w:spacing w:line="240" w:lineRule="atLeast"/>
              <w:jc w:val="center"/>
              <w:rPr>
                <w:rFonts w:ascii="仿宋_GB2312" w:hAnsi="仿宋_GB2312" w:eastAsia="仿宋_GB2312" w:cs="仿宋_GB2312"/>
                <w:sz w:val="20"/>
                <w:szCs w:val="20"/>
              </w:rPr>
            </w:pPr>
          </w:p>
        </w:tc>
      </w:tr>
    </w:tbl>
    <w:p w14:paraId="2A2CC01D"/>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6AAB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70D319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BD714D6">
            <w:pPr>
              <w:spacing w:line="240" w:lineRule="atLeast"/>
              <w:rPr>
                <w:rFonts w:asciiTheme="majorEastAsia" w:hAnsiTheme="majorEastAsia" w:eastAsiaTheme="majorEastAsia" w:cstheme="majorEastAsia"/>
                <w:spacing w:val="-20"/>
                <w:sz w:val="20"/>
                <w:szCs w:val="20"/>
              </w:rPr>
            </w:pPr>
          </w:p>
          <w:p w14:paraId="3FA40D83">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2168F1D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4442684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00D93B0">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508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4B0219B">
            <w:pPr>
              <w:spacing w:line="240" w:lineRule="atLeast"/>
              <w:jc w:val="left"/>
              <w:rPr>
                <w:rFonts w:ascii="仿宋_GB2312" w:hAnsi="仿宋_GB2312" w:eastAsia="仿宋_GB2312" w:cs="仿宋_GB2312"/>
                <w:sz w:val="20"/>
                <w:szCs w:val="20"/>
              </w:rPr>
            </w:pPr>
          </w:p>
        </w:tc>
        <w:tc>
          <w:tcPr>
            <w:tcW w:w="555" w:type="dxa"/>
            <w:vMerge w:val="continue"/>
          </w:tcPr>
          <w:p w14:paraId="70035920">
            <w:pPr>
              <w:spacing w:line="240" w:lineRule="atLeast"/>
              <w:jc w:val="left"/>
              <w:rPr>
                <w:rFonts w:ascii="仿宋_GB2312" w:hAnsi="仿宋_GB2312" w:eastAsia="仿宋_GB2312" w:cs="仿宋_GB2312"/>
                <w:sz w:val="20"/>
                <w:szCs w:val="20"/>
              </w:rPr>
            </w:pPr>
          </w:p>
        </w:tc>
        <w:tc>
          <w:tcPr>
            <w:tcW w:w="784" w:type="dxa"/>
            <w:vAlign w:val="center"/>
          </w:tcPr>
          <w:p w14:paraId="52B15C01">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C4B8953">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3B3245F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7ABE39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C44F91E">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3CB823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549EC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7875506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E294586">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4F5DBEB2">
            <w:pPr>
              <w:spacing w:line="240" w:lineRule="atLeast"/>
              <w:jc w:val="left"/>
              <w:rPr>
                <w:rFonts w:ascii="仿宋_GB2312" w:hAnsi="仿宋_GB2312" w:eastAsia="仿宋_GB2312" w:cs="仿宋_GB2312"/>
                <w:sz w:val="20"/>
                <w:szCs w:val="20"/>
              </w:rPr>
            </w:pPr>
          </w:p>
        </w:tc>
      </w:tr>
      <w:tr w14:paraId="4566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72B8D2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217</w:t>
            </w:r>
          </w:p>
        </w:tc>
        <w:tc>
          <w:tcPr>
            <w:tcW w:w="555" w:type="dxa"/>
            <w:vAlign w:val="center"/>
          </w:tcPr>
          <w:p w14:paraId="768FDED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638C77B7">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农村集体经济组织收回土地使用权的审核</w:t>
            </w:r>
          </w:p>
        </w:tc>
        <w:tc>
          <w:tcPr>
            <w:tcW w:w="660" w:type="dxa"/>
            <w:vAlign w:val="center"/>
          </w:tcPr>
          <w:p w14:paraId="4316A1EA">
            <w:pPr>
              <w:snapToGrid w:val="0"/>
              <w:spacing w:line="240" w:lineRule="atLeast"/>
              <w:jc w:val="center"/>
              <w:rPr>
                <w:rFonts w:ascii="仿宋_GB2312" w:hAnsi="仿宋_GB2312" w:eastAsia="仿宋_GB2312" w:cs="仿宋_GB2312"/>
                <w:sz w:val="20"/>
                <w:szCs w:val="20"/>
              </w:rPr>
            </w:pPr>
          </w:p>
        </w:tc>
        <w:tc>
          <w:tcPr>
            <w:tcW w:w="615" w:type="dxa"/>
            <w:vAlign w:val="center"/>
          </w:tcPr>
          <w:p w14:paraId="458541F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31F1EAB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244000E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【法律】《中华人民共和国土地管理法》第六十六条：有下列情形之一的，农村集体经济组织报经原批准用地的人民政府批准，可以收回土地使用权：</w:t>
            </w:r>
          </w:p>
          <w:p w14:paraId="2C2658E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（一）为乡（镇）村公共设施和公益事业建设，需要使用土地的；</w:t>
            </w:r>
          </w:p>
          <w:p w14:paraId="6C1E7ED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（二）不按照批准的用途使用土地的；</w:t>
            </w:r>
          </w:p>
          <w:p w14:paraId="419D42A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（三）因撤销、迁移等原因而停止使用土地的。</w:t>
            </w:r>
          </w:p>
          <w:p w14:paraId="16DD7A7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依照前款第（一）项规定收回农民集体所有的土地的，对土地使用权人应当给予适当补偿。</w:t>
            </w:r>
          </w:p>
          <w:p w14:paraId="5873462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收回集体经营性建设用地使用权，依照双方签订的书面合同办理，法律、行政法规另有规定的除外。</w:t>
            </w:r>
          </w:p>
        </w:tc>
        <w:tc>
          <w:tcPr>
            <w:tcW w:w="3585" w:type="dxa"/>
            <w:vAlign w:val="center"/>
          </w:tcPr>
          <w:p w14:paraId="7579F51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1.受理阶段责任：公示依法应当提交的材料；一次性告知补正材料；依法受理或不予受理（不予受理应当告知理由）</w:t>
            </w:r>
          </w:p>
          <w:p w14:paraId="2444EEC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2.审查阶段责任：对材料进行审核；提出初审意见。</w:t>
            </w:r>
          </w:p>
          <w:p w14:paraId="1E794A7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3.决定阶段责任：作出核准决定（不予核准的应当告知理由）；按时办结；法定告知。</w:t>
            </w:r>
          </w:p>
          <w:p w14:paraId="759CEFE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4．送达阶段责任：告知审核结果并公开信息。</w:t>
            </w:r>
          </w:p>
          <w:p w14:paraId="44E24C3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5．事后监管阶段责任：接受监督，及时处理反馈信息。</w:t>
            </w:r>
          </w:p>
          <w:p w14:paraId="0CCAA07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9515" w:type="dxa"/>
            <w:vAlign w:val="center"/>
          </w:tcPr>
          <w:p w14:paraId="3FCA57E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BBCC66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2C7CB56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14:paraId="36F17C3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3.【法律】《中华人民共和国行政许可法》第四十六条：法律、法规、规章规定实施行政许可应当听证的事项，或者行政机关认为需要听证的其他涉及公共利益的重大行政许可事项，行政机关应当向社会公告，并举行听证。</w:t>
            </w:r>
          </w:p>
          <w:p w14:paraId="10F63A4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3—1.【法律】《中华人民共和国行政许可法》第三十七条：行政机关对行政许可申请进行审.查后，除了当场作出行政许可决定的，应在法定期限内按照规定程序作出行政许可决定。</w:t>
            </w:r>
          </w:p>
          <w:p w14:paraId="0DD1CF4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法律】《中华人民共和国行政许可法》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14:paraId="626B26A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4—1.【法律】《中华人民共和国行政许可法》第四十条：行政机关作出的准予行政许可决定，应当予以公开，公众有权查阅。</w:t>
            </w:r>
          </w:p>
          <w:p w14:paraId="7DF1003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4—2【法律】《中华人民共和国行政许可法》第四十四条：行政机关作出准予行政许可的决定，应当自作出决定之日起十日内向申请人颁发、送达行政许可证件、或者加贴标签、加盖检验、检测、检疫印章。</w:t>
            </w:r>
          </w:p>
          <w:p w14:paraId="1A0A4D8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5．【法律】《中华人民共和国行政许可法》第六十一条：行政机关应当建立健全监督制度，通过核查反映被许可人从事行政许可事项活动情况的有关材料，履行监督责任。</w:t>
            </w:r>
          </w:p>
        </w:tc>
        <w:tc>
          <w:tcPr>
            <w:tcW w:w="330" w:type="dxa"/>
            <w:vAlign w:val="center"/>
          </w:tcPr>
          <w:p w14:paraId="07D62250">
            <w:pPr>
              <w:snapToGrid w:val="0"/>
              <w:spacing w:line="240" w:lineRule="atLeast"/>
              <w:jc w:val="center"/>
              <w:rPr>
                <w:rFonts w:ascii="仿宋_GB2312" w:hAnsi="仿宋_GB2312" w:eastAsia="仿宋_GB2312" w:cs="仿宋_GB2312"/>
                <w:sz w:val="20"/>
                <w:szCs w:val="20"/>
              </w:rPr>
            </w:pPr>
          </w:p>
        </w:tc>
      </w:tr>
    </w:tbl>
    <w:p w14:paraId="7C2C6604"/>
    <w:p w14:paraId="548CB750"/>
    <w:p w14:paraId="131735CD"/>
    <w:p w14:paraId="2AEE34A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65C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E1D0A2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CE0C210">
            <w:pPr>
              <w:spacing w:line="240" w:lineRule="atLeast"/>
              <w:rPr>
                <w:rFonts w:asciiTheme="majorEastAsia" w:hAnsiTheme="majorEastAsia" w:eastAsiaTheme="majorEastAsia" w:cstheme="majorEastAsia"/>
                <w:spacing w:val="-20"/>
                <w:sz w:val="20"/>
                <w:szCs w:val="20"/>
              </w:rPr>
            </w:pPr>
          </w:p>
          <w:p w14:paraId="3CF2ECD1">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730F597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55B877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7A2A671">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5BA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79016B62">
            <w:pPr>
              <w:spacing w:line="240" w:lineRule="atLeast"/>
              <w:jc w:val="left"/>
              <w:rPr>
                <w:rFonts w:ascii="仿宋_GB2312" w:hAnsi="仿宋_GB2312" w:eastAsia="仿宋_GB2312" w:cs="仿宋_GB2312"/>
                <w:sz w:val="20"/>
                <w:szCs w:val="20"/>
              </w:rPr>
            </w:pPr>
          </w:p>
        </w:tc>
        <w:tc>
          <w:tcPr>
            <w:tcW w:w="555" w:type="dxa"/>
            <w:vMerge w:val="continue"/>
          </w:tcPr>
          <w:p w14:paraId="2999F2A9">
            <w:pPr>
              <w:spacing w:line="240" w:lineRule="atLeast"/>
              <w:jc w:val="left"/>
              <w:rPr>
                <w:rFonts w:ascii="仿宋_GB2312" w:hAnsi="仿宋_GB2312" w:eastAsia="仿宋_GB2312" w:cs="仿宋_GB2312"/>
                <w:sz w:val="20"/>
                <w:szCs w:val="20"/>
              </w:rPr>
            </w:pPr>
          </w:p>
        </w:tc>
        <w:tc>
          <w:tcPr>
            <w:tcW w:w="784" w:type="dxa"/>
            <w:vAlign w:val="center"/>
          </w:tcPr>
          <w:p w14:paraId="39D84E29">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C93B5F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74262F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C2F94D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14B75AEA">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12B6273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7FC59A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05B60B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11DACD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1488DBF8">
            <w:pPr>
              <w:spacing w:line="240" w:lineRule="atLeast"/>
              <w:jc w:val="left"/>
              <w:rPr>
                <w:rFonts w:ascii="仿宋_GB2312" w:hAnsi="仿宋_GB2312" w:eastAsia="仿宋_GB2312" w:cs="仿宋_GB2312"/>
                <w:sz w:val="20"/>
                <w:szCs w:val="20"/>
              </w:rPr>
            </w:pPr>
          </w:p>
        </w:tc>
      </w:tr>
      <w:tr w14:paraId="7096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3CA1B7D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218</w:t>
            </w:r>
          </w:p>
        </w:tc>
        <w:tc>
          <w:tcPr>
            <w:tcW w:w="555" w:type="dxa"/>
            <w:vAlign w:val="center"/>
          </w:tcPr>
          <w:p w14:paraId="3D63E56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75F5C0D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从事测绘活动的单位乙级测绘资质初审</w:t>
            </w:r>
          </w:p>
        </w:tc>
        <w:tc>
          <w:tcPr>
            <w:tcW w:w="660" w:type="dxa"/>
            <w:vAlign w:val="center"/>
          </w:tcPr>
          <w:p w14:paraId="5AF2D145">
            <w:pPr>
              <w:snapToGrid w:val="0"/>
              <w:spacing w:line="240" w:lineRule="atLeast"/>
              <w:jc w:val="center"/>
              <w:rPr>
                <w:rFonts w:ascii="仿宋_GB2312" w:hAnsi="仿宋_GB2312" w:eastAsia="仿宋_GB2312" w:cs="仿宋_GB2312"/>
                <w:sz w:val="20"/>
                <w:szCs w:val="20"/>
              </w:rPr>
            </w:pPr>
          </w:p>
        </w:tc>
        <w:tc>
          <w:tcPr>
            <w:tcW w:w="615" w:type="dxa"/>
            <w:vAlign w:val="center"/>
          </w:tcPr>
          <w:p w14:paraId="3EBCBE8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2F21ED9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4442F35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1.【法律】《中华人民共和国测绘法》第二十七条第一款：国家对从事测绘活动的单位实行测绘资质管理制度。</w:t>
            </w:r>
          </w:p>
          <w:p w14:paraId="715CD61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八条：国务院测绘地理信息主管部门和省、自治区、直辖市人民政府测绘地理信息主管部门按照各自的职责负责测绘资质审查、发放测绘资质证书。具体办法由国务院测绘地理信息主管部门商国务院其他有关部门规定。军队测绘部门负责军事测绘单位的测绘资质审查。</w:t>
            </w:r>
          </w:p>
          <w:p w14:paraId="2FF5B4D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测绘资质管理规定》（国测管发〔2014〕31号）第五条第二款：省级测绘地理信息行政主管部门是乙、丙、丁级测绘资质审批机关，负责受理、审查乙、丙、丁级测绘资质申请并作出行政许可决定；负责受理甲级测绘资质申请并提出初步审查意见。</w:t>
            </w:r>
          </w:p>
          <w:p w14:paraId="0DF20A8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五条第三款：省级测绘地理信息行政主管部门可以委托有条件的设区的市级测绘地理信息行政主管部门受理本行政区域内乙、丙、丁级测绘资质申请并提出初步审查意见；可以委托有条件的县级测绘地理信息行政主管部门受理本行政区域内丁级测绘资质申请并提出初步审查意见。</w:t>
            </w:r>
          </w:p>
        </w:tc>
        <w:tc>
          <w:tcPr>
            <w:tcW w:w="3585" w:type="dxa"/>
            <w:vAlign w:val="center"/>
          </w:tcPr>
          <w:p w14:paraId="44D5D1B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1.受理责任：公示测绘资质行政许可需要提交的全部材料的目录，自收到申请材料5个工作日内作出不予受理、补正材料或者予以受理的决定。</w:t>
            </w:r>
          </w:p>
          <w:p w14:paraId="1D53E96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2.审查责任：审查申请材料，提出初步审查意见。</w:t>
            </w:r>
          </w:p>
          <w:p w14:paraId="3C52C03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3.转报责任：将申请材料和初步审查意见报自治区测绘地理信息局审批。</w:t>
            </w:r>
          </w:p>
          <w:p w14:paraId="3AEB369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4．监管责任：制定监管计划，对测绘资质单位执行《测绘资质管理规定》和《测绘资质分级标准》的有关情况进行巡查，依法采取相关处置措施。</w:t>
            </w:r>
          </w:p>
          <w:p w14:paraId="3A7AA875">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39F548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1.【规范性文件】《测绘资质管理规定》（国测管发〔2014〕31号）第五条第二款 ：省级测绘地理信息行政主管部门是乙、丙、丁级测绘资质审批机关，负责受理、审查乙、丙、丁级测绘资质申请并作出行政许可决定；负责受理甲级测绘资质申请并提出初步审查意见。第三款：省级测绘地理信息行政主管部门可以委托有条件的设区的市级测绘地理信息行政主管部门受理本行政区域内乙、丙、丁级测绘资质申请并提出初步审查意见；可以委托有条件的县级测绘地理信息行政主管部门受理本行政区域内丁级测绘资质申请并提出初步审查意见。第七条：测绘资质审批机关应当将测绘资质行政许可的依据、条件、程序、期限以及需要提交的全部材料的目录等向社会公布。第九条：初次申请测绘资质的单位，应当提交下列材料的原件扫描件：（一）企业法人营业执照或者事业单位法人证书，法定代表人的简历及任命或者聘任文件；（二）符合要求的专业技术人员的身份证，毕业证书与测绘及相关专业技术岗位工作年限证明材料或者任职资格证书，劳动合同，社会保险缴纳证明等材料；（三）符合要求的仪器设备所有权证明及省级以上测绘地理信息行政主管部门认可的测绘仪器检 定单位出具的检定证书；（四）单位办公场所证明；（五）健全的测绘质量保证体系证明；（六）测绘成果及资料档案管理制度材料；（七）测绘成果保密管理制度材料。第十二条：测绘资质审批机关应当自收到申请材料之日起5个工作日内作出不予受理、补正材料或者予以受理的决定。</w:t>
            </w:r>
          </w:p>
          <w:p w14:paraId="2EBBE2E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测绘资质管理规定》（国测管发〔2014〕31号）第五条第二款：省级测绘地理信息行政主管部门是乙、丙、丁级测绘资质审批机关，负责受理、审查乙、丙、丁级测绘资质申请并作出行政许可决定；负责受理甲级测绘资质申请并提出初步审查意见。第三款：省级测绘地理信息行政主管部门可以委托有条件的设区的市级测绘地理信息行政主管部门受理本行政区域内乙、丙、丁级测绘资质申请并提出初步审查意见；可以委托有条件的县级测绘地理信息行政主管部门受理本行政区域内丁级测绘资质申请并提出初步审查意见。</w:t>
            </w:r>
          </w:p>
          <w:p w14:paraId="3FF0D60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3.同2。</w:t>
            </w:r>
          </w:p>
          <w:p w14:paraId="3ED4F36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县级以上地方人民政府测绘地理信息主管部门负责本行政区域测绘工作的统一监督管理。县级以上地方人民政府其他有关部门按照本级人民政府规定的职责分工，负责本部门有关的测绘工作。</w:t>
            </w:r>
          </w:p>
          <w:p w14:paraId="071035B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-2【规范性文件】《测绘资质管理规定》（国测管发〔2014〕31号）第二十四条：实行测绘资质巡查制度。各级测绘地理信息行政主管部门应当有计划地对测绘资质单位执行《测绘资质管理规定》和《测绘资质分级标准》的有关情况进行巡查。</w:t>
            </w:r>
          </w:p>
          <w:p w14:paraId="4DC399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4—3.【规范性文件】《测绘资质管理规定》（国测管发〔2014〕31号）第三条第二款：县级以上地方人民政府测绘地理信息行政主管部门负责本行政区域内测绘资质的监督管理工作。</w:t>
            </w:r>
          </w:p>
          <w:p w14:paraId="2C7580D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4．【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6EF9E346">
            <w:pPr>
              <w:snapToGrid w:val="0"/>
              <w:spacing w:line="240" w:lineRule="atLeast"/>
              <w:jc w:val="center"/>
              <w:rPr>
                <w:rFonts w:ascii="仿宋_GB2312" w:hAnsi="仿宋_GB2312" w:eastAsia="仿宋_GB2312" w:cs="仿宋_GB2312"/>
                <w:sz w:val="20"/>
                <w:szCs w:val="20"/>
              </w:rPr>
            </w:pPr>
          </w:p>
        </w:tc>
      </w:tr>
    </w:tbl>
    <w:p w14:paraId="74FD0FCA"/>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0AA3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108DF5C">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1A5A1C16">
            <w:pPr>
              <w:spacing w:line="240" w:lineRule="atLeast"/>
              <w:rPr>
                <w:rFonts w:asciiTheme="majorEastAsia" w:hAnsiTheme="majorEastAsia" w:eastAsiaTheme="majorEastAsia" w:cstheme="majorEastAsia"/>
                <w:spacing w:val="-20"/>
                <w:sz w:val="20"/>
                <w:szCs w:val="20"/>
              </w:rPr>
            </w:pPr>
          </w:p>
          <w:p w14:paraId="2DA2040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4249D9C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2C4118AA">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254BFB6D">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DE1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6D28B8A1">
            <w:pPr>
              <w:spacing w:line="240" w:lineRule="atLeast"/>
              <w:jc w:val="left"/>
              <w:rPr>
                <w:rFonts w:ascii="仿宋_GB2312" w:hAnsi="仿宋_GB2312" w:eastAsia="仿宋_GB2312" w:cs="仿宋_GB2312"/>
                <w:sz w:val="20"/>
                <w:szCs w:val="20"/>
              </w:rPr>
            </w:pPr>
          </w:p>
        </w:tc>
        <w:tc>
          <w:tcPr>
            <w:tcW w:w="555" w:type="dxa"/>
            <w:vMerge w:val="continue"/>
          </w:tcPr>
          <w:p w14:paraId="74FA925B">
            <w:pPr>
              <w:spacing w:line="240" w:lineRule="atLeast"/>
              <w:jc w:val="left"/>
              <w:rPr>
                <w:rFonts w:ascii="仿宋_GB2312" w:hAnsi="仿宋_GB2312" w:eastAsia="仿宋_GB2312" w:cs="仿宋_GB2312"/>
                <w:sz w:val="20"/>
                <w:szCs w:val="20"/>
              </w:rPr>
            </w:pPr>
          </w:p>
        </w:tc>
        <w:tc>
          <w:tcPr>
            <w:tcW w:w="784" w:type="dxa"/>
            <w:vAlign w:val="center"/>
          </w:tcPr>
          <w:p w14:paraId="1F6FA25A">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CD15E72">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46EAE65A">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FDC9B2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495C2400">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0EFE61E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75E4DC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104E94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612FDB7">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8D5110B">
            <w:pPr>
              <w:spacing w:line="240" w:lineRule="atLeast"/>
              <w:jc w:val="left"/>
              <w:rPr>
                <w:rFonts w:ascii="仿宋_GB2312" w:hAnsi="仿宋_GB2312" w:eastAsia="仿宋_GB2312" w:cs="仿宋_GB2312"/>
                <w:sz w:val="20"/>
                <w:szCs w:val="20"/>
              </w:rPr>
            </w:pPr>
          </w:p>
        </w:tc>
      </w:tr>
      <w:tr w14:paraId="595C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42FBB00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219</w:t>
            </w:r>
          </w:p>
        </w:tc>
        <w:tc>
          <w:tcPr>
            <w:tcW w:w="555" w:type="dxa"/>
            <w:vAlign w:val="center"/>
          </w:tcPr>
          <w:p w14:paraId="586DEE4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462E5038">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建立相对独立的平面坐标系统审批（属于由自然资源部审批外其他情形的）初审</w:t>
            </w:r>
          </w:p>
        </w:tc>
        <w:tc>
          <w:tcPr>
            <w:tcW w:w="660" w:type="dxa"/>
            <w:vAlign w:val="center"/>
          </w:tcPr>
          <w:p w14:paraId="2B3B9494">
            <w:pPr>
              <w:snapToGrid w:val="0"/>
              <w:spacing w:line="240" w:lineRule="atLeast"/>
              <w:jc w:val="center"/>
              <w:rPr>
                <w:rFonts w:ascii="仿宋_GB2312" w:hAnsi="仿宋_GB2312" w:eastAsia="仿宋_GB2312" w:cs="仿宋_GB2312"/>
                <w:sz w:val="20"/>
                <w:szCs w:val="20"/>
              </w:rPr>
            </w:pPr>
          </w:p>
        </w:tc>
        <w:tc>
          <w:tcPr>
            <w:tcW w:w="615" w:type="dxa"/>
            <w:vAlign w:val="center"/>
          </w:tcPr>
          <w:p w14:paraId="0898748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47339DE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7540A6D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十一条：因建设、城市规划和科学研究的需要，国家重大工程项目和国务院确定的大城市确需建立相对独立的平面坐标系统的，由国务院测绘地理信息主管部门批准；其他确需建立相对独立的平面坐标系统的，由省、自治区、直辖市人民政府测绘地理信息主管部门批准。建立相对独立的平面坐标系统，应当与国家坐标系统相联系。</w:t>
            </w:r>
          </w:p>
          <w:p w14:paraId="3DB684A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2.【地方性法规】《广西壮族自治区测绘管理条例》（1995年自治区第八届人民代表大会常务委员会第14次会议通过，2019年第二次修订）第三十八条第二款 ：因建设、城市规划和科学研究的需要，中等城市和自治区重点工程项目确需建立相对独立的平面坐标系统的，由自治区人民政府测绘地理信息主管部门批准；其他城镇和建设工程项目确需建立相对独立的平面坐标系统的，应当经设区的市人民政府测绘地理信息主管部门审核后，报自治区人民政府测绘地理信息主管部门批准。</w:t>
            </w:r>
          </w:p>
          <w:p w14:paraId="26DCD68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3.【规范性文件】《建立相对独立的平面坐标系统管理办法》（国测法字〔2006〕5号）第六条第一款 ：城市确需建立相对独立的平面坐标系统的，由申请单位向该城市的测绘行政主管部门提交申请材料，经测绘行政主管部门审核并报该市人民政府同意后，逐级报省级测绘行政主管部门；直辖市确需建立相对独立的平面坐标系统的，由申请单位向该市的测绘行政主管部门提交申请材料，经测绘行政主管部门审核并报该市人民政府同意后，报国家测绘局；其他需要建立相对独立的平面坐标系统的，由建设单位向拟建相对独立的平面坐标系统所涉及的省级测绘行政主管部门提交申请材料。</w:t>
            </w:r>
          </w:p>
        </w:tc>
        <w:tc>
          <w:tcPr>
            <w:tcW w:w="3585" w:type="dxa"/>
            <w:vAlign w:val="center"/>
          </w:tcPr>
          <w:p w14:paraId="22AC1C1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1.受理责任：公示“建立相对独立的平面坐标系统初审”行政许可需要提交的全部材料的目录，自收到申请材料5个工作日内作出不予受理、补正材料或者予以受理的决定。</w:t>
            </w:r>
          </w:p>
          <w:p w14:paraId="7166D98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2.审查责任：审查申请材料，提出初步审查意见。</w:t>
            </w:r>
          </w:p>
          <w:p w14:paraId="0D9847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3.转报责任：将申请材料和初步审查意见报自治区测绘地理信息局审批。</w:t>
            </w:r>
          </w:p>
          <w:p w14:paraId="45B6C9C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4．监管责任：制定监管计划，依法采取相关处置措施。</w:t>
            </w:r>
          </w:p>
          <w:p w14:paraId="4BC75CF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5．其他法律法规规章文件规定应履行的责任。</w:t>
            </w:r>
          </w:p>
        </w:tc>
        <w:tc>
          <w:tcPr>
            <w:tcW w:w="9515" w:type="dxa"/>
            <w:vAlign w:val="center"/>
          </w:tcPr>
          <w:p w14:paraId="1E52F1A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规范性文件】《建立相对独立的平面坐标系统管理办法》（国测法字〔2006〕5号）第七条：申请人应当提交下列申请材料一式四份：（一）《建立相对独立的平面坐标系统申请书》（见附件）；（二）属工程项目的申请人的有效身份证明（复印件）；（三）立项批准文件（复印件）；（四）能够反映建设单位测绘成果及资料档案管理设施和制度的证明文件（复印件）；（五）建立城市相对独立的平面坐标系统的，应当提供该市人民政府同意建立的文件（原件）。第九条： 申请人提交的申请材料齐全、符合规定形式要求的，国家测绘局、省级测绘行政主管部门（以下统称测绘行政主管部门）应当受理其申请，并向申请人出具书面受理通知。申请材料不齐全或者不符合法定形式的，测绘行政主管部门应当当场或者在五日内一次性告知申请人需要补正的全部内容。对不予受理的，必须向申请人书面说明理由，并退回申请材料。</w:t>
            </w:r>
          </w:p>
          <w:p w14:paraId="362DB97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建立相对独立的平面坐标系统管理办法》（国测法字〔2006〕5号）第十条：测绘行政主管部门受理申请后，应当依法对申请材料进行审查。测绘行政主管部门作出行政许可决定需要听证、检测、鉴定和专家评审的，依法组织实施。</w:t>
            </w:r>
          </w:p>
          <w:p w14:paraId="7ABA2BE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地方性法规】《广西壮族自治区测绘管理条例》（1995年自治区第八届人民代表大会常务委员会第14次会议通过，2019年7月25日广西壮族自治区第十三届人民代表大会常务委员会第十次会议第二次修订）第三十八条第二款：因建设、城市规划和科学研究的需要，中等城市和自治区重点工程项目确需建立相对独立的平面坐标系统的，由自治区人民政府测绘地理信息主管部门批准；其他城镇和建设工程项目确需建立相对独立的平面坐标系统的，应当经设区的市人民政府测绘地理信息主管部门审核后，报自治区人民政府测绘地理信息主管部门批准。</w:t>
            </w:r>
          </w:p>
          <w:p w14:paraId="0AC462A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规范性文件】《建立相对独立的平面坐标系统管理办法》（国测法字〔2006〕5号）第六条第一款：城市确需建立相对独立的平面坐标系统的，由申请单位向该城市的测绘行政主管部门提交申请材料，经测绘行政主管部门审核并报该市人民政府同意后，逐级报省级测绘行政主管部门；直辖市确需建立相对独立的平面坐标系统的，由申请单位向该市的测绘行政主管部门提交申请材料，经测绘行政主管部门审核并报该市人民政府同意后，报国家测绘局；其他需要建立相对独立的平面坐标系统的，由建设单位向拟建相对独立的平面坐标系统所涉及的省级测绘行政主管部门提交申请材料。</w:t>
            </w:r>
          </w:p>
          <w:p w14:paraId="680AADF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1.【法律】《中华人民共和国测绘法》第四条第二款：县级以上地方人民政府测绘地理信息主管部门负责本行政区域测绘工作的统一监督管理。县级以上地方人民政府其他有关部门按照本级人民政府规定的职责分工，负责本部门有关的测绘工作。</w:t>
            </w:r>
          </w:p>
          <w:p w14:paraId="0244E61F">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2.【地方性法规】《广西壮族自治区测绘管理条例》（1995年自治区第八届人民代表大会常务委员会第14次会议通过，2019年7月25日广西壮族自治区第十三届人民代表大会常务委员会第十次会议第二次修订）第三条：自治区人民政府测绘地理信息主管部门负责本自治区测绘工作的统一监督管理。设区的市、县级人民政府测绘地理信息主管部门，负责本行政区域内测绘工作的统一监督管理。县级以上人民政府其他有关部门按照本级人民政府规定的职责分工，负责本部门有关的测绘工作。</w:t>
            </w:r>
          </w:p>
        </w:tc>
        <w:tc>
          <w:tcPr>
            <w:tcW w:w="330" w:type="dxa"/>
            <w:vAlign w:val="center"/>
          </w:tcPr>
          <w:p w14:paraId="3987D419">
            <w:pPr>
              <w:snapToGrid w:val="0"/>
              <w:spacing w:line="240" w:lineRule="atLeast"/>
              <w:jc w:val="center"/>
              <w:rPr>
                <w:rFonts w:ascii="仿宋_GB2312" w:hAnsi="仿宋_GB2312" w:eastAsia="仿宋_GB2312" w:cs="仿宋_GB2312"/>
                <w:sz w:val="20"/>
                <w:szCs w:val="20"/>
              </w:rPr>
            </w:pPr>
          </w:p>
        </w:tc>
      </w:tr>
    </w:tbl>
    <w:p w14:paraId="45C52BF0"/>
    <w:p w14:paraId="653222CC"/>
    <w:p w14:paraId="5DDA2BB2"/>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6F0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606B6DDD">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2F4F353">
            <w:pPr>
              <w:spacing w:line="240" w:lineRule="atLeast"/>
              <w:rPr>
                <w:rFonts w:asciiTheme="majorEastAsia" w:hAnsiTheme="majorEastAsia" w:eastAsiaTheme="majorEastAsia" w:cstheme="majorEastAsia"/>
                <w:spacing w:val="-20"/>
                <w:sz w:val="20"/>
                <w:szCs w:val="20"/>
              </w:rPr>
            </w:pPr>
          </w:p>
          <w:p w14:paraId="2B0851A5">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34557C47">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BB821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6490953A">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6FF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8D6D7B7">
            <w:pPr>
              <w:spacing w:line="240" w:lineRule="atLeast"/>
              <w:jc w:val="left"/>
              <w:rPr>
                <w:rFonts w:ascii="仿宋_GB2312" w:hAnsi="仿宋_GB2312" w:eastAsia="仿宋_GB2312" w:cs="仿宋_GB2312"/>
                <w:sz w:val="20"/>
                <w:szCs w:val="20"/>
              </w:rPr>
            </w:pPr>
          </w:p>
        </w:tc>
        <w:tc>
          <w:tcPr>
            <w:tcW w:w="555" w:type="dxa"/>
            <w:vMerge w:val="continue"/>
          </w:tcPr>
          <w:p w14:paraId="662DD901">
            <w:pPr>
              <w:spacing w:line="240" w:lineRule="atLeast"/>
              <w:jc w:val="left"/>
              <w:rPr>
                <w:rFonts w:ascii="仿宋_GB2312" w:hAnsi="仿宋_GB2312" w:eastAsia="仿宋_GB2312" w:cs="仿宋_GB2312"/>
                <w:sz w:val="20"/>
                <w:szCs w:val="20"/>
              </w:rPr>
            </w:pPr>
          </w:p>
        </w:tc>
        <w:tc>
          <w:tcPr>
            <w:tcW w:w="784" w:type="dxa"/>
            <w:vAlign w:val="center"/>
          </w:tcPr>
          <w:p w14:paraId="0BF4E4E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32B93F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CF72A69">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4BB3221">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60481CB8">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4AA434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0F58B4D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29EB06F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54C763B9">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70ED510F">
            <w:pPr>
              <w:spacing w:line="240" w:lineRule="atLeast"/>
              <w:jc w:val="left"/>
              <w:rPr>
                <w:rFonts w:ascii="仿宋_GB2312" w:hAnsi="仿宋_GB2312" w:eastAsia="仿宋_GB2312" w:cs="仿宋_GB2312"/>
                <w:sz w:val="20"/>
                <w:szCs w:val="20"/>
              </w:rPr>
            </w:pPr>
          </w:p>
        </w:tc>
      </w:tr>
      <w:tr w14:paraId="7355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14E786B0">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220</w:t>
            </w:r>
          </w:p>
        </w:tc>
        <w:tc>
          <w:tcPr>
            <w:tcW w:w="555" w:type="dxa"/>
            <w:vAlign w:val="center"/>
          </w:tcPr>
          <w:p w14:paraId="2863224C">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2C3D3C4F">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测绘作业证办理</w:t>
            </w:r>
          </w:p>
        </w:tc>
        <w:tc>
          <w:tcPr>
            <w:tcW w:w="660" w:type="dxa"/>
            <w:vAlign w:val="center"/>
          </w:tcPr>
          <w:p w14:paraId="0144F9A5">
            <w:pPr>
              <w:snapToGrid w:val="0"/>
              <w:spacing w:line="240" w:lineRule="atLeast"/>
              <w:jc w:val="center"/>
              <w:rPr>
                <w:rFonts w:ascii="仿宋_GB2312" w:hAnsi="仿宋_GB2312" w:eastAsia="仿宋_GB2312" w:cs="仿宋_GB2312"/>
                <w:sz w:val="20"/>
                <w:szCs w:val="20"/>
              </w:rPr>
            </w:pPr>
          </w:p>
        </w:tc>
        <w:tc>
          <w:tcPr>
            <w:tcW w:w="615" w:type="dxa"/>
            <w:vAlign w:val="center"/>
          </w:tcPr>
          <w:p w14:paraId="5AAE39E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5007707">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2A7D5DF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1.【法律】《中华人民共和国测绘法》第三十一条：测绘人员进行测绘活动时，应当持有测绘作业证件。</w:t>
            </w:r>
          </w:p>
          <w:p w14:paraId="2FF0DF8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2.【规范性文件】《测绘作业证管理规定》（国测法字[2004]5号）第二条：测绘外业作业人员和需要持测绘作业证的其他人员（以下简称测绘人员）应当领取测绘作业证。进行外业测绘活动应当持有测绘作业证。</w:t>
            </w:r>
          </w:p>
          <w:p w14:paraId="0DF9F25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第三条：国家测绘局负责测绘作业证的统一管理工作。省、自治区、直辖市人民政府测绘行政主管部门负责本行政区域内测绘作业证的审核、发放和监督管理工作。省、自治区、直辖市人民政府测绘行政主管部门，可将测绘作业证的受理、审核、发放、注册核准等工作委托市（地）级人民政府测绘行政主管部门承担。</w:t>
            </w:r>
          </w:p>
        </w:tc>
        <w:tc>
          <w:tcPr>
            <w:tcW w:w="3585" w:type="dxa"/>
            <w:vAlign w:val="center"/>
          </w:tcPr>
          <w:p w14:paraId="239BED6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1.受理责任：告知依法应当提交的材料；一次性告知补正材料；依法受理或不予受理（不予受理应当告知理由）</w:t>
            </w:r>
          </w:p>
          <w:p w14:paraId="4A3A295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2.审查责任：对材料进行审核；提出初审意见。</w:t>
            </w:r>
          </w:p>
          <w:p w14:paraId="69FAC3B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3.决定责任：作出核准决定（不予核准的应当告知理由）；按时办结；法定告知。</w:t>
            </w:r>
          </w:p>
          <w:p w14:paraId="5896FE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4．送达责任：准予发证的，制发证件，送达并信息公开。</w:t>
            </w:r>
          </w:p>
          <w:p w14:paraId="6BABCC2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5．事后监管责任：接受监督，及时处理反馈信息。</w:t>
            </w:r>
          </w:p>
          <w:p w14:paraId="14C38C3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6．其他法律法规规章文件规定应履行的责任。</w:t>
            </w:r>
          </w:p>
        </w:tc>
        <w:tc>
          <w:tcPr>
            <w:tcW w:w="9515" w:type="dxa"/>
            <w:vAlign w:val="center"/>
          </w:tcPr>
          <w:p w14:paraId="64B6C4F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 【规范性文件】《测绘作业证管理规定》（国测法字[2004]5号）第三条：国家测绘局负责测绘作业证的统一管理工作。省、自治区、直辖市人民政府测绘行政主管部门负责本行政区域内测绘作业证的审核、发放和监督管理工作。</w:t>
            </w:r>
          </w:p>
          <w:p w14:paraId="70A1854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省、自治区、直辖市人民政府测绘行政主管部门，可将测绘作业证的受理、审核、发放、注册核准等工作委托市（地）级人民政府测绘行政主管部门承担。第五条：测绘单位申领测绘作业证，应当向单位所在地的省、自治区、直辖市人民政府测绘行政主管部门或者其委托的市（地）级人民政府测绘行政主管部门提出办证申请，并需填写《测绘作业证申请表》和《测绘作业证申请汇总表》。省、自治区、直辖市人民政府测绘行政主管部门或者其委托的市（地）级人民政府测绘行政主管部门应当自收到办证申请，并确认各种报表及各项手续完备之日起三十日内，完成《测绘作业证》的审核发证工作。</w:t>
            </w:r>
          </w:p>
          <w:p w14:paraId="7C62531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三条：测绘作业证由省、自治区、直辖市人民政府测绘行政主管部门或者其委托的市（地）级人民政府测绘行政主管部门负责注册核准。每次注册核准有效期为三年。注册核准有效期满前三十日内，各测绘单位应当将测绘作业证送交单位所在地的省、自治区、直辖市人民政府测绘行政主管部门或者其委托的市（地）级人民政府测绘行政主管部门注册核准。过期不注册核准的测绘作业证无效。</w:t>
            </w:r>
          </w:p>
          <w:p w14:paraId="43EF7CA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第十四条：省、自治区、直辖市人民政府测绘行政主管部门应当明确相应的机构负责测绘作业证的审核、发放和管理工作，应当及时汇总本地区领取测绘作业证情况并于当年12月底以前报国家测绘局。</w:t>
            </w:r>
          </w:p>
          <w:p w14:paraId="26E8509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2.同1。</w:t>
            </w:r>
          </w:p>
          <w:p w14:paraId="39434B3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3.同1。</w:t>
            </w:r>
          </w:p>
          <w:p w14:paraId="5E73CD2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4．同1。</w:t>
            </w:r>
          </w:p>
          <w:p w14:paraId="4C88CD37">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5．【规范性文件】《测绘作业证管理规定》（国测法字[2004]5号）第六条：领证单位必须如实反映领证人员情况，严格执行领证规定，不得 弄虚作假、虚报冒领，并对领证人员的真实情况负责。第七条：测绘人员在下列情况下应当主动出示测绘作业证：（一）进入机关、企业、住宅小区、耕地或者其它地块进行测绘时；（二）使用测量标志时；（三）接受测绘行政主管部门的执法监督检查时；（四）办理与所进行的测绘活动相关的其它事项时。进入保密单位、军事禁区和法律法规规定的需经特殊审批的区域进行测绘活动时，还应当按照规定持有关部门的批准文件。</w:t>
            </w:r>
          </w:p>
        </w:tc>
        <w:tc>
          <w:tcPr>
            <w:tcW w:w="330" w:type="dxa"/>
            <w:vAlign w:val="center"/>
          </w:tcPr>
          <w:p w14:paraId="107CDD3F">
            <w:pPr>
              <w:snapToGrid w:val="0"/>
              <w:spacing w:line="240" w:lineRule="atLeast"/>
              <w:jc w:val="center"/>
              <w:rPr>
                <w:rFonts w:ascii="仿宋_GB2312" w:hAnsi="仿宋_GB2312" w:eastAsia="仿宋_GB2312" w:cs="仿宋_GB2312"/>
                <w:sz w:val="20"/>
                <w:szCs w:val="20"/>
              </w:rPr>
            </w:pPr>
          </w:p>
        </w:tc>
      </w:tr>
    </w:tbl>
    <w:p w14:paraId="447CFD1D"/>
    <w:p w14:paraId="1486EA83"/>
    <w:p w14:paraId="3EFBFDC7"/>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6480"/>
        <w:gridCol w:w="3750"/>
        <w:gridCol w:w="7475"/>
        <w:gridCol w:w="330"/>
      </w:tblGrid>
      <w:tr w14:paraId="5465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2CEA479A">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E58AF22">
            <w:pPr>
              <w:spacing w:line="240" w:lineRule="atLeast"/>
              <w:rPr>
                <w:rFonts w:asciiTheme="majorEastAsia" w:hAnsiTheme="majorEastAsia" w:eastAsiaTheme="majorEastAsia" w:cstheme="majorEastAsia"/>
                <w:spacing w:val="-20"/>
                <w:sz w:val="20"/>
                <w:szCs w:val="20"/>
              </w:rPr>
            </w:pPr>
          </w:p>
          <w:p w14:paraId="3E92C140">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649" w:type="dxa"/>
            <w:gridSpan w:val="5"/>
            <w:vAlign w:val="center"/>
          </w:tcPr>
          <w:p w14:paraId="4B4B1D5B">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225" w:type="dxa"/>
            <w:gridSpan w:val="2"/>
            <w:vAlign w:val="center"/>
          </w:tcPr>
          <w:p w14:paraId="7F20BA41">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19D3D14">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5EE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23DD2ACE">
            <w:pPr>
              <w:spacing w:line="240" w:lineRule="atLeast"/>
              <w:jc w:val="left"/>
              <w:rPr>
                <w:rFonts w:ascii="仿宋_GB2312" w:hAnsi="仿宋_GB2312" w:eastAsia="仿宋_GB2312" w:cs="仿宋_GB2312"/>
                <w:sz w:val="20"/>
                <w:szCs w:val="20"/>
              </w:rPr>
            </w:pPr>
          </w:p>
        </w:tc>
        <w:tc>
          <w:tcPr>
            <w:tcW w:w="555" w:type="dxa"/>
            <w:vMerge w:val="continue"/>
          </w:tcPr>
          <w:p w14:paraId="194413FE">
            <w:pPr>
              <w:spacing w:line="240" w:lineRule="atLeast"/>
              <w:jc w:val="left"/>
              <w:rPr>
                <w:rFonts w:ascii="仿宋_GB2312" w:hAnsi="仿宋_GB2312" w:eastAsia="仿宋_GB2312" w:cs="仿宋_GB2312"/>
                <w:sz w:val="20"/>
                <w:szCs w:val="20"/>
              </w:rPr>
            </w:pPr>
          </w:p>
        </w:tc>
        <w:tc>
          <w:tcPr>
            <w:tcW w:w="784" w:type="dxa"/>
            <w:vAlign w:val="center"/>
          </w:tcPr>
          <w:p w14:paraId="52D823EF">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1A9556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586A42A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6252DA6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34E9885">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480" w:type="dxa"/>
            <w:vAlign w:val="center"/>
          </w:tcPr>
          <w:p w14:paraId="04358C01">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50" w:type="dxa"/>
            <w:vAlign w:val="center"/>
          </w:tcPr>
          <w:p w14:paraId="161BD08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4EBF3DFB">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475" w:type="dxa"/>
            <w:vAlign w:val="center"/>
          </w:tcPr>
          <w:p w14:paraId="7EE1C5A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2C933464">
            <w:pPr>
              <w:spacing w:line="240" w:lineRule="atLeast"/>
              <w:jc w:val="left"/>
              <w:rPr>
                <w:rFonts w:ascii="仿宋_GB2312" w:hAnsi="仿宋_GB2312" w:eastAsia="仿宋_GB2312" w:cs="仿宋_GB2312"/>
                <w:sz w:val="20"/>
                <w:szCs w:val="20"/>
              </w:rPr>
            </w:pPr>
          </w:p>
        </w:tc>
      </w:tr>
      <w:tr w14:paraId="00E3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7" w:hRule="atLeast"/>
        </w:trPr>
        <w:tc>
          <w:tcPr>
            <w:tcW w:w="611" w:type="dxa"/>
            <w:vAlign w:val="center"/>
          </w:tcPr>
          <w:p w14:paraId="7384C78D">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221</w:t>
            </w:r>
          </w:p>
        </w:tc>
        <w:tc>
          <w:tcPr>
            <w:tcW w:w="555" w:type="dxa"/>
            <w:vAlign w:val="center"/>
          </w:tcPr>
          <w:p w14:paraId="7F795C1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49C7B7E1">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矿山地质环境保护与土地复垦方案审查</w:t>
            </w:r>
          </w:p>
        </w:tc>
        <w:tc>
          <w:tcPr>
            <w:tcW w:w="660" w:type="dxa"/>
            <w:vAlign w:val="center"/>
          </w:tcPr>
          <w:p w14:paraId="2E8B51CA">
            <w:pPr>
              <w:snapToGrid w:val="0"/>
              <w:spacing w:line="240" w:lineRule="atLeast"/>
              <w:jc w:val="center"/>
              <w:rPr>
                <w:rFonts w:ascii="仿宋_GB2312" w:hAnsi="仿宋_GB2312" w:eastAsia="仿宋_GB2312" w:cs="仿宋_GB2312"/>
                <w:sz w:val="20"/>
                <w:szCs w:val="20"/>
              </w:rPr>
            </w:pPr>
          </w:p>
        </w:tc>
        <w:tc>
          <w:tcPr>
            <w:tcW w:w="615" w:type="dxa"/>
            <w:vAlign w:val="center"/>
          </w:tcPr>
          <w:p w14:paraId="5DDB4489">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627EA2C2">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6480" w:type="dxa"/>
            <w:vAlign w:val="center"/>
          </w:tcPr>
          <w:p w14:paraId="056A03C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矿产资源法》第十五条：设立矿山企业，必须符合国家规定的资质条件，并依照法律和国家有关规定，由审批机关对其矿区范围、矿山设计或者开采方案、生产技术条件、安全措施和环境保护措施等进行审查；审查合格的，方予批准。</w:t>
            </w:r>
          </w:p>
          <w:p w14:paraId="1B9B6091">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第二十一条：关闭矿山，必须提出矿山闭坑报告及有关采掘工程、</w:t>
            </w:r>
            <w:r>
              <w:rPr>
                <w:rFonts w:hint="eastAsia" w:eastAsia="仿宋_GB2312"/>
                <w:snapToGrid w:val="0"/>
                <w:color w:val="000000"/>
                <w:sz w:val="20"/>
                <w:szCs w:val="20"/>
                <w:lang w:eastAsia="zh-CN"/>
              </w:rPr>
              <w:t>安全隐患</w:t>
            </w:r>
            <w:bookmarkStart w:id="0" w:name="_GoBack"/>
            <w:bookmarkEnd w:id="0"/>
            <w:r>
              <w:rPr>
                <w:rFonts w:hint="eastAsia" w:eastAsia="仿宋_GB2312"/>
                <w:snapToGrid w:val="0"/>
                <w:color w:val="000000"/>
                <w:sz w:val="20"/>
                <w:szCs w:val="20"/>
              </w:rPr>
              <w:t>、土地复垦利用、环境保护的资料，并按照国家规定报请审查批准。</w:t>
            </w:r>
          </w:p>
          <w:p w14:paraId="490A628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2.【行政法规】《土地复垦条例》（2011年国务院令第592号公布施行）第十一条：土地复垦义务人应当按照土地复垦标准和国务院国土资源主管部门的规定编制土地复垦方案。</w:t>
            </w:r>
          </w:p>
          <w:p w14:paraId="742921D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部门规章】《矿山地质环境保护规定》（2009年国土资源部令第44号发布，2019年自然资源部令第5号修正）第十二条第一款：采矿权申请人申请办理采矿许可证时，应当编制矿山地质环境保护与土地复垦方案，报有批准权的自然资源主管部门批准。</w:t>
            </w:r>
          </w:p>
          <w:p w14:paraId="7905CD6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4．【规范性文件】《国土资源部办公厅关于做好矿山地质环境保护与土地复垦方案编报有关工作的通知》（国土资规〔2016〕21号）第一条：</w:t>
            </w:r>
          </w:p>
          <w:p w14:paraId="04AB9D31">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总体要求：实施矿山企业矿山地质环境保护与治理恢复方案和土地复垦方案合并编报制度。矿山企业不再单独编制矿山地质环境保护与治理恢复方案、土地复垦方案。</w:t>
            </w:r>
          </w:p>
        </w:tc>
        <w:tc>
          <w:tcPr>
            <w:tcW w:w="3750" w:type="dxa"/>
            <w:vAlign w:val="center"/>
          </w:tcPr>
          <w:p w14:paraId="5EB1F65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申请备案《矿山地质环境保护与土地复垦方案》事项是否属于本厅职权范围；是否在法律、法规规定的期限内提出；提出申请的条件、标准、审核申请材料是否齐全并符合法定形式；申请矿山企业是否具备申请条件，决定是否受理。</w:t>
            </w:r>
          </w:p>
          <w:p w14:paraId="5AC1CF0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2.审核责任：按照办理条件和标准，对符合条件的，提出同意的查意见；对不符合条件的，提出不同意意见及理由。</w:t>
            </w:r>
          </w:p>
          <w:p w14:paraId="41ED100E">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3.决定责任：对准许备案《矿山地质环境保护与土地复垦方案》的矿山企业，出具同意备案的书面文书。</w:t>
            </w:r>
          </w:p>
          <w:p w14:paraId="501CF07A">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7475" w:type="dxa"/>
            <w:vAlign w:val="center"/>
          </w:tcPr>
          <w:p w14:paraId="51DD8EF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1..【部门规章】《矿山地质环境保护规定》（2009年国土资源部令第44号发布，2019年自然资源部令第5号修正）第十二条第一款 ： 采矿权申请人申请办理采矿许可证时，应当编制矿山地质环境保护与土地复垦方案，报有批准权的自然资源主管部门批准。</w:t>
            </w:r>
          </w:p>
          <w:p w14:paraId="1E48CA5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规范性文件】《广西壮族自治区国土资源厅关于印发广西矿山地质环境保护与土地复垦方案编制技术要求的通知》（桂国土资规〔2017〕4号）二、方案审查要求（四）方案审查实行专家现场核查与内业审查相结合的评审方式，在会议审查前由评审机构（评审单位）排除有关专业的审查专家会同矿山当地国土资源管理部门共同对矿山现场进行核查，核查报告内容及矿山现场地质环境条件，方案有关地质环境治理恢复内容可靠性和可行性。</w:t>
            </w:r>
          </w:p>
          <w:p w14:paraId="4CA013A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矿产资源法》第十五条：设立矿山企业，必须符合国家规定的资质条件，并依照法律和国家有关规定，由审批机关对其矿区范围、矿山设计或者开采方案、生产技术条件、安全措施和环境保护措施等进行审查；审查合格的，方予批准。</w:t>
            </w:r>
          </w:p>
        </w:tc>
        <w:tc>
          <w:tcPr>
            <w:tcW w:w="330" w:type="dxa"/>
            <w:vAlign w:val="center"/>
          </w:tcPr>
          <w:p w14:paraId="7C095C33">
            <w:pPr>
              <w:snapToGrid w:val="0"/>
              <w:spacing w:line="240" w:lineRule="atLeast"/>
              <w:jc w:val="center"/>
              <w:rPr>
                <w:rFonts w:ascii="仿宋_GB2312" w:hAnsi="仿宋_GB2312" w:eastAsia="仿宋_GB2312" w:cs="仿宋_GB2312"/>
                <w:sz w:val="20"/>
                <w:szCs w:val="20"/>
              </w:rPr>
            </w:pPr>
          </w:p>
        </w:tc>
      </w:tr>
    </w:tbl>
    <w:p w14:paraId="371A9E61"/>
    <w:p w14:paraId="7DFB8D2D"/>
    <w:p w14:paraId="0A1023A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6450"/>
        <w:gridCol w:w="3795"/>
        <w:gridCol w:w="7460"/>
        <w:gridCol w:w="330"/>
      </w:tblGrid>
      <w:tr w14:paraId="64D6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39425C5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50C68B5C">
            <w:pPr>
              <w:spacing w:line="240" w:lineRule="atLeast"/>
              <w:rPr>
                <w:rFonts w:asciiTheme="majorEastAsia" w:hAnsiTheme="majorEastAsia" w:eastAsiaTheme="majorEastAsia" w:cstheme="majorEastAsia"/>
                <w:spacing w:val="-20"/>
                <w:sz w:val="20"/>
                <w:szCs w:val="20"/>
              </w:rPr>
            </w:pPr>
          </w:p>
          <w:p w14:paraId="67F5F6BF">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9619" w:type="dxa"/>
            <w:gridSpan w:val="5"/>
            <w:vAlign w:val="center"/>
          </w:tcPr>
          <w:p w14:paraId="6BEC7EF9">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1255" w:type="dxa"/>
            <w:gridSpan w:val="2"/>
            <w:vAlign w:val="center"/>
          </w:tcPr>
          <w:p w14:paraId="6091B638">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0756145">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095D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75F40EC">
            <w:pPr>
              <w:spacing w:line="240" w:lineRule="atLeast"/>
              <w:jc w:val="left"/>
              <w:rPr>
                <w:rFonts w:ascii="仿宋_GB2312" w:hAnsi="仿宋_GB2312" w:eastAsia="仿宋_GB2312" w:cs="仿宋_GB2312"/>
                <w:sz w:val="20"/>
                <w:szCs w:val="20"/>
              </w:rPr>
            </w:pPr>
          </w:p>
        </w:tc>
        <w:tc>
          <w:tcPr>
            <w:tcW w:w="555" w:type="dxa"/>
            <w:vMerge w:val="continue"/>
          </w:tcPr>
          <w:p w14:paraId="0FE82C30">
            <w:pPr>
              <w:spacing w:line="240" w:lineRule="atLeast"/>
              <w:jc w:val="left"/>
              <w:rPr>
                <w:rFonts w:ascii="仿宋_GB2312" w:hAnsi="仿宋_GB2312" w:eastAsia="仿宋_GB2312" w:cs="仿宋_GB2312"/>
                <w:sz w:val="20"/>
                <w:szCs w:val="20"/>
              </w:rPr>
            </w:pPr>
          </w:p>
        </w:tc>
        <w:tc>
          <w:tcPr>
            <w:tcW w:w="784" w:type="dxa"/>
            <w:vAlign w:val="center"/>
          </w:tcPr>
          <w:p w14:paraId="30A91EF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4B5C002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25311C53">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3B38AE3E">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28A63F3">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6450" w:type="dxa"/>
            <w:vAlign w:val="center"/>
          </w:tcPr>
          <w:p w14:paraId="56DE7B6D">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795" w:type="dxa"/>
            <w:vAlign w:val="center"/>
          </w:tcPr>
          <w:p w14:paraId="6A906FD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0C22030E">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7460" w:type="dxa"/>
            <w:vAlign w:val="center"/>
          </w:tcPr>
          <w:p w14:paraId="749A058E">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5B536D1F">
            <w:pPr>
              <w:spacing w:line="240" w:lineRule="atLeast"/>
              <w:jc w:val="left"/>
              <w:rPr>
                <w:rFonts w:ascii="仿宋_GB2312" w:hAnsi="仿宋_GB2312" w:eastAsia="仿宋_GB2312" w:cs="仿宋_GB2312"/>
                <w:sz w:val="20"/>
                <w:szCs w:val="20"/>
              </w:rPr>
            </w:pPr>
          </w:p>
        </w:tc>
      </w:tr>
      <w:tr w14:paraId="0390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2" w:hRule="atLeast"/>
        </w:trPr>
        <w:tc>
          <w:tcPr>
            <w:tcW w:w="611" w:type="dxa"/>
            <w:vAlign w:val="center"/>
          </w:tcPr>
          <w:p w14:paraId="1B6C559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222</w:t>
            </w:r>
          </w:p>
        </w:tc>
        <w:tc>
          <w:tcPr>
            <w:tcW w:w="555" w:type="dxa"/>
            <w:vAlign w:val="center"/>
          </w:tcPr>
          <w:p w14:paraId="48718CD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6E38C7C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收回国有土地使用权</w:t>
            </w:r>
          </w:p>
        </w:tc>
        <w:tc>
          <w:tcPr>
            <w:tcW w:w="660" w:type="dxa"/>
            <w:vAlign w:val="center"/>
          </w:tcPr>
          <w:p w14:paraId="0E642943">
            <w:pPr>
              <w:snapToGrid w:val="0"/>
              <w:spacing w:line="240" w:lineRule="atLeast"/>
              <w:jc w:val="center"/>
              <w:rPr>
                <w:rFonts w:ascii="仿宋_GB2312" w:hAnsi="仿宋_GB2312" w:eastAsia="仿宋_GB2312" w:cs="仿宋_GB2312"/>
                <w:sz w:val="20"/>
                <w:szCs w:val="20"/>
              </w:rPr>
            </w:pPr>
          </w:p>
        </w:tc>
        <w:tc>
          <w:tcPr>
            <w:tcW w:w="615" w:type="dxa"/>
            <w:vAlign w:val="center"/>
          </w:tcPr>
          <w:p w14:paraId="685C8BAC">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5607FDCE">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6450" w:type="dxa"/>
            <w:vAlign w:val="center"/>
          </w:tcPr>
          <w:p w14:paraId="2978194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【法律】《中华人民共和国土地管理法》第五十八条：有下列情形之一的，由有关人民政府自然资源主管部门报经原批准用地的人民政府或者有批准权的人民政府批准，可以收回国有土地使用权：</w:t>
            </w:r>
          </w:p>
          <w:p w14:paraId="37E5687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（一）为实施城市规划进行旧城区改建以及其他公共利益需要，确需使用土地的；</w:t>
            </w:r>
          </w:p>
          <w:p w14:paraId="35B66CB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（二）土地出让等有偿使用合同约定的使用期限届满，土地使用者未申请续期或者申请续期未获批准的；</w:t>
            </w:r>
          </w:p>
          <w:p w14:paraId="228A5F7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（三）因单位撤销、迁移等原因，停止使用原划拨的国有土地的；</w:t>
            </w:r>
          </w:p>
          <w:p w14:paraId="5903769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（四）公路、铁路、机场、矿场等经核准报废的。</w:t>
            </w:r>
          </w:p>
          <w:p w14:paraId="0CEC0DAE">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依照前款第（一）项的规定收回国有土地使用权的，对土地使用权人应当给予适当补偿。</w:t>
            </w:r>
          </w:p>
        </w:tc>
        <w:tc>
          <w:tcPr>
            <w:tcW w:w="3795" w:type="dxa"/>
            <w:vAlign w:val="center"/>
          </w:tcPr>
          <w:p w14:paraId="7CDC3B62">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4E9A698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2.审查责任：按照政策规定对书面材料进行审查，提出是否同意的初步意见；</w:t>
            </w:r>
          </w:p>
          <w:p w14:paraId="7F9996C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3.决定责任：作出书面决定,法定告知。</w:t>
            </w:r>
          </w:p>
          <w:p w14:paraId="1ED902A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7460" w:type="dxa"/>
            <w:vAlign w:val="center"/>
          </w:tcPr>
          <w:p w14:paraId="3FACECD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385B8C29">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4C4AEBB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25532620">
            <w:pPr>
              <w:snapToGrid w:val="0"/>
              <w:spacing w:line="240" w:lineRule="atLeast"/>
              <w:jc w:val="center"/>
              <w:rPr>
                <w:rFonts w:ascii="仿宋_GB2312" w:hAnsi="仿宋_GB2312" w:eastAsia="仿宋_GB2312" w:cs="仿宋_GB2312"/>
                <w:sz w:val="20"/>
                <w:szCs w:val="20"/>
              </w:rPr>
            </w:pPr>
          </w:p>
        </w:tc>
      </w:tr>
    </w:tbl>
    <w:p w14:paraId="418F4150"/>
    <w:p w14:paraId="57B565A3"/>
    <w:p w14:paraId="69A06C88"/>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28F5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C5CF403">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4727F9EC">
            <w:pPr>
              <w:spacing w:line="240" w:lineRule="atLeast"/>
              <w:rPr>
                <w:rFonts w:asciiTheme="majorEastAsia" w:hAnsiTheme="majorEastAsia" w:eastAsiaTheme="majorEastAsia" w:cstheme="majorEastAsia"/>
                <w:spacing w:val="-20"/>
                <w:sz w:val="20"/>
                <w:szCs w:val="20"/>
              </w:rPr>
            </w:pPr>
          </w:p>
          <w:p w14:paraId="26465707">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556DD20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073B8813">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5CC263E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416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4333AD27">
            <w:pPr>
              <w:spacing w:line="240" w:lineRule="atLeast"/>
              <w:jc w:val="left"/>
              <w:rPr>
                <w:rFonts w:ascii="仿宋_GB2312" w:hAnsi="仿宋_GB2312" w:eastAsia="仿宋_GB2312" w:cs="仿宋_GB2312"/>
                <w:sz w:val="20"/>
                <w:szCs w:val="20"/>
              </w:rPr>
            </w:pPr>
          </w:p>
        </w:tc>
        <w:tc>
          <w:tcPr>
            <w:tcW w:w="555" w:type="dxa"/>
            <w:vMerge w:val="continue"/>
          </w:tcPr>
          <w:p w14:paraId="6E181262">
            <w:pPr>
              <w:spacing w:line="240" w:lineRule="atLeast"/>
              <w:jc w:val="left"/>
              <w:rPr>
                <w:rFonts w:ascii="仿宋_GB2312" w:hAnsi="仿宋_GB2312" w:eastAsia="仿宋_GB2312" w:cs="仿宋_GB2312"/>
                <w:sz w:val="20"/>
                <w:szCs w:val="20"/>
              </w:rPr>
            </w:pPr>
          </w:p>
        </w:tc>
        <w:tc>
          <w:tcPr>
            <w:tcW w:w="784" w:type="dxa"/>
            <w:vAlign w:val="center"/>
          </w:tcPr>
          <w:p w14:paraId="46A9206E">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62100DD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A75F7B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0A8A525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CDD2686">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5842297C">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6CDA132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1EC31DD4">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2707F6B3">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7F81541">
            <w:pPr>
              <w:spacing w:line="240" w:lineRule="atLeast"/>
              <w:jc w:val="left"/>
              <w:rPr>
                <w:rFonts w:ascii="仿宋_GB2312" w:hAnsi="仿宋_GB2312" w:eastAsia="仿宋_GB2312" w:cs="仿宋_GB2312"/>
                <w:sz w:val="20"/>
                <w:szCs w:val="20"/>
              </w:rPr>
            </w:pPr>
          </w:p>
        </w:tc>
      </w:tr>
      <w:tr w14:paraId="0BAD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2" w:hRule="atLeast"/>
        </w:trPr>
        <w:tc>
          <w:tcPr>
            <w:tcW w:w="611" w:type="dxa"/>
            <w:vAlign w:val="center"/>
          </w:tcPr>
          <w:p w14:paraId="50894BF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223</w:t>
            </w:r>
          </w:p>
        </w:tc>
        <w:tc>
          <w:tcPr>
            <w:tcW w:w="555" w:type="dxa"/>
            <w:vAlign w:val="center"/>
          </w:tcPr>
          <w:p w14:paraId="5A072890">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0F6C3A53">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测绘项目备案</w:t>
            </w:r>
          </w:p>
        </w:tc>
        <w:tc>
          <w:tcPr>
            <w:tcW w:w="660" w:type="dxa"/>
            <w:vAlign w:val="center"/>
          </w:tcPr>
          <w:p w14:paraId="136EBB74">
            <w:pPr>
              <w:snapToGrid w:val="0"/>
              <w:spacing w:line="240" w:lineRule="atLeast"/>
              <w:jc w:val="center"/>
              <w:rPr>
                <w:rFonts w:ascii="仿宋_GB2312" w:hAnsi="仿宋_GB2312" w:eastAsia="仿宋_GB2312" w:cs="仿宋_GB2312"/>
                <w:sz w:val="20"/>
                <w:szCs w:val="20"/>
              </w:rPr>
            </w:pPr>
          </w:p>
        </w:tc>
        <w:tc>
          <w:tcPr>
            <w:tcW w:w="615" w:type="dxa"/>
            <w:vAlign w:val="center"/>
          </w:tcPr>
          <w:p w14:paraId="1284314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550628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行政审批办公室、测绘地理信息管理科</w:t>
            </w:r>
          </w:p>
        </w:tc>
        <w:tc>
          <w:tcPr>
            <w:tcW w:w="4605" w:type="dxa"/>
            <w:vAlign w:val="center"/>
          </w:tcPr>
          <w:p w14:paraId="33085DB8">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地方性法规】《广西壮族自治区测绘管理条例》（1995年自治区第八届人民代表大会常务委员会第14次会议通过，2019年第二次修订）第四十八条：使用财政资金或者所在地为国界线本自治区一侧两千米范围内的测绘项目，测绘单位应当在实施该项目前，向项目所在地县级以上人民政府测绘地理信息主管部门备案。</w:t>
            </w:r>
          </w:p>
          <w:p w14:paraId="36352C64">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任何单位和个人在国界线本自治区一侧两千米范围内开展测绘活动的，应当在实施前向当地公安机关报告，并服从当地公安机关的管理。</w:t>
            </w:r>
          </w:p>
        </w:tc>
        <w:tc>
          <w:tcPr>
            <w:tcW w:w="3585" w:type="dxa"/>
            <w:vAlign w:val="center"/>
          </w:tcPr>
          <w:p w14:paraId="1A7B61FA">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1.受理责任：公示测绘项目备案需要提交的全部材料的目录，作出不予备案、补正材料或者准予备案的决定。</w:t>
            </w:r>
          </w:p>
          <w:p w14:paraId="4875AD39">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2.审核责任：依法对申请材料进行审查，提出审查意见。</w:t>
            </w:r>
          </w:p>
          <w:p w14:paraId="31F7BE69">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3.监管责任：制定监管计划，依法采取相关处置措施。</w:t>
            </w:r>
          </w:p>
          <w:p w14:paraId="41FAD03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6D99BFD0">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1.【法律】《中华人民共和国测绘法》第二十七条：国家对从事测绘活动的单位实行测绘资质管理制度。</w:t>
            </w:r>
          </w:p>
          <w:p w14:paraId="1CB3C959">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从事测绘活动的单位应当具备下列条件，并依法取得相应等级的测绘资质证书，方可从事测绘活动：（一）有法人资格；（二）有与从事的测绘活动相适应的专业技术人员；（三）有与从事的测绘活动相适应的技术装备和设施；（四）有健全的技术和质量保证体系、安全保障措施、信息安全保密管理制度以及测绘成果和资料档案管理制度。</w:t>
            </w:r>
          </w:p>
          <w:p w14:paraId="2C816CF4">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1.【法律】《中华人民共和国测绘法》第二十九条：测绘单位不得超越资质等级许可的范围从事测绘活动，不得以其他测绘单位的名义从事测绘活动，不得允许其他单位以本单位的名义从事测绘活动。测绘项目实行招投标的，测绘项目的招标单位应当依法在招标公告或者投标邀请书中对测绘单位资质等级作出要求，不得让不具有相应测绘资质等级的单位中标，不得让测绘单位低于测绘成本中标。中标的测绘单位不得向他人转让测绘项目。</w:t>
            </w:r>
          </w:p>
          <w:p w14:paraId="5A8E4EA4">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2—2.【法律】《中华人民共和国测绘法》第三十一条：测绘人员进行测绘活动时，应当持有测绘作业证件。任何单位和个人不得阻碍测绘人员依法进行测绘活动。</w:t>
            </w:r>
          </w:p>
          <w:p w14:paraId="5F43F62D">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1.【法律】《中华人民共和国测绘法》第三十五条：使用财政资金的测绘项目和涉及测绘的其他使用财政资金的项目，有关部门在批准立项前应当征求本级人民政府测绘地理信息主管部门的意见；有适宜测绘成果的，应当充分利用已有的测绘成果，避免重复测绘。</w:t>
            </w:r>
          </w:p>
          <w:p w14:paraId="3C9CADFA">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2.【地方性法规】《广西壮族自治区测绘管理条例》（1995年自治区第八届人民代表大会常务委员会第14次会议通过，2019年修订）第十七条：从事测绘活动的单位应当依法取得测绘资质证书并在相应资质等级许可的范围内从事测绘活动。</w:t>
            </w:r>
          </w:p>
          <w:p w14:paraId="21679AF0">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3.【地方性法规】《广西壮族自治区测绘管理条例》（1995年自治区第八届人民代表大会常务委员会第14次会议通过，2019年7月25日广西壮族自治区第十三届人民代表大会常务委员会第十次会议第二次修订）第二十条：从事测绘活动的专业技术人员应当具备相应的执业资格条件。测绘人员进行测绘活动时，应当持有测绘作业证件。设区的市人民政府测绘地理信息主管部门负责测绘作业证件的受理、审核、发放工作。</w:t>
            </w:r>
          </w:p>
          <w:p w14:paraId="37038A53">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4.【地方性法规】《广西壮族自治区测绘管理条例》（1995年自治区第八届人民代表大会常务委员会第14次会议通过，2019年7月25日广西壮族自治区第十三届人民代表大会常务委员会第十次会议第二次修订）第二十七条：使用财政资金的测绘项目和涉及测绘的其他使用财政资金的项目，有关部门在批准或者核准前应当书面征求本级人民政府测绘地理信息主管部门的意见，有适宜测绘成果的，应当充分利用已有的测绘成果，避免重复测绘。</w:t>
            </w:r>
          </w:p>
          <w:p w14:paraId="50563B84">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5.【地方性法规】《广西壮族自治区测绘管理条例》（1995年自治区第八届人民代表大会常务委员会第14次会议通过，2019年7月25日广西壮族自治区第十三届人民代表大会常务委员会第十次会议第二次修订）第四十六条：测绘项目招标投标和政府采购活动应当接受县级以上人民政府测绘地理信息主管部门和有关部门的监督管理。县级以上人民政府测绘地理信息主管部门应当加强对投标单位测绘资质、市场信用和测绘评标专家资格的监督检查，及时为参与市场投标的测绘单位出具信用报告。测绘单位不得将承包的测绘项目转包。测绘单位拟将测绘项目部分非主体、非关键性工作分包的，应当在投标文件中载明；接受分包的单位应当具备相应的测绘资质条件，不得将测绘项目再次分包。测绘项目按照国家有关规定实行项目监理。</w:t>
            </w:r>
          </w:p>
          <w:p w14:paraId="235DFAB0">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6.【地方性法规】《广西壮族自治区测绘管理条例》（1995年自治区第八届人民代表大会常务委员会第14次会议通过，2019年7月25日广西壮族自治区第十三届人民代表大会常务委员会第十次会议第二次修订）第四十八条：使用财政资金或者所在地为国界线本自治区一侧两千米范围内的测绘项目，测绘单位应当在实施该项目前，向项目所在地县级以上人民政府测绘地理信息主管部门备案。任何单位和个人在国界线本自治区一侧两千米范围内开展测绘活动的，应当在实施前向当地公安机关报告，并服从当地公安机关的管理。</w:t>
            </w:r>
          </w:p>
          <w:p w14:paraId="70C4569C">
            <w:pPr>
              <w:widowControl/>
              <w:adjustRightInd w:val="0"/>
              <w:snapToGrid w:val="0"/>
              <w:spacing w:line="264"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3—7.【规范性文件}原国家测绘地理信息局2014年7月1日重新修订并引发的《测绘资质分级标准》（国测管发[2014]31号）各专业标准的“作业限额”。</w:t>
            </w:r>
          </w:p>
          <w:p w14:paraId="73A9B85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3—8.【规范性文件】原国家测绘局、原国家工商行政管理局1995年6月6日印发的《测绘市场管理暂行办法》（国测体字[95]15号）第二十一条： 测绘项目的承包方必须以自己的设备、技术和劳力完成所承揽项目的主要部分。测绘项目的承包方，可以向其他具有测绘资格的单位分包，但分包量不得大于该项目总承包量的百分之四十。分包出的任务由总承包方向发包方负完全责任。</w:t>
            </w:r>
          </w:p>
        </w:tc>
        <w:tc>
          <w:tcPr>
            <w:tcW w:w="330" w:type="dxa"/>
            <w:vAlign w:val="center"/>
          </w:tcPr>
          <w:p w14:paraId="6ADA8945">
            <w:pPr>
              <w:snapToGrid w:val="0"/>
              <w:spacing w:line="240" w:lineRule="atLeast"/>
              <w:jc w:val="center"/>
              <w:rPr>
                <w:rFonts w:ascii="仿宋_GB2312" w:hAnsi="仿宋_GB2312" w:eastAsia="仿宋_GB2312" w:cs="仿宋_GB2312"/>
                <w:sz w:val="20"/>
                <w:szCs w:val="20"/>
              </w:rPr>
            </w:pPr>
          </w:p>
        </w:tc>
      </w:tr>
    </w:tbl>
    <w:p w14:paraId="07615AA0"/>
    <w:p w14:paraId="7ED0274A"/>
    <w:p w14:paraId="04DD11F0"/>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7C45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02D47F09">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0399D877">
            <w:pPr>
              <w:spacing w:line="240" w:lineRule="atLeast"/>
              <w:rPr>
                <w:rFonts w:asciiTheme="majorEastAsia" w:hAnsiTheme="majorEastAsia" w:eastAsiaTheme="majorEastAsia" w:cstheme="majorEastAsia"/>
                <w:spacing w:val="-20"/>
                <w:sz w:val="20"/>
                <w:szCs w:val="20"/>
              </w:rPr>
            </w:pPr>
          </w:p>
          <w:p w14:paraId="53A26B7E">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1CDAA2BC">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67B5370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085DF63E">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248B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5CAF17E1">
            <w:pPr>
              <w:spacing w:line="240" w:lineRule="atLeast"/>
              <w:jc w:val="left"/>
              <w:rPr>
                <w:rFonts w:ascii="仿宋_GB2312" w:hAnsi="仿宋_GB2312" w:eastAsia="仿宋_GB2312" w:cs="仿宋_GB2312"/>
                <w:sz w:val="20"/>
                <w:szCs w:val="20"/>
              </w:rPr>
            </w:pPr>
          </w:p>
        </w:tc>
        <w:tc>
          <w:tcPr>
            <w:tcW w:w="555" w:type="dxa"/>
            <w:vMerge w:val="continue"/>
          </w:tcPr>
          <w:p w14:paraId="6FC0092A">
            <w:pPr>
              <w:spacing w:line="240" w:lineRule="atLeast"/>
              <w:jc w:val="left"/>
              <w:rPr>
                <w:rFonts w:ascii="仿宋_GB2312" w:hAnsi="仿宋_GB2312" w:eastAsia="仿宋_GB2312" w:cs="仿宋_GB2312"/>
                <w:sz w:val="20"/>
                <w:szCs w:val="20"/>
              </w:rPr>
            </w:pPr>
          </w:p>
        </w:tc>
        <w:tc>
          <w:tcPr>
            <w:tcW w:w="784" w:type="dxa"/>
            <w:vAlign w:val="center"/>
          </w:tcPr>
          <w:p w14:paraId="4B73A3C8">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5572A77D">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0EAEA874">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5BB14A8C">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73ECED62">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701B1D8A">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758E4860">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5F447EC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BA1297C">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956AB3D">
            <w:pPr>
              <w:spacing w:line="240" w:lineRule="atLeast"/>
              <w:jc w:val="left"/>
              <w:rPr>
                <w:rFonts w:ascii="仿宋_GB2312" w:hAnsi="仿宋_GB2312" w:eastAsia="仿宋_GB2312" w:cs="仿宋_GB2312"/>
                <w:sz w:val="20"/>
                <w:szCs w:val="20"/>
              </w:rPr>
            </w:pPr>
          </w:p>
        </w:tc>
      </w:tr>
      <w:tr w14:paraId="746F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7" w:hRule="atLeast"/>
        </w:trPr>
        <w:tc>
          <w:tcPr>
            <w:tcW w:w="611" w:type="dxa"/>
            <w:vAlign w:val="center"/>
          </w:tcPr>
          <w:p w14:paraId="3D152061">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224</w:t>
            </w:r>
          </w:p>
        </w:tc>
        <w:tc>
          <w:tcPr>
            <w:tcW w:w="555" w:type="dxa"/>
            <w:vAlign w:val="center"/>
          </w:tcPr>
          <w:p w14:paraId="1053E6D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021D86B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转让国有土地使用权申报价格审核和登记</w:t>
            </w:r>
          </w:p>
        </w:tc>
        <w:tc>
          <w:tcPr>
            <w:tcW w:w="660" w:type="dxa"/>
            <w:vAlign w:val="center"/>
          </w:tcPr>
          <w:p w14:paraId="2A08DBFC">
            <w:pPr>
              <w:snapToGrid w:val="0"/>
              <w:spacing w:line="240" w:lineRule="atLeast"/>
              <w:jc w:val="center"/>
              <w:rPr>
                <w:rFonts w:ascii="仿宋_GB2312" w:hAnsi="仿宋_GB2312" w:eastAsia="仿宋_GB2312" w:cs="仿宋_GB2312"/>
                <w:sz w:val="20"/>
                <w:szCs w:val="20"/>
              </w:rPr>
            </w:pPr>
          </w:p>
        </w:tc>
        <w:tc>
          <w:tcPr>
            <w:tcW w:w="615" w:type="dxa"/>
            <w:vAlign w:val="center"/>
          </w:tcPr>
          <w:p w14:paraId="57EC490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1EAE3D3A">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7787BE7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1.【法律】《中华人民共和国城市房地产管理法》第三十五条：国家实行房地产成交价格申报制度。</w:t>
            </w:r>
          </w:p>
          <w:p w14:paraId="0E9AD2F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房地产权利人转让房地产，应当向县级以上地方人民政府规定的部门如实申报成交价，不得瞒报或者作不实的申报。</w:t>
            </w:r>
          </w:p>
          <w:p w14:paraId="7C2AC50B">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2.【规范性文件】《国务院关于加强国有土地资产管理的通知》（国发〔2001〕16号）第四点 国有土地转让，转让双方必须如实申报成交价格。土地行政主管部门要根据基准地价、标定地价对申报价格进行审核和登记。申报土地转让价格比标定地价低20%以上的，市、县人民政府可行使优先购买权。</w:t>
            </w:r>
          </w:p>
        </w:tc>
        <w:tc>
          <w:tcPr>
            <w:tcW w:w="3585" w:type="dxa"/>
            <w:vAlign w:val="center"/>
          </w:tcPr>
          <w:p w14:paraId="263FF9D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1.受理责任：公示应当提交的材料；一次性告知补正材料；依法受理或不予受理（不予受理应当告知理由）。</w:t>
            </w:r>
          </w:p>
          <w:p w14:paraId="07E11185">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2.审查责任：按照政策规定对书面材料进行审查，提出是否同意的初步意见；</w:t>
            </w:r>
          </w:p>
          <w:p w14:paraId="4E73C50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3.决定责任：作出书面决定,法定告知。</w:t>
            </w:r>
          </w:p>
          <w:p w14:paraId="569FB7F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5FDEAC0F">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E92163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169D31E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35BFE165">
            <w:pPr>
              <w:snapToGrid w:val="0"/>
              <w:spacing w:line="240" w:lineRule="atLeast"/>
              <w:jc w:val="center"/>
              <w:rPr>
                <w:rFonts w:ascii="仿宋_GB2312" w:hAnsi="仿宋_GB2312" w:eastAsia="仿宋_GB2312" w:cs="仿宋_GB2312"/>
                <w:sz w:val="20"/>
                <w:szCs w:val="20"/>
              </w:rPr>
            </w:pPr>
          </w:p>
        </w:tc>
      </w:tr>
    </w:tbl>
    <w:p w14:paraId="121B264A"/>
    <w:p w14:paraId="45752488"/>
    <w:p w14:paraId="03D0235C"/>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1438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77A30DD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75C4793D">
            <w:pPr>
              <w:spacing w:line="240" w:lineRule="atLeast"/>
              <w:rPr>
                <w:rFonts w:asciiTheme="majorEastAsia" w:hAnsiTheme="majorEastAsia" w:eastAsiaTheme="majorEastAsia" w:cstheme="majorEastAsia"/>
                <w:spacing w:val="-20"/>
                <w:sz w:val="20"/>
                <w:szCs w:val="20"/>
              </w:rPr>
            </w:pPr>
          </w:p>
          <w:p w14:paraId="04CAB674">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5FD348D">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1042B7A6">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49CE6728">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3865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14E1BDCD">
            <w:pPr>
              <w:spacing w:line="240" w:lineRule="atLeast"/>
              <w:jc w:val="left"/>
              <w:rPr>
                <w:rFonts w:ascii="仿宋_GB2312" w:hAnsi="仿宋_GB2312" w:eastAsia="仿宋_GB2312" w:cs="仿宋_GB2312"/>
                <w:sz w:val="20"/>
                <w:szCs w:val="20"/>
              </w:rPr>
            </w:pPr>
          </w:p>
        </w:tc>
        <w:tc>
          <w:tcPr>
            <w:tcW w:w="555" w:type="dxa"/>
            <w:vMerge w:val="continue"/>
          </w:tcPr>
          <w:p w14:paraId="73F9B6DA">
            <w:pPr>
              <w:spacing w:line="240" w:lineRule="atLeast"/>
              <w:jc w:val="left"/>
              <w:rPr>
                <w:rFonts w:ascii="仿宋_GB2312" w:hAnsi="仿宋_GB2312" w:eastAsia="仿宋_GB2312" w:cs="仿宋_GB2312"/>
                <w:sz w:val="20"/>
                <w:szCs w:val="20"/>
              </w:rPr>
            </w:pPr>
          </w:p>
        </w:tc>
        <w:tc>
          <w:tcPr>
            <w:tcW w:w="784" w:type="dxa"/>
            <w:vAlign w:val="center"/>
          </w:tcPr>
          <w:p w14:paraId="0E504F07">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2327C1D4">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7A292CF0">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71166E5F">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213DFA8C">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2DBC6D3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2FD8295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E6D40F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445E5CC5">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35001588">
            <w:pPr>
              <w:spacing w:line="240" w:lineRule="atLeast"/>
              <w:jc w:val="left"/>
              <w:rPr>
                <w:rFonts w:ascii="仿宋_GB2312" w:hAnsi="仿宋_GB2312" w:eastAsia="仿宋_GB2312" w:cs="仿宋_GB2312"/>
                <w:sz w:val="20"/>
                <w:szCs w:val="20"/>
              </w:rPr>
            </w:pPr>
          </w:p>
        </w:tc>
      </w:tr>
      <w:tr w14:paraId="64A4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7" w:hRule="atLeast"/>
        </w:trPr>
        <w:tc>
          <w:tcPr>
            <w:tcW w:w="611" w:type="dxa"/>
            <w:vAlign w:val="center"/>
          </w:tcPr>
          <w:p w14:paraId="3C0776B4">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225</w:t>
            </w:r>
          </w:p>
        </w:tc>
        <w:tc>
          <w:tcPr>
            <w:tcW w:w="555" w:type="dxa"/>
            <w:vAlign w:val="center"/>
          </w:tcPr>
          <w:p w14:paraId="148A3A72">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47944085">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地质灾害防治资质单位地质灾害治理工程项目备案</w:t>
            </w:r>
          </w:p>
        </w:tc>
        <w:tc>
          <w:tcPr>
            <w:tcW w:w="660" w:type="dxa"/>
            <w:vAlign w:val="center"/>
          </w:tcPr>
          <w:p w14:paraId="1DA1C7FE">
            <w:pPr>
              <w:snapToGrid w:val="0"/>
              <w:spacing w:line="240" w:lineRule="atLeast"/>
              <w:jc w:val="center"/>
              <w:rPr>
                <w:rFonts w:ascii="仿宋_GB2312" w:hAnsi="仿宋_GB2312" w:eastAsia="仿宋_GB2312" w:cs="仿宋_GB2312"/>
                <w:sz w:val="20"/>
                <w:szCs w:val="20"/>
              </w:rPr>
            </w:pPr>
          </w:p>
        </w:tc>
        <w:tc>
          <w:tcPr>
            <w:tcW w:w="615" w:type="dxa"/>
            <w:vAlign w:val="center"/>
          </w:tcPr>
          <w:p w14:paraId="0502977F">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738EB626">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地质勘查和矿产资源保护监督科</w:t>
            </w:r>
          </w:p>
        </w:tc>
        <w:tc>
          <w:tcPr>
            <w:tcW w:w="4605" w:type="dxa"/>
            <w:vAlign w:val="center"/>
          </w:tcPr>
          <w:p w14:paraId="69DF752B">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【部门规章】《地质灾害危险性评估单位资质管理办法》（2005年国土资源部令第29号公布，2019年第二次修正）第六条： 从事地质灾害危险性评估的单位，按照本办法的规定取得相应的资质证书后，方可在资质证书许可范围内承担地质灾害危险性评估业务。</w:t>
            </w:r>
          </w:p>
          <w:p w14:paraId="67790DD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县级以上自然资源主管部门负责对本行政区域内从事地质灾害危险性评估活动的单位进行监督检查。</w:t>
            </w:r>
          </w:p>
          <w:p w14:paraId="408B111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第二十七条： 资质单位应当在签订地质灾害危险性评估项目合同后十日内，到项目所在地的县级自然资源主管部门进行资质和项目备案。</w:t>
            </w:r>
          </w:p>
          <w:p w14:paraId="536E6473">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评估项目跨行政区域的，资质单位应当向项目所跨行政区域共同的上一级自然资源主管部门备案。</w:t>
            </w:r>
          </w:p>
        </w:tc>
        <w:tc>
          <w:tcPr>
            <w:tcW w:w="3585" w:type="dxa"/>
            <w:vAlign w:val="center"/>
          </w:tcPr>
          <w:p w14:paraId="0A78D5FD">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1.受理阶段责任：审查备案材料是否齐全，是否在规定的时间内提交备案。备案材料不全的，通知申请机构一次性补齐。</w:t>
            </w:r>
          </w:p>
          <w:p w14:paraId="56D526A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2.审查阶段责任：对地质灾害治理工程勘察设计机构和专家资格，评审标准、程序是否合规等进行审查。</w:t>
            </w:r>
          </w:p>
          <w:p w14:paraId="02DCA9F6">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3.决定阶段责任：作出备案或不予以备案决定（不予备案的应当告知理由）。</w:t>
            </w:r>
          </w:p>
          <w:p w14:paraId="12B2C1FC">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48489ACC">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475E8AE0">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31DF23F8">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67212A4C">
            <w:pPr>
              <w:snapToGrid w:val="0"/>
              <w:spacing w:line="240" w:lineRule="atLeast"/>
              <w:jc w:val="center"/>
              <w:rPr>
                <w:rFonts w:ascii="仿宋_GB2312" w:hAnsi="仿宋_GB2312" w:eastAsia="仿宋_GB2312" w:cs="仿宋_GB2312"/>
                <w:sz w:val="20"/>
                <w:szCs w:val="20"/>
              </w:rPr>
            </w:pPr>
          </w:p>
        </w:tc>
      </w:tr>
    </w:tbl>
    <w:p w14:paraId="20570A9B"/>
    <w:p w14:paraId="6A6A5518"/>
    <w:p w14:paraId="52D4E22E"/>
    <w:tbl>
      <w:tblPr>
        <w:tblStyle w:val="5"/>
        <w:tblW w:w="22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55"/>
        <w:gridCol w:w="784"/>
        <w:gridCol w:w="660"/>
        <w:gridCol w:w="615"/>
        <w:gridCol w:w="1110"/>
        <w:gridCol w:w="4605"/>
        <w:gridCol w:w="3585"/>
        <w:gridCol w:w="9515"/>
        <w:gridCol w:w="330"/>
      </w:tblGrid>
      <w:tr w14:paraId="475A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11" w:type="dxa"/>
            <w:vMerge w:val="restart"/>
            <w:vAlign w:val="center"/>
          </w:tcPr>
          <w:p w14:paraId="50DA8287">
            <w:pPr>
              <w:snapToGrid w:val="0"/>
              <w:spacing w:line="240" w:lineRule="atLeast"/>
              <w:jc w:val="center"/>
              <w:rPr>
                <w:rFonts w:asciiTheme="majorEastAsia" w:hAnsiTheme="majorEastAsia" w:eastAsiaTheme="majorEastAsia" w:cstheme="majorEastAsia"/>
                <w:spacing w:val="-23"/>
                <w:sz w:val="20"/>
                <w:szCs w:val="20"/>
              </w:rPr>
            </w:pPr>
            <w:r>
              <w:rPr>
                <w:rFonts w:hint="eastAsia" w:asciiTheme="majorEastAsia" w:hAnsiTheme="majorEastAsia" w:eastAsiaTheme="majorEastAsia" w:cstheme="majorEastAsia"/>
                <w:spacing w:val="-23"/>
                <w:sz w:val="20"/>
                <w:szCs w:val="20"/>
              </w:rPr>
              <w:t>序 号</w:t>
            </w:r>
          </w:p>
        </w:tc>
        <w:tc>
          <w:tcPr>
            <w:tcW w:w="555" w:type="dxa"/>
            <w:vMerge w:val="restart"/>
            <w:vAlign w:val="center"/>
          </w:tcPr>
          <w:p w14:paraId="274FEA6E">
            <w:pPr>
              <w:spacing w:line="240" w:lineRule="atLeast"/>
              <w:rPr>
                <w:rFonts w:asciiTheme="majorEastAsia" w:hAnsiTheme="majorEastAsia" w:eastAsiaTheme="majorEastAsia" w:cstheme="majorEastAsia"/>
                <w:spacing w:val="-20"/>
                <w:sz w:val="20"/>
                <w:szCs w:val="20"/>
              </w:rPr>
            </w:pPr>
          </w:p>
          <w:p w14:paraId="61C9AE42">
            <w:pPr>
              <w:snapToGrid w:val="0"/>
              <w:spacing w:line="240" w:lineRule="atLeast"/>
              <w:rPr>
                <w:rFonts w:asciiTheme="majorEastAsia" w:hAnsiTheme="majorEastAsia" w:eastAsiaTheme="majorEastAsia" w:cstheme="majorEastAsia"/>
                <w:spacing w:val="-20"/>
                <w:sz w:val="20"/>
                <w:szCs w:val="20"/>
              </w:rPr>
            </w:pPr>
            <w:r>
              <w:rPr>
                <w:rFonts w:hint="eastAsia" w:asciiTheme="majorEastAsia" w:hAnsiTheme="majorEastAsia" w:eastAsiaTheme="majorEastAsia" w:cstheme="majorEastAsia"/>
                <w:spacing w:val="-20"/>
                <w:sz w:val="20"/>
                <w:szCs w:val="20"/>
              </w:rPr>
              <w:t>权力分类</w:t>
            </w:r>
          </w:p>
        </w:tc>
        <w:tc>
          <w:tcPr>
            <w:tcW w:w="7774" w:type="dxa"/>
            <w:gridSpan w:val="5"/>
            <w:vAlign w:val="center"/>
          </w:tcPr>
          <w:p w14:paraId="6169EBF0">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权力清单</w:t>
            </w:r>
          </w:p>
        </w:tc>
        <w:tc>
          <w:tcPr>
            <w:tcW w:w="13100" w:type="dxa"/>
            <w:gridSpan w:val="2"/>
            <w:vAlign w:val="center"/>
          </w:tcPr>
          <w:p w14:paraId="79655E8E">
            <w:pPr>
              <w:spacing w:line="240" w:lineRule="atLeast"/>
              <w:jc w:val="center"/>
              <w:rPr>
                <w:rFonts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责任清单</w:t>
            </w:r>
          </w:p>
        </w:tc>
        <w:tc>
          <w:tcPr>
            <w:tcW w:w="330" w:type="dxa"/>
            <w:vMerge w:val="restart"/>
            <w:vAlign w:val="center"/>
          </w:tcPr>
          <w:p w14:paraId="70F7686F">
            <w:pPr>
              <w:snapToGrid w:val="0"/>
              <w:spacing w:line="240" w:lineRule="atLeas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0"/>
                <w:szCs w:val="20"/>
              </w:rPr>
              <w:t>备注</w:t>
            </w:r>
          </w:p>
        </w:tc>
      </w:tr>
      <w:tr w14:paraId="4B22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11" w:type="dxa"/>
            <w:vMerge w:val="continue"/>
          </w:tcPr>
          <w:p w14:paraId="0FBE67D8">
            <w:pPr>
              <w:spacing w:line="240" w:lineRule="atLeast"/>
              <w:jc w:val="left"/>
              <w:rPr>
                <w:rFonts w:ascii="仿宋_GB2312" w:hAnsi="仿宋_GB2312" w:eastAsia="仿宋_GB2312" w:cs="仿宋_GB2312"/>
                <w:sz w:val="20"/>
                <w:szCs w:val="20"/>
              </w:rPr>
            </w:pPr>
          </w:p>
        </w:tc>
        <w:tc>
          <w:tcPr>
            <w:tcW w:w="555" w:type="dxa"/>
            <w:vMerge w:val="continue"/>
          </w:tcPr>
          <w:p w14:paraId="75BD4917">
            <w:pPr>
              <w:spacing w:line="240" w:lineRule="atLeast"/>
              <w:jc w:val="left"/>
              <w:rPr>
                <w:rFonts w:ascii="仿宋_GB2312" w:hAnsi="仿宋_GB2312" w:eastAsia="仿宋_GB2312" w:cs="仿宋_GB2312"/>
                <w:sz w:val="20"/>
                <w:szCs w:val="20"/>
              </w:rPr>
            </w:pPr>
          </w:p>
        </w:tc>
        <w:tc>
          <w:tcPr>
            <w:tcW w:w="784" w:type="dxa"/>
            <w:vAlign w:val="center"/>
          </w:tcPr>
          <w:p w14:paraId="47C6C756">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项 目</w:t>
            </w:r>
          </w:p>
          <w:p w14:paraId="1560AADB">
            <w:pPr>
              <w:snapToGrid w:val="0"/>
              <w:spacing w:line="200" w:lineRule="exact"/>
              <w:jc w:val="center"/>
              <w:rPr>
                <w:rFonts w:asciiTheme="minorEastAsia" w:hAnsiTheme="minorEastAsia" w:cstheme="minorEastAsia"/>
                <w:spacing w:val="-23"/>
                <w:sz w:val="20"/>
                <w:szCs w:val="20"/>
              </w:rPr>
            </w:pPr>
            <w:r>
              <w:rPr>
                <w:rFonts w:hint="eastAsia" w:asciiTheme="minorEastAsia" w:hAnsiTheme="minorEastAsia" w:cstheme="minorEastAsia"/>
                <w:spacing w:val="-23"/>
                <w:sz w:val="20"/>
                <w:szCs w:val="20"/>
              </w:rPr>
              <w:t>名 称</w:t>
            </w:r>
          </w:p>
        </w:tc>
        <w:tc>
          <w:tcPr>
            <w:tcW w:w="660" w:type="dxa"/>
            <w:vAlign w:val="center"/>
          </w:tcPr>
          <w:p w14:paraId="69616FB6">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18"/>
                <w:szCs w:val="18"/>
              </w:rPr>
              <w:t>子项名 称</w:t>
            </w:r>
          </w:p>
        </w:tc>
        <w:tc>
          <w:tcPr>
            <w:tcW w:w="615" w:type="dxa"/>
            <w:vAlign w:val="center"/>
          </w:tcPr>
          <w:p w14:paraId="4268BD12">
            <w:pPr>
              <w:adjustRightInd w:val="0"/>
              <w:snapToGrid w:val="0"/>
              <w:spacing w:line="240" w:lineRule="exact"/>
              <w:jc w:val="center"/>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实施主体</w:t>
            </w:r>
          </w:p>
        </w:tc>
        <w:tc>
          <w:tcPr>
            <w:tcW w:w="1110" w:type="dxa"/>
            <w:vAlign w:val="center"/>
          </w:tcPr>
          <w:p w14:paraId="0BC790E9">
            <w:pPr>
              <w:widowControl/>
              <w:snapToGrid w:val="0"/>
              <w:spacing w:line="240" w:lineRule="exact"/>
              <w:rPr>
                <w:rFonts w:asciiTheme="minorEastAsia" w:hAnsiTheme="minorEastAsia" w:cstheme="minorEastAsia"/>
                <w:spacing w:val="-11"/>
                <w:sz w:val="20"/>
                <w:szCs w:val="20"/>
              </w:rPr>
            </w:pPr>
            <w:r>
              <w:rPr>
                <w:rFonts w:hint="eastAsia" w:asciiTheme="minorEastAsia" w:hAnsiTheme="minorEastAsia" w:cstheme="minorEastAsia"/>
                <w:spacing w:val="-11"/>
                <w:sz w:val="20"/>
                <w:szCs w:val="20"/>
              </w:rPr>
              <w:t>承办的内设机构和单位</w:t>
            </w:r>
          </w:p>
        </w:tc>
        <w:tc>
          <w:tcPr>
            <w:tcW w:w="4605" w:type="dxa"/>
            <w:vAlign w:val="center"/>
          </w:tcPr>
          <w:p w14:paraId="4E2F1999">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实施依据</w:t>
            </w:r>
          </w:p>
        </w:tc>
        <w:tc>
          <w:tcPr>
            <w:tcW w:w="3585" w:type="dxa"/>
            <w:vAlign w:val="center"/>
          </w:tcPr>
          <w:p w14:paraId="170D8B82">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w:t>
            </w:r>
          </w:p>
          <w:p w14:paraId="6A2CCA18">
            <w:pPr>
              <w:snapToGrid w:val="0"/>
              <w:spacing w:line="240" w:lineRule="atLeast"/>
              <w:jc w:val="center"/>
              <w:rPr>
                <w:rFonts w:asciiTheme="minorEastAsia" w:hAnsiTheme="minorEastAsia" w:cstheme="minorEastAsia"/>
                <w:sz w:val="20"/>
                <w:szCs w:val="20"/>
              </w:rPr>
            </w:pPr>
            <w:r>
              <w:rPr>
                <w:rFonts w:hint="eastAsia" w:asciiTheme="minorEastAsia" w:hAnsiTheme="minorEastAsia" w:cstheme="minorEastAsia"/>
                <w:sz w:val="20"/>
                <w:szCs w:val="20"/>
              </w:rPr>
              <w:t>（明确责任主体）</w:t>
            </w:r>
          </w:p>
        </w:tc>
        <w:tc>
          <w:tcPr>
            <w:tcW w:w="9515" w:type="dxa"/>
            <w:vAlign w:val="center"/>
          </w:tcPr>
          <w:p w14:paraId="178EB37B">
            <w:pPr>
              <w:snapToGrid w:val="0"/>
              <w:spacing w:line="240" w:lineRule="atLeast"/>
              <w:ind w:firstLine="200" w:firstLineChars="100"/>
              <w:jc w:val="center"/>
              <w:rPr>
                <w:rFonts w:asciiTheme="minorEastAsia" w:hAnsiTheme="minorEastAsia" w:cstheme="minorEastAsia"/>
                <w:sz w:val="20"/>
                <w:szCs w:val="20"/>
              </w:rPr>
            </w:pPr>
            <w:r>
              <w:rPr>
                <w:rFonts w:hint="eastAsia" w:asciiTheme="minorEastAsia" w:hAnsiTheme="minorEastAsia" w:cstheme="minorEastAsia"/>
                <w:sz w:val="20"/>
                <w:szCs w:val="20"/>
              </w:rPr>
              <w:t>责任事项依据</w:t>
            </w:r>
          </w:p>
        </w:tc>
        <w:tc>
          <w:tcPr>
            <w:tcW w:w="330" w:type="dxa"/>
            <w:vMerge w:val="continue"/>
          </w:tcPr>
          <w:p w14:paraId="074DB0DF">
            <w:pPr>
              <w:spacing w:line="240" w:lineRule="atLeast"/>
              <w:jc w:val="left"/>
              <w:rPr>
                <w:rFonts w:ascii="仿宋_GB2312" w:hAnsi="仿宋_GB2312" w:eastAsia="仿宋_GB2312" w:cs="仿宋_GB2312"/>
                <w:sz w:val="20"/>
                <w:szCs w:val="20"/>
              </w:rPr>
            </w:pPr>
          </w:p>
        </w:tc>
      </w:tr>
      <w:tr w14:paraId="4BD2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7" w:hRule="atLeast"/>
        </w:trPr>
        <w:tc>
          <w:tcPr>
            <w:tcW w:w="611" w:type="dxa"/>
            <w:vAlign w:val="center"/>
          </w:tcPr>
          <w:p w14:paraId="2F32BB13">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226</w:t>
            </w:r>
          </w:p>
        </w:tc>
        <w:tc>
          <w:tcPr>
            <w:tcW w:w="555" w:type="dxa"/>
            <w:vAlign w:val="center"/>
          </w:tcPr>
          <w:p w14:paraId="35A54F74">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其他行政权力</w:t>
            </w:r>
          </w:p>
        </w:tc>
        <w:tc>
          <w:tcPr>
            <w:tcW w:w="784" w:type="dxa"/>
            <w:vAlign w:val="center"/>
          </w:tcPr>
          <w:p w14:paraId="2A835859">
            <w:pPr>
              <w:snapToGrid w:val="0"/>
              <w:spacing w:line="240" w:lineRule="atLeast"/>
              <w:jc w:val="center"/>
              <w:rPr>
                <w:rFonts w:ascii="仿宋_GB2312" w:hAnsi="仿宋_GB2312" w:eastAsia="仿宋_GB2312" w:cs="仿宋_GB2312"/>
                <w:sz w:val="20"/>
                <w:szCs w:val="20"/>
              </w:rPr>
            </w:pPr>
            <w:r>
              <w:rPr>
                <w:rFonts w:hint="eastAsia" w:eastAsia="仿宋_GB2312" w:cs="宋体"/>
                <w:snapToGrid w:val="0"/>
                <w:color w:val="000000"/>
                <w:sz w:val="20"/>
                <w:szCs w:val="20"/>
              </w:rPr>
              <w:t>无偿收回闲置的非农建设占用耕地的审批</w:t>
            </w:r>
          </w:p>
        </w:tc>
        <w:tc>
          <w:tcPr>
            <w:tcW w:w="660" w:type="dxa"/>
            <w:vAlign w:val="center"/>
          </w:tcPr>
          <w:p w14:paraId="31FDB18D">
            <w:pPr>
              <w:snapToGrid w:val="0"/>
              <w:spacing w:line="240" w:lineRule="atLeast"/>
              <w:jc w:val="center"/>
              <w:rPr>
                <w:rFonts w:ascii="仿宋_GB2312" w:hAnsi="仿宋_GB2312" w:eastAsia="仿宋_GB2312" w:cs="仿宋_GB2312"/>
                <w:sz w:val="20"/>
                <w:szCs w:val="20"/>
              </w:rPr>
            </w:pPr>
          </w:p>
        </w:tc>
        <w:tc>
          <w:tcPr>
            <w:tcW w:w="615" w:type="dxa"/>
            <w:vAlign w:val="center"/>
          </w:tcPr>
          <w:p w14:paraId="56595775">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玉林市自然资源局</w:t>
            </w:r>
          </w:p>
        </w:tc>
        <w:tc>
          <w:tcPr>
            <w:tcW w:w="1110" w:type="dxa"/>
            <w:vAlign w:val="center"/>
          </w:tcPr>
          <w:p w14:paraId="0C254BAB">
            <w:pPr>
              <w:snapToGrid w:val="0"/>
              <w:spacing w:line="240" w:lineRule="atLeast"/>
              <w:jc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行政审批办公室</w:t>
            </w:r>
          </w:p>
        </w:tc>
        <w:tc>
          <w:tcPr>
            <w:tcW w:w="4605" w:type="dxa"/>
            <w:vAlign w:val="center"/>
          </w:tcPr>
          <w:p w14:paraId="6C0F0F38">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法律】《中华人民共和国土地管理法》第三十八条：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省、自治区、直辖市的规定缴纳闲置费；连续二年未使用的，经原批准机关批准，由县级以上人民政府无偿收回用地单位的土地使用权；该幅土地原为农民集体所有的，应当交由原农村集体经济组织恢复耕种。</w:t>
            </w:r>
          </w:p>
          <w:p w14:paraId="51D00326">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在城市规划区范围内，以出让方式取得土地使用权进行房地产开发的闲置土地，依照《中华人民共和国城市房地产管理法》的有关规定办理。</w:t>
            </w:r>
          </w:p>
        </w:tc>
        <w:tc>
          <w:tcPr>
            <w:tcW w:w="3585" w:type="dxa"/>
            <w:vAlign w:val="center"/>
          </w:tcPr>
          <w:p w14:paraId="1E21A48A">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1.受理阶段责任：审查审批材料是否齐全。备案材料不全的，通知申请机构一次性补齐。</w:t>
            </w:r>
          </w:p>
          <w:p w14:paraId="497A420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2.审核责任：依法对申请材料进行审查，提出审查意见。</w:t>
            </w:r>
          </w:p>
          <w:p w14:paraId="7DFE8424">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3.决定责任：作出书面决定,法定告知。</w:t>
            </w:r>
          </w:p>
          <w:p w14:paraId="28D33AC9">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4．其他法律法规规章文件规定应履行的责任。</w:t>
            </w:r>
          </w:p>
        </w:tc>
        <w:tc>
          <w:tcPr>
            <w:tcW w:w="9515" w:type="dxa"/>
            <w:vAlign w:val="center"/>
          </w:tcPr>
          <w:p w14:paraId="3D4BC507">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14:paraId="5FD6ED83">
            <w:pPr>
              <w:widowControl/>
              <w:adjustRightInd w:val="0"/>
              <w:snapToGrid w:val="0"/>
              <w:spacing w:line="299" w:lineRule="exact"/>
              <w:ind w:firstLine="400" w:firstLineChars="200"/>
              <w:rPr>
                <w:rFonts w:eastAsia="仿宋_GB2312"/>
                <w:snapToGrid w:val="0"/>
                <w:color w:val="000000"/>
                <w:sz w:val="20"/>
                <w:szCs w:val="20"/>
              </w:rPr>
            </w:pPr>
            <w:r>
              <w:rPr>
                <w:rFonts w:hint="eastAsia" w:eastAsia="仿宋_GB2312"/>
                <w:snapToGrid w:val="0"/>
                <w:color w:val="000000"/>
                <w:sz w:val="20"/>
                <w:szCs w:val="20"/>
              </w:rPr>
              <w:t>2.【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14:paraId="5870956D">
            <w:pPr>
              <w:snapToGrid w:val="0"/>
              <w:spacing w:line="240" w:lineRule="atLeast"/>
              <w:ind w:firstLine="400" w:firstLineChars="200"/>
              <w:rPr>
                <w:rFonts w:ascii="仿宋_GB2312" w:hAnsi="仿宋_GB2312" w:eastAsia="仿宋_GB2312" w:cs="仿宋_GB2312"/>
                <w:sz w:val="20"/>
                <w:szCs w:val="20"/>
              </w:rPr>
            </w:pPr>
            <w:r>
              <w:rPr>
                <w:rFonts w:hint="eastAsia" w:eastAsia="仿宋_GB2312"/>
                <w:snapToGrid w:val="0"/>
                <w:color w:val="000000"/>
                <w:sz w:val="20"/>
                <w:szCs w:val="20"/>
              </w:rPr>
              <w:t>3.【法律】《中华人民共和国行政许可法》第三十七条：行政机关对行政许可申请进行审.查后，除了当场作出行政许可决定的，应在法定期限内按照规定程序作出行政许可决定。</w:t>
            </w:r>
          </w:p>
        </w:tc>
        <w:tc>
          <w:tcPr>
            <w:tcW w:w="330" w:type="dxa"/>
            <w:vAlign w:val="center"/>
          </w:tcPr>
          <w:p w14:paraId="0A914F22">
            <w:pPr>
              <w:snapToGrid w:val="0"/>
              <w:spacing w:line="240" w:lineRule="atLeast"/>
              <w:jc w:val="center"/>
              <w:rPr>
                <w:rFonts w:ascii="仿宋_GB2312" w:hAnsi="仿宋_GB2312" w:eastAsia="仿宋_GB2312" w:cs="仿宋_GB2312"/>
                <w:sz w:val="20"/>
                <w:szCs w:val="20"/>
              </w:rPr>
            </w:pPr>
          </w:p>
        </w:tc>
      </w:tr>
    </w:tbl>
    <w:p w14:paraId="12899097"/>
    <w:sectPr>
      <w:footerReference r:id="rId3" w:type="default"/>
      <w:pgSz w:w="23811" w:h="16838" w:orient="landscape"/>
      <w:pgMar w:top="782" w:right="1157" w:bottom="782" w:left="11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29CF1">
    <w:pPr>
      <w:pStyle w:val="2"/>
    </w:pPr>
    <w:r>
      <mc:AlternateContent>
        <mc:Choice Requires="wps">
          <w:drawing>
            <wp:anchor distT="0" distB="0" distL="114300" distR="114300" simplePos="0" relativeHeight="251659264" behindDoc="0" locked="0" layoutInCell="1" allowOverlap="1">
              <wp:simplePos x="0" y="0"/>
              <wp:positionH relativeFrom="margin">
                <wp:posOffset>6786245</wp:posOffset>
              </wp:positionH>
              <wp:positionV relativeFrom="paragraph">
                <wp:posOffset>228600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47E65">
                          <w:pPr>
                            <w:pStyle w:val="2"/>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41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534.35pt;margin-top:18pt;height:144pt;width:144pt;mso-position-horizontal-relative:margin;mso-wrap-style:none;z-index:251659264;mso-width-relative:page;mso-height-relative:page;" filled="f" stroked="f" coordsize="21600,21600" o:gfxdata="UEsDBAoAAAAAAIdO4kAAAAAAAAAAAAAAAAAEAAAAZHJzL1BLAwQUAAAACACHTuJAmtJTCtcAAAAM&#10;AQAADwAAAGRycy9kb3ducmV2LnhtbE2PzU7DMBCE70i8g7VI3KjdpoQqjVOJinBEouHA0Y23ScA/&#10;ke2m4e3ZnuA4s59mZ8rdbA2bMMTBOwnLhQCGrvV6cJ2Ej6Z+2ACLSTmtjHco4Qcj7Krbm1IV2l/c&#10;O06H1DEKcbFQEvqUxoLz2PZoVVz4ER3dTj5YlUiGjuugLhRuDV8JkXOrBkcfejXivsf2+3C2EvZ1&#10;04QJYzCf+FpnX2/Pa3yZpby/W4otsIRz+oPhWp+qQ0Wdjv7sdGSGtMg3T8RKyHIadSWyx5ycIzmr&#10;tQBelfz/iOoXUEsDBBQAAAAIAIdO4kCM1w58KgIAAFUEAAAOAAAAZHJzL2Uyb0RvYy54bWytVM2O&#10;0zAQviPxDpbvNGkRqypquipbFSFV7EoFcXYdp4nkP9luk/IA8AacuHDnufocfM5PFy0c9sDFGXvG&#10;38z3zTiL21ZJchLO10bndDpJKRGam6LWh5x++rh5NafEB6YLJo0WOT0LT2+XL18sGpuJmamMLIQj&#10;ANE+a2xOqxBsliSeV0IxPzFWaDhL4xQL2LpDUjjWAF3JZJamN0ljXGGd4cJ7nK57Jx0Q3XMATVnW&#10;XKwNPyqhQ4/qhGQBlHxVW0+XXbVlKXi4L0svApE5BdPQrUgCex/XZLlg2cExW9V8KIE9p4QnnBSr&#10;NZJeodYsMHJ09V9QqubOeFOGCTcq6Yl0ioDFNH2iza5iVnRcILW3V9H9/4PlH04PjtQFJoESzRQa&#10;fvn+7fLj1+XnVzKN8jTWZ4jaWcSF9q1pY+hw7nEYWbelU/ELPgR+iHu+iivaQHi8NJ/N5ylcHL5x&#10;A5zk8bp1PrwTRpFo5NShe52o7LT1oQ8dQ2I2bTa1lDhnmdSkyenN6zdpd+HqAbjUyBFJ9MVGK7T7&#10;dmCwN8UZxJzpJ8NbvqmRfMt8eGAOo4CC8VjCPZZSGiQxg0VJZdyXf53HeHQIXkoajFZONV4SJfK9&#10;RucAGEbDjcZ+NPRR3RnMKrqBWjoTF1yQo1k6oz7jBa1iDriY5siU0zCad6Efb7xALlarLgizZlnY&#10;6p3lEToq5u3qGCBgp2sUpVdi0ArT1nVmeBlxnP/cd1GPf4P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rSUwrXAAAADAEAAA8AAAAAAAAAAQAgAAAAIgAAAGRycy9kb3ducmV2LnhtbFBLAQIUABQA&#10;AAAIAIdO4kCM1w58KgIAAFUEAAAOAAAAAAAAAAEAIAAAACYBAABkcnMvZTJvRG9jLnhtbFBLBQYA&#10;AAAABgAGAFkBAADCBQAAAAA=&#10;">
              <v:fill on="f" focussize="0,0"/>
              <v:stroke on="f" weight="0.5pt"/>
              <v:imagedata o:title=""/>
              <o:lock v:ext="edit" aspectratio="f"/>
              <v:textbox inset="0mm,0mm,0mm,0mm" style="mso-fit-shape-to-text:t;">
                <w:txbxContent>
                  <w:p w14:paraId="78447E65">
                    <w:pPr>
                      <w:pStyle w:val="2"/>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41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45"/>
    <w:rsid w:val="000B7945"/>
    <w:rsid w:val="00121353"/>
    <w:rsid w:val="00243553"/>
    <w:rsid w:val="00603166"/>
    <w:rsid w:val="009E3A1D"/>
    <w:rsid w:val="01911D0E"/>
    <w:rsid w:val="08726BB2"/>
    <w:rsid w:val="08EB30F3"/>
    <w:rsid w:val="10945C61"/>
    <w:rsid w:val="10CD7582"/>
    <w:rsid w:val="117535E3"/>
    <w:rsid w:val="11AE4CBE"/>
    <w:rsid w:val="14B35C59"/>
    <w:rsid w:val="17AC6222"/>
    <w:rsid w:val="18356D99"/>
    <w:rsid w:val="189F7A56"/>
    <w:rsid w:val="1AA068B6"/>
    <w:rsid w:val="1BC21057"/>
    <w:rsid w:val="1C3342CD"/>
    <w:rsid w:val="1D7D0CE4"/>
    <w:rsid w:val="1E795B39"/>
    <w:rsid w:val="1FBA5176"/>
    <w:rsid w:val="25BD4A76"/>
    <w:rsid w:val="26DE174A"/>
    <w:rsid w:val="27C517EE"/>
    <w:rsid w:val="28D15A0A"/>
    <w:rsid w:val="2A827AD4"/>
    <w:rsid w:val="2CD05FD9"/>
    <w:rsid w:val="2D452C20"/>
    <w:rsid w:val="2E1001F4"/>
    <w:rsid w:val="2EEF6C5E"/>
    <w:rsid w:val="2F096E7C"/>
    <w:rsid w:val="2FA958D0"/>
    <w:rsid w:val="2FC91983"/>
    <w:rsid w:val="30C70D34"/>
    <w:rsid w:val="311F752F"/>
    <w:rsid w:val="31D07E79"/>
    <w:rsid w:val="34D348B8"/>
    <w:rsid w:val="34E81911"/>
    <w:rsid w:val="35135FB0"/>
    <w:rsid w:val="37291397"/>
    <w:rsid w:val="392043CB"/>
    <w:rsid w:val="3A8A3037"/>
    <w:rsid w:val="3B1B2DC0"/>
    <w:rsid w:val="3C0E35B2"/>
    <w:rsid w:val="3D174696"/>
    <w:rsid w:val="3E5C147A"/>
    <w:rsid w:val="3E8F4051"/>
    <w:rsid w:val="3F9C12A3"/>
    <w:rsid w:val="40A75E90"/>
    <w:rsid w:val="410E283E"/>
    <w:rsid w:val="412E1653"/>
    <w:rsid w:val="41957F8D"/>
    <w:rsid w:val="41D20A03"/>
    <w:rsid w:val="429C26CE"/>
    <w:rsid w:val="42BB7828"/>
    <w:rsid w:val="44673668"/>
    <w:rsid w:val="45E5262D"/>
    <w:rsid w:val="47ED5082"/>
    <w:rsid w:val="48B73E3A"/>
    <w:rsid w:val="48F6174F"/>
    <w:rsid w:val="4933371F"/>
    <w:rsid w:val="49BC3F58"/>
    <w:rsid w:val="4AAD4767"/>
    <w:rsid w:val="4C9227C6"/>
    <w:rsid w:val="4F002D03"/>
    <w:rsid w:val="504F7091"/>
    <w:rsid w:val="50EA1387"/>
    <w:rsid w:val="51204302"/>
    <w:rsid w:val="51722440"/>
    <w:rsid w:val="53032E1B"/>
    <w:rsid w:val="54537C17"/>
    <w:rsid w:val="5576645F"/>
    <w:rsid w:val="56695772"/>
    <w:rsid w:val="56A63783"/>
    <w:rsid w:val="572617C1"/>
    <w:rsid w:val="58483691"/>
    <w:rsid w:val="58E524A0"/>
    <w:rsid w:val="59B14918"/>
    <w:rsid w:val="59BF43C4"/>
    <w:rsid w:val="5BA20C44"/>
    <w:rsid w:val="5BB56CBC"/>
    <w:rsid w:val="5C5345AF"/>
    <w:rsid w:val="5CB169DD"/>
    <w:rsid w:val="5D537A94"/>
    <w:rsid w:val="5F507772"/>
    <w:rsid w:val="607977E8"/>
    <w:rsid w:val="64CA2D32"/>
    <w:rsid w:val="66846F11"/>
    <w:rsid w:val="66F82AAA"/>
    <w:rsid w:val="676123CB"/>
    <w:rsid w:val="67ED70C3"/>
    <w:rsid w:val="68A65864"/>
    <w:rsid w:val="6D9B170F"/>
    <w:rsid w:val="6E414AA0"/>
    <w:rsid w:val="6E697C6D"/>
    <w:rsid w:val="6EA62978"/>
    <w:rsid w:val="71E43796"/>
    <w:rsid w:val="7486266F"/>
    <w:rsid w:val="764112E9"/>
    <w:rsid w:val="76705E46"/>
    <w:rsid w:val="767C1CFA"/>
    <w:rsid w:val="76A952ED"/>
    <w:rsid w:val="770E18B7"/>
    <w:rsid w:val="78924692"/>
    <w:rsid w:val="78E9198C"/>
    <w:rsid w:val="7CEA11B2"/>
    <w:rsid w:val="7E01551A"/>
    <w:rsid w:val="7FB54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微软用户</Company>
  <Pages>223</Pages>
  <Words>23221</Words>
  <Characters>23575</Characters>
  <Lines>4470</Lines>
  <Paragraphs>1258</Paragraphs>
  <TotalTime>37</TotalTime>
  <ScaleCrop>false</ScaleCrop>
  <LinksUpToDate>false</LinksUpToDate>
  <CharactersWithSpaces>23655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2022-02-18T02:54:00Z</dcterms:created>
  <dc:creator>HP</dc:creator>
  <cp:lastModifiedBy>肖海珍</cp:lastModifiedBy>
  <dcterms:modified xsi:type="dcterms:W3CDTF">2025-05-20T10:13:15Z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DD16CCC2B0BE451F9A8D3D13098BD07D</vt:lpwstr>
  </property>
  <property fmtid="{D5CDD505-2E9C-101B-9397-08002B2CF9AE}" pid="4" name="KSOTemplateDocerSaveRecord">
    <vt:lpwstr>eyJoZGlkIjoiMGYzY2VhY2FhYjRkMjc0NzE5MGE2NjA1ZWFjYTk0M2YiLCJ1c2VySWQiOiIxMzc5MDYzMDA4In0=</vt:lpwstr>
  </property>
</Properties>
</file>