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2D0A2">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玉林市自然资源局2022年动态调整后的权责清单</w:t>
      </w:r>
    </w:p>
    <w:p w14:paraId="3F7624E8">
      <w:pPr>
        <w:jc w:val="center"/>
        <w:rPr>
          <w:rFonts w:ascii="方正小标宋简体" w:hAnsi="方正小标宋简体" w:eastAsia="方正小标宋简体" w:cs="方正小标宋简体"/>
          <w:sz w:val="28"/>
          <w:szCs w:val="28"/>
        </w:rPr>
      </w:pPr>
    </w:p>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582"/>
        <w:gridCol w:w="3060"/>
        <w:gridCol w:w="8373"/>
        <w:gridCol w:w="330"/>
      </w:tblGrid>
      <w:tr w14:paraId="26D3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2FF09C82">
            <w:pPr>
              <w:snapToGrid w:val="0"/>
              <w:spacing w:line="240" w:lineRule="atLeast"/>
              <w:rPr>
                <w:rFonts w:asciiTheme="majorEastAsia" w:hAnsiTheme="majorEastAsia" w:eastAsiaTheme="majorEastAsia" w:cstheme="majorEastAsia"/>
                <w:sz w:val="20"/>
                <w:szCs w:val="20"/>
              </w:rPr>
            </w:pPr>
          </w:p>
          <w:p w14:paraId="5FB92ECA">
            <w:pPr>
              <w:snapToGrid w:val="0"/>
              <w:spacing w:line="240" w:lineRule="atLeast"/>
              <w:rPr>
                <w:rFonts w:asciiTheme="majorEastAsia" w:hAnsiTheme="majorEastAsia" w:eastAsiaTheme="majorEastAsia" w:cstheme="majorEastAsia"/>
                <w:sz w:val="20"/>
                <w:szCs w:val="20"/>
              </w:rPr>
            </w:pPr>
          </w:p>
          <w:p w14:paraId="3490C863">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12516400">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04B67267">
            <w:pPr>
              <w:spacing w:line="240" w:lineRule="atLeast"/>
              <w:rPr>
                <w:rFonts w:asciiTheme="majorEastAsia" w:hAnsiTheme="majorEastAsia" w:eastAsiaTheme="majorEastAsia" w:cstheme="majorEastAsia"/>
                <w:sz w:val="20"/>
                <w:szCs w:val="20"/>
              </w:rPr>
            </w:pPr>
          </w:p>
          <w:p w14:paraId="068198C4">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612" w:type="dxa"/>
            <w:gridSpan w:val="5"/>
          </w:tcPr>
          <w:p w14:paraId="2A6ED7B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433" w:type="dxa"/>
            <w:gridSpan w:val="2"/>
          </w:tcPr>
          <w:p w14:paraId="28517CD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792C1E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93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76" w:type="dxa"/>
            <w:vMerge w:val="continue"/>
          </w:tcPr>
          <w:p w14:paraId="383BD8EE">
            <w:pPr>
              <w:spacing w:line="240" w:lineRule="atLeast"/>
              <w:jc w:val="left"/>
              <w:rPr>
                <w:rFonts w:ascii="仿宋_GB2312" w:hAnsi="仿宋_GB2312" w:eastAsia="仿宋_GB2312" w:cs="仿宋_GB2312"/>
                <w:sz w:val="20"/>
                <w:szCs w:val="20"/>
              </w:rPr>
            </w:pPr>
          </w:p>
        </w:tc>
        <w:tc>
          <w:tcPr>
            <w:tcW w:w="619" w:type="dxa"/>
            <w:vMerge w:val="continue"/>
          </w:tcPr>
          <w:p w14:paraId="594CA7F7">
            <w:pPr>
              <w:spacing w:line="240" w:lineRule="atLeast"/>
              <w:jc w:val="left"/>
              <w:rPr>
                <w:rFonts w:ascii="仿宋_GB2312" w:hAnsi="仿宋_GB2312" w:eastAsia="仿宋_GB2312" w:cs="仿宋_GB2312"/>
                <w:sz w:val="20"/>
                <w:szCs w:val="20"/>
              </w:rPr>
            </w:pPr>
          </w:p>
        </w:tc>
        <w:tc>
          <w:tcPr>
            <w:tcW w:w="645" w:type="dxa"/>
            <w:vAlign w:val="center"/>
          </w:tcPr>
          <w:p w14:paraId="10B6B851">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64909507">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3040B66E">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1B2FE535">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582" w:type="dxa"/>
            <w:vAlign w:val="center"/>
          </w:tcPr>
          <w:p w14:paraId="6A377A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060" w:type="dxa"/>
            <w:vAlign w:val="center"/>
          </w:tcPr>
          <w:p w14:paraId="632924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F1AA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373" w:type="dxa"/>
            <w:vAlign w:val="center"/>
          </w:tcPr>
          <w:p w14:paraId="439348A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B2C5B10">
            <w:pPr>
              <w:spacing w:line="240" w:lineRule="atLeast"/>
              <w:jc w:val="left"/>
              <w:rPr>
                <w:rFonts w:ascii="仿宋_GB2312" w:hAnsi="仿宋_GB2312" w:eastAsia="仿宋_GB2312" w:cs="仿宋_GB2312"/>
                <w:sz w:val="20"/>
                <w:szCs w:val="20"/>
              </w:rPr>
            </w:pPr>
          </w:p>
        </w:tc>
      </w:tr>
      <w:tr w14:paraId="5209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2" w:hRule="atLeast"/>
        </w:trPr>
        <w:tc>
          <w:tcPr>
            <w:tcW w:w="376" w:type="dxa"/>
            <w:vAlign w:val="center"/>
          </w:tcPr>
          <w:p w14:paraId="174CB1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619" w:type="dxa"/>
            <w:vAlign w:val="center"/>
          </w:tcPr>
          <w:p w14:paraId="467074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FE27C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2A7DC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1FDEB8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7D7F8FC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建设项目用地预审与选址意见书核发</w:t>
            </w:r>
          </w:p>
        </w:tc>
        <w:tc>
          <w:tcPr>
            <w:tcW w:w="600" w:type="dxa"/>
            <w:vAlign w:val="center"/>
          </w:tcPr>
          <w:p w14:paraId="6EB9B86B">
            <w:pPr>
              <w:snapToGrid w:val="0"/>
              <w:spacing w:line="240" w:lineRule="atLeast"/>
              <w:jc w:val="center"/>
              <w:rPr>
                <w:rFonts w:ascii="仿宋_GB2312" w:hAnsi="仿宋_GB2312" w:eastAsia="仿宋_GB2312" w:cs="仿宋_GB2312"/>
                <w:sz w:val="20"/>
                <w:szCs w:val="20"/>
              </w:rPr>
            </w:pPr>
          </w:p>
        </w:tc>
        <w:tc>
          <w:tcPr>
            <w:tcW w:w="660" w:type="dxa"/>
            <w:vAlign w:val="center"/>
          </w:tcPr>
          <w:p w14:paraId="637A27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1FF3AD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582" w:type="dxa"/>
            <w:vAlign w:val="center"/>
          </w:tcPr>
          <w:p w14:paraId="1B44FEA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法律】《中华人民共和国土地管理法》第五十二条：建设项目可行性研究论证时，自然资源主管部门可以根据土地利用总体规划、土地利用年度计划和建设用地标准，对建设用地有关事项进行审查，并提出意见。</w:t>
            </w:r>
          </w:p>
          <w:p w14:paraId="10EBAB1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行政法规】《中华人民共和国土地管理法实施条例》（1998年国务院令第256号公布，2021年国务院令第743号第三次修订）第二十四条第一款：（一）建设项目批准、核准前或者备案前后，由自然资源主管部门对建设项目用地事项进行审查，提出建设项目用地预审意见。</w:t>
            </w:r>
          </w:p>
          <w:p w14:paraId="2507A4D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部门规章】《建设项目用地预审管理办法》（2001年国土资源部令第7号发布，2016年国土资源部令第68号第二次修正）第四条：需人民政府或有批准权的人民政府发展和改革等部门审批的建设项目，由该人民政府的国土资源主管部门预审。需核准和备案的建设项目，由与核准、备案机关同级的国土资源主管部门预审。</w:t>
            </w:r>
          </w:p>
          <w:p w14:paraId="49A97B0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城乡规划法》第三十六条：按照国家规定需要有关部门批准或者核准的建设项目，以划拨方式提供国有土地使用权的，建设单位在报送有关部门批准或者核准前，应当向城乡规划主管部门申请核发选址意见书。</w:t>
            </w:r>
          </w:p>
          <w:p w14:paraId="6AF0B59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二十四条：按照国家规定需要有关部门批准或者核准的建设项目，以划拨方式提供国有土地使用权的，建设单位应当在报送有关部门审批、核准前，持以下材料向审批、核准部门的同级城乡规划主管部门申请核发选址意见书。</w:t>
            </w:r>
          </w:p>
        </w:tc>
        <w:tc>
          <w:tcPr>
            <w:tcW w:w="3060" w:type="dxa"/>
            <w:vAlign w:val="center"/>
          </w:tcPr>
          <w:p w14:paraId="6526DFDD">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1.受理责任：公示应当提交的材料；一次性告知补正材料；依法受理或不予受理（不予受理应当告知理由）。</w:t>
            </w:r>
          </w:p>
          <w:p w14:paraId="3A37F90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2.审查责任：材料审核；提出审查意见。    </w:t>
            </w:r>
          </w:p>
          <w:p w14:paraId="55E85C4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3.决定责任：根据审查意见，作出预审决定，制作预审文件。作出行政许可或者不予行政许可决定，法定告知（不予许可的应当书面告知理由） 。</w:t>
            </w:r>
          </w:p>
          <w:p w14:paraId="6757BA8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4.送达责任：制发预审文件和准予许可的，制发许可证书或批件，送达并信息公开。</w:t>
            </w:r>
          </w:p>
          <w:p w14:paraId="0031231D">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5.事后监管环节责任：建立实施监督检查的运行机制和管理制度，开展定期和不定期检查，依法采取相关处置措施。</w:t>
            </w:r>
          </w:p>
          <w:p w14:paraId="78AA7C1E">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6.其他法律法规规章文件规定应履行的责任。</w:t>
            </w:r>
          </w:p>
        </w:tc>
        <w:tc>
          <w:tcPr>
            <w:tcW w:w="8373" w:type="dxa"/>
            <w:vAlign w:val="center"/>
          </w:tcPr>
          <w:p w14:paraId="2C8591C8">
            <w:pPr>
              <w:snapToGrid w:val="0"/>
              <w:spacing w:line="240" w:lineRule="atLeast"/>
              <w:rPr>
                <w:rFonts w:ascii="仿宋_GB2312" w:hAnsi="仿宋_GB2312" w:eastAsia="仿宋_GB2312" w:cs="仿宋_GB2312"/>
                <w:sz w:val="20"/>
                <w:szCs w:val="20"/>
              </w:rPr>
            </w:pPr>
          </w:p>
          <w:p w14:paraId="521B8290">
            <w:pPr>
              <w:snapToGrid w:val="0"/>
              <w:spacing w:line="240" w:lineRule="atLeast"/>
              <w:rPr>
                <w:rFonts w:ascii="仿宋_GB2312" w:hAnsi="仿宋_GB2312" w:eastAsia="仿宋_GB2312" w:cs="仿宋_GB2312"/>
                <w:sz w:val="20"/>
                <w:szCs w:val="20"/>
              </w:rPr>
            </w:pPr>
          </w:p>
          <w:p w14:paraId="7EB86176">
            <w:pPr>
              <w:snapToGrid w:val="0"/>
              <w:spacing w:line="240" w:lineRule="atLeast"/>
              <w:rPr>
                <w:rFonts w:ascii="仿宋_GB2312" w:hAnsi="仿宋_GB2312" w:eastAsia="仿宋_GB2312" w:cs="仿宋_GB2312"/>
                <w:sz w:val="20"/>
                <w:szCs w:val="20"/>
              </w:rPr>
            </w:pPr>
          </w:p>
          <w:p w14:paraId="79647DE0">
            <w:pPr>
              <w:snapToGrid w:val="0"/>
              <w:spacing w:line="240" w:lineRule="atLeast"/>
              <w:rPr>
                <w:rFonts w:ascii="仿宋_GB2312" w:hAnsi="仿宋_GB2312" w:eastAsia="仿宋_GB2312" w:cs="仿宋_GB2312"/>
                <w:sz w:val="20"/>
                <w:szCs w:val="20"/>
              </w:rPr>
            </w:pPr>
          </w:p>
          <w:p w14:paraId="388EDB0C">
            <w:pPr>
              <w:snapToGrid w:val="0"/>
              <w:spacing w:line="240" w:lineRule="atLeast"/>
              <w:rPr>
                <w:rFonts w:ascii="仿宋_GB2312" w:hAnsi="仿宋_GB2312" w:eastAsia="仿宋_GB2312" w:cs="仿宋_GB2312"/>
                <w:sz w:val="20"/>
                <w:szCs w:val="20"/>
              </w:rPr>
            </w:pPr>
          </w:p>
          <w:p w14:paraId="0F2ABA5E">
            <w:pPr>
              <w:snapToGrid w:val="0"/>
              <w:spacing w:line="240" w:lineRule="atLeast"/>
              <w:rPr>
                <w:rFonts w:ascii="仿宋_GB2312" w:hAnsi="仿宋_GB2312" w:eastAsia="仿宋_GB2312" w:cs="仿宋_GB2312"/>
                <w:sz w:val="20"/>
                <w:szCs w:val="20"/>
              </w:rPr>
            </w:pPr>
          </w:p>
          <w:p w14:paraId="5EA2D89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24EE8FD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49979A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BDEB7A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6A8C1CE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14:paraId="2F9724F6">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p w14:paraId="370B7430">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6.【法律】《中华人民共和国城乡规划法》第五十七条城乡规划主管部门违反本法规定作出行政许可的，上级人民政府城乡规划主管部门有权责令其撤销或者直接撤销该行政许可。因撤销行政许可给当事人合法权益造成损失的，应当依法给予赔偿。</w:t>
            </w:r>
          </w:p>
          <w:p w14:paraId="7D436540">
            <w:pPr>
              <w:snapToGrid w:val="0"/>
              <w:spacing w:line="240" w:lineRule="atLeast"/>
              <w:ind w:firstLine="400" w:firstLineChars="200"/>
              <w:rPr>
                <w:rFonts w:ascii="仿宋_GB2312" w:hAnsi="仿宋_GB2312" w:eastAsia="仿宋_GB2312" w:cs="仿宋_GB2312"/>
                <w:sz w:val="20"/>
                <w:szCs w:val="20"/>
              </w:rPr>
            </w:pPr>
          </w:p>
          <w:p w14:paraId="04152646">
            <w:pPr>
              <w:snapToGrid w:val="0"/>
              <w:spacing w:line="240" w:lineRule="atLeast"/>
              <w:ind w:firstLine="400" w:firstLineChars="200"/>
              <w:rPr>
                <w:rFonts w:ascii="仿宋_GB2312" w:hAnsi="仿宋_GB2312" w:eastAsia="仿宋_GB2312" w:cs="仿宋_GB2312"/>
                <w:sz w:val="20"/>
                <w:szCs w:val="20"/>
              </w:rPr>
            </w:pPr>
          </w:p>
          <w:p w14:paraId="6AAB77E0">
            <w:pPr>
              <w:snapToGrid w:val="0"/>
              <w:spacing w:line="240" w:lineRule="atLeast"/>
              <w:rPr>
                <w:rFonts w:ascii="仿宋_GB2312" w:hAnsi="仿宋_GB2312" w:eastAsia="仿宋_GB2312" w:cs="仿宋_GB2312"/>
                <w:sz w:val="20"/>
                <w:szCs w:val="20"/>
              </w:rPr>
            </w:pPr>
          </w:p>
          <w:p w14:paraId="38D42580">
            <w:pPr>
              <w:snapToGrid w:val="0"/>
              <w:spacing w:line="240" w:lineRule="atLeast"/>
              <w:ind w:firstLine="400" w:firstLineChars="200"/>
              <w:rPr>
                <w:rFonts w:ascii="仿宋_GB2312" w:hAnsi="仿宋_GB2312" w:eastAsia="仿宋_GB2312" w:cs="仿宋_GB2312"/>
                <w:sz w:val="20"/>
                <w:szCs w:val="20"/>
              </w:rPr>
            </w:pPr>
          </w:p>
          <w:p w14:paraId="205AEA62">
            <w:pPr>
              <w:snapToGrid w:val="0"/>
              <w:spacing w:line="240" w:lineRule="atLeast"/>
              <w:ind w:firstLine="400" w:firstLineChars="200"/>
              <w:rPr>
                <w:rFonts w:ascii="仿宋_GB2312" w:hAnsi="仿宋_GB2312" w:eastAsia="仿宋_GB2312" w:cs="仿宋_GB2312"/>
                <w:sz w:val="20"/>
                <w:szCs w:val="20"/>
              </w:rPr>
            </w:pPr>
          </w:p>
          <w:p w14:paraId="2E731C98">
            <w:pPr>
              <w:snapToGrid w:val="0"/>
              <w:spacing w:line="240" w:lineRule="atLeast"/>
              <w:ind w:firstLine="400" w:firstLineChars="200"/>
              <w:rPr>
                <w:rFonts w:ascii="仿宋_GB2312" w:hAnsi="仿宋_GB2312" w:eastAsia="仿宋_GB2312" w:cs="仿宋_GB2312"/>
                <w:sz w:val="20"/>
                <w:szCs w:val="20"/>
              </w:rPr>
            </w:pPr>
          </w:p>
          <w:p w14:paraId="680E1EAA">
            <w:pPr>
              <w:snapToGrid w:val="0"/>
              <w:spacing w:line="240" w:lineRule="atLeast"/>
              <w:rPr>
                <w:rFonts w:ascii="仿宋_GB2312" w:hAnsi="仿宋_GB2312" w:eastAsia="仿宋_GB2312" w:cs="仿宋_GB2312"/>
                <w:sz w:val="20"/>
                <w:szCs w:val="20"/>
              </w:rPr>
            </w:pPr>
          </w:p>
        </w:tc>
        <w:tc>
          <w:tcPr>
            <w:tcW w:w="330" w:type="dxa"/>
            <w:vAlign w:val="center"/>
          </w:tcPr>
          <w:p w14:paraId="25D716AB">
            <w:pPr>
              <w:snapToGrid w:val="0"/>
              <w:spacing w:line="240" w:lineRule="atLeast"/>
              <w:jc w:val="center"/>
              <w:rPr>
                <w:rFonts w:ascii="仿宋_GB2312" w:hAnsi="仿宋_GB2312" w:eastAsia="仿宋_GB2312" w:cs="仿宋_GB2312"/>
                <w:sz w:val="20"/>
                <w:szCs w:val="20"/>
              </w:rPr>
            </w:pPr>
          </w:p>
        </w:tc>
      </w:tr>
    </w:tbl>
    <w:p w14:paraId="74F2856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8667"/>
        <w:gridCol w:w="2895"/>
        <w:gridCol w:w="6453"/>
        <w:gridCol w:w="330"/>
      </w:tblGrid>
      <w:tr w14:paraId="59F0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643DD721">
            <w:pPr>
              <w:snapToGrid w:val="0"/>
              <w:spacing w:line="240" w:lineRule="atLeast"/>
              <w:rPr>
                <w:rFonts w:asciiTheme="majorEastAsia" w:hAnsiTheme="majorEastAsia" w:eastAsiaTheme="majorEastAsia" w:cstheme="majorEastAsia"/>
                <w:sz w:val="20"/>
                <w:szCs w:val="20"/>
              </w:rPr>
            </w:pPr>
          </w:p>
          <w:p w14:paraId="479364C1">
            <w:pPr>
              <w:snapToGrid w:val="0"/>
              <w:spacing w:line="240" w:lineRule="atLeast"/>
              <w:rPr>
                <w:rFonts w:asciiTheme="majorEastAsia" w:hAnsiTheme="majorEastAsia" w:eastAsiaTheme="majorEastAsia" w:cstheme="majorEastAsia"/>
                <w:sz w:val="20"/>
                <w:szCs w:val="20"/>
              </w:rPr>
            </w:pPr>
          </w:p>
          <w:p w14:paraId="50B887EA">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0CC3F810">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78EC5DDC">
            <w:pPr>
              <w:spacing w:line="240" w:lineRule="atLeast"/>
              <w:rPr>
                <w:rFonts w:asciiTheme="majorEastAsia" w:hAnsiTheme="majorEastAsia" w:eastAsiaTheme="majorEastAsia" w:cstheme="majorEastAsia"/>
                <w:sz w:val="20"/>
                <w:szCs w:val="20"/>
              </w:rPr>
            </w:pPr>
          </w:p>
          <w:p w14:paraId="159C2A8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11697" w:type="dxa"/>
            <w:gridSpan w:val="5"/>
          </w:tcPr>
          <w:p w14:paraId="717AAB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9348" w:type="dxa"/>
            <w:gridSpan w:val="2"/>
          </w:tcPr>
          <w:p w14:paraId="27B1FC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384D04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01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37E0641F">
            <w:pPr>
              <w:spacing w:line="240" w:lineRule="atLeast"/>
              <w:jc w:val="left"/>
              <w:rPr>
                <w:rFonts w:ascii="仿宋_GB2312" w:hAnsi="仿宋_GB2312" w:eastAsia="仿宋_GB2312" w:cs="仿宋_GB2312"/>
                <w:sz w:val="20"/>
                <w:szCs w:val="20"/>
              </w:rPr>
            </w:pPr>
          </w:p>
        </w:tc>
        <w:tc>
          <w:tcPr>
            <w:tcW w:w="619" w:type="dxa"/>
            <w:vMerge w:val="continue"/>
          </w:tcPr>
          <w:p w14:paraId="169FA33E">
            <w:pPr>
              <w:spacing w:line="240" w:lineRule="atLeast"/>
              <w:jc w:val="left"/>
              <w:rPr>
                <w:rFonts w:ascii="仿宋_GB2312" w:hAnsi="仿宋_GB2312" w:eastAsia="仿宋_GB2312" w:cs="仿宋_GB2312"/>
                <w:sz w:val="20"/>
                <w:szCs w:val="20"/>
              </w:rPr>
            </w:pPr>
          </w:p>
        </w:tc>
        <w:tc>
          <w:tcPr>
            <w:tcW w:w="645" w:type="dxa"/>
            <w:vAlign w:val="center"/>
          </w:tcPr>
          <w:p w14:paraId="240947B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7D062C20">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055A2350">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7ED4DDF7">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8667" w:type="dxa"/>
            <w:vAlign w:val="center"/>
          </w:tcPr>
          <w:p w14:paraId="03D6482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2895" w:type="dxa"/>
            <w:vAlign w:val="center"/>
          </w:tcPr>
          <w:p w14:paraId="05C3BE9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621C9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453" w:type="dxa"/>
            <w:vAlign w:val="center"/>
          </w:tcPr>
          <w:p w14:paraId="3E864C0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7296DDF">
            <w:pPr>
              <w:spacing w:line="240" w:lineRule="atLeast"/>
              <w:jc w:val="left"/>
              <w:rPr>
                <w:rFonts w:ascii="仿宋_GB2312" w:hAnsi="仿宋_GB2312" w:eastAsia="仿宋_GB2312" w:cs="仿宋_GB2312"/>
                <w:sz w:val="20"/>
                <w:szCs w:val="20"/>
              </w:rPr>
            </w:pPr>
          </w:p>
        </w:tc>
      </w:tr>
      <w:tr w14:paraId="287C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376" w:type="dxa"/>
            <w:vAlign w:val="center"/>
          </w:tcPr>
          <w:p w14:paraId="4C5C70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619" w:type="dxa"/>
            <w:vAlign w:val="center"/>
          </w:tcPr>
          <w:p w14:paraId="6873D1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1A2D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D6DD4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8F15D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33313B8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开采矿产资源审批</w:t>
            </w:r>
          </w:p>
        </w:tc>
        <w:tc>
          <w:tcPr>
            <w:tcW w:w="600" w:type="dxa"/>
            <w:vAlign w:val="center"/>
          </w:tcPr>
          <w:p w14:paraId="3EC157D3">
            <w:pPr>
              <w:snapToGrid w:val="0"/>
              <w:spacing w:line="240" w:lineRule="atLeast"/>
              <w:jc w:val="center"/>
              <w:rPr>
                <w:rFonts w:ascii="仿宋_GB2312" w:hAnsi="仿宋_GB2312" w:eastAsia="仿宋_GB2312" w:cs="仿宋_GB2312"/>
                <w:sz w:val="20"/>
                <w:szCs w:val="20"/>
              </w:rPr>
            </w:pPr>
          </w:p>
        </w:tc>
        <w:tc>
          <w:tcPr>
            <w:tcW w:w="660" w:type="dxa"/>
            <w:vAlign w:val="center"/>
          </w:tcPr>
          <w:p w14:paraId="502A7C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5EA4B5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8667" w:type="dxa"/>
            <w:vAlign w:val="center"/>
          </w:tcPr>
          <w:p w14:paraId="21F9C0B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1.【法律】《中华人民共和国矿产资源法》第三条第三款 ： 勘查、开采矿产资源，必须依法分别申请、经批准取得探矿权、采矿权，并办理登记；但是，已经依法申请取得采矿权的矿山企业在划定的矿区范围内为本企业的生产而进行的勘查除外。</w:t>
            </w:r>
          </w:p>
          <w:p w14:paraId="7D47101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 除按下列规定可以转让外，探矿权、采矿权不得转让：……（二）已取得采矿权的矿山企业，因企业合并、分立，与他人合资、合作经营，或者因企业资产出售以及有其他变更企业资产产权的情形而需要变更采矿权主体的，经依法批准可以将采矿权转让他人采矿。前款规定的具体办法和施行步骤由国务院规定。</w:t>
            </w:r>
          </w:p>
          <w:p w14:paraId="0D724F9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第十八条：矿山企业变更矿区范围，必须报请原审批机关批准，并报请原颁发采矿许可证的机关重新核发采矿许可证。</w:t>
            </w:r>
          </w:p>
          <w:p w14:paraId="6B06DF6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第二十一条：关闭矿山，必须提出矿山闭坑报告及有关采掘工程、</w:t>
            </w:r>
            <w:r>
              <w:rPr>
                <w:rFonts w:hint="eastAsia" w:eastAsia="仿宋_GB2312"/>
                <w:snapToGrid w:val="0"/>
                <w:color w:val="000000"/>
                <w:sz w:val="20"/>
                <w:szCs w:val="20"/>
                <w:lang w:eastAsia="zh-CN"/>
              </w:rPr>
              <w:t>安全隐患</w:t>
            </w:r>
            <w:r>
              <w:rPr>
                <w:rFonts w:hint="eastAsia" w:eastAsia="仿宋_GB2312"/>
                <w:snapToGrid w:val="0"/>
                <w:color w:val="000000"/>
                <w:sz w:val="20"/>
                <w:szCs w:val="20"/>
              </w:rPr>
              <w:t>、土地复垦利用、环境保护的资料，并按照国家规定报请审查批准。</w:t>
            </w:r>
          </w:p>
          <w:p w14:paraId="6F7E606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矿产资源开采登记管理办法》（1998年国务院令第241号公布，2014年国务院令第653号修订）第三条第三款：开采下列矿产资源，由省、自治区、直辖市人民政府地质矿产主管部门审批登记，颁发采矿许可证：（一）本条第一款、第二款规定以外的矿产储量规模中型以上的矿产资源；（二）国务院地质矿产主管部门授权省、自治区、直辖市人民政府地质矿产主管部门审批登记的矿产资源。</w:t>
            </w:r>
          </w:p>
          <w:p w14:paraId="5386C5E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第四款：开采本条第一款、第二款、第三款规定以外的矿产资源，由县级以上地方人民政府负责地质矿产管理工作的部门，按照省、自治区、直辖市人民代表大会常务委员会制定的管理办法审批登记，颁发采矿许可证。</w:t>
            </w:r>
          </w:p>
          <w:p w14:paraId="1989C9F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第三条第五款：矿区范围跨县级以上行政区域的，由所涉及行政区域的共同上一级登记管理机关审批登记，颁发采矿许可证。</w:t>
            </w:r>
          </w:p>
          <w:p w14:paraId="2E53F60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第四条：采矿权申请人在提出采矿权申请前，应当根据经批准的地质勘查储量报告，向登记管理机关申请划定矿区范围。需要申请立项，设立矿山企业的，应当根据划定的矿区范围，按照国家规定办理有关手续。</w:t>
            </w:r>
          </w:p>
          <w:p w14:paraId="605F276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登记管理机关办理延续登记手续。</w:t>
            </w:r>
          </w:p>
          <w:p w14:paraId="13A0953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五条：有下列情形之一的，采矿权人应当在采矿许可证有效期内，向登记管理机关申请变更登记：（一）变更矿区范围的；（二）变更主要开采矿种的；（三）变更开采方式的；（四）变更矿山企业名称的；（五）经依法批准转让采矿权的。</w:t>
            </w:r>
          </w:p>
          <w:p w14:paraId="41EBD60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第十六条：采矿权人在采矿许可证有效期内或有效期届满，停办、关闭矿山的，应当自决定停办或关闭矿山之日起30日内，向原发证机关申请办理采矿许可证注销登记手续。</w:t>
            </w:r>
          </w:p>
          <w:p w14:paraId="439C4C2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3.【行政法规】《探矿权采矿权转让管理办法》（1998年国务院令第242号公布，2014年国务院令第653号修订）第四条： 国务院地质矿产主管部门和省、自治区、直辖市人民政府地质矿产主管部门是探矿权、采矿权转让的审批管理机关。国务院地质矿产主管部门负责由其审批发证的探矿权、采矿权转让的审批。省、自治区、直辖市人民政府地质矿产主管部门负责本条第二款规定以外的探矿权、采矿权转让的审批。</w:t>
            </w:r>
          </w:p>
          <w:p w14:paraId="1FB74D6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十八条： 开采矿产资源，应当向县级以上地质矿产主管部门办理采矿登记手续，取得采矿许可证……</w:t>
            </w:r>
          </w:p>
          <w:p w14:paraId="086B7DA6">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第二十一条第一款：采矿权申请人在提出采矿权申请前，应当持经批准的勘查报告或者地质资料，按照本条例第二十条规定的权限向地质矿产主管部门申请划定矿区范围。</w:t>
            </w:r>
          </w:p>
          <w:p w14:paraId="4574A9C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六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原发证机关办理延续登记手续。发证机关应在接到报告之日起15日内审批完毕。</w:t>
            </w:r>
          </w:p>
          <w:p w14:paraId="2CB18BD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第二十七条：在采矿许可证有效期内，有下列情形之一的，采矿权人应当在变更前向地质矿产主管部门申请办</w:t>
            </w:r>
            <w:r>
              <w:rPr>
                <w:rFonts w:hint="eastAsia" w:eastAsia="仿宋_GB2312"/>
                <w:snapToGrid w:val="0"/>
                <w:color w:val="000000"/>
                <w:spacing w:val="-2"/>
                <w:sz w:val="20"/>
                <w:szCs w:val="20"/>
              </w:rPr>
              <w:t>理变更登记：（一）变更矿区范围的；（二）变更主要开采矿种的；（三）变更开采方式的；（四）变更矿山企业名称的；（五）经依法批准转让采矿权的；（六）变更生产规模的。</w:t>
            </w:r>
          </w:p>
          <w:p w14:paraId="71833DC5">
            <w:pPr>
              <w:snapToGrid w:val="0"/>
              <w:spacing w:line="240" w:lineRule="exact"/>
              <w:rPr>
                <w:rFonts w:ascii="仿宋_GB2312" w:hAnsi="仿宋_GB2312" w:eastAsia="仿宋_GB2312" w:cs="仿宋_GB2312"/>
                <w:sz w:val="20"/>
                <w:szCs w:val="20"/>
              </w:rPr>
            </w:pPr>
            <w:r>
              <w:rPr>
                <w:rFonts w:hint="eastAsia" w:eastAsia="仿宋_GB2312"/>
                <w:snapToGrid w:val="0"/>
                <w:color w:val="000000"/>
                <w:sz w:val="20"/>
                <w:szCs w:val="20"/>
              </w:rPr>
              <w:t>第二十八条：采矿权人在采矿许可证有效期内或者有</w:t>
            </w:r>
            <w:r>
              <w:rPr>
                <w:rFonts w:hint="eastAsia" w:eastAsia="仿宋_GB2312"/>
                <w:snapToGrid w:val="0"/>
                <w:color w:val="000000"/>
                <w:spacing w:val="-2"/>
                <w:sz w:val="20"/>
                <w:szCs w:val="20"/>
              </w:rPr>
              <w:t>效期届满，停办、关闭矿山的，应当自决定停办或者关闭矿山之日起30日内，向原发证机关申请办理采矿许可证注销登记手续。发证机关应在接到报告之日起15日内审批完毕。</w:t>
            </w:r>
          </w:p>
        </w:tc>
        <w:tc>
          <w:tcPr>
            <w:tcW w:w="2895" w:type="dxa"/>
            <w:vAlign w:val="center"/>
          </w:tcPr>
          <w:p w14:paraId="59F91EB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1.受理责任：公示依法应当提交的材料，一次性告知补正材料，依法受理或不予受理（不予受理应当告知理由）。</w:t>
            </w:r>
          </w:p>
          <w:p w14:paraId="157EA97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2.审查责任：对申请材料进行审查、提出审查意见。</w:t>
            </w:r>
          </w:p>
          <w:p w14:paraId="038F986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3.决定责任：作出行政许可或者不予行政许可决定，法定告知（不予批准的要说明理由）。</w:t>
            </w:r>
          </w:p>
          <w:p w14:paraId="3270F4E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4．送达责任：依法制作采矿许可证、采矿登记通知等材料并送达。</w:t>
            </w:r>
          </w:p>
          <w:p w14:paraId="59AB466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前事后监管责任：（1）采矿权延续登记前置相关材料组织审查等工作；（2）涉及的矿业权价出让收益评估管理有关工作；（3）取得采矿许可证后开展定期和不定期检查，根据检查情况，依法采取相关处置措施。</w:t>
            </w:r>
          </w:p>
          <w:p w14:paraId="5604A6BE">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6453" w:type="dxa"/>
            <w:vAlign w:val="center"/>
          </w:tcPr>
          <w:p w14:paraId="5737410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319A26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DCA77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E3565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行政法规】《矿产资源开采登记管理办法》（1998年国务院令第241号公布，2014年国务院令第653号修订）第六条第一款：登记管理机关应当自收到申请之日起40日内，作出准予登记或不予登记的决定，并通知采矿权申请人。</w:t>
            </w:r>
          </w:p>
          <w:p w14:paraId="38658A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第二十五条：审批管理机关工作人员徇私舞弊、滥用职权、玩忽职守、构成犯罪的，依法追究刑事责任；尚不构成犯罪的，依法给予行政处分。</w:t>
            </w:r>
          </w:p>
          <w:p w14:paraId="28C1016A">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5．【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八条：县级以上地质矿产主管部门负责本行政区域内矿产资源勘查、开采的监督管理工作，有关主管部门协助同级地质矿产主管部门做好矿产资源勘查、开采的监督管理工作。</w:t>
            </w:r>
          </w:p>
        </w:tc>
        <w:tc>
          <w:tcPr>
            <w:tcW w:w="330" w:type="dxa"/>
            <w:vAlign w:val="center"/>
          </w:tcPr>
          <w:p w14:paraId="53BF0A85">
            <w:pPr>
              <w:snapToGrid w:val="0"/>
              <w:spacing w:line="240" w:lineRule="atLeast"/>
              <w:jc w:val="center"/>
              <w:rPr>
                <w:rFonts w:ascii="仿宋_GB2312" w:hAnsi="仿宋_GB2312" w:eastAsia="仿宋_GB2312" w:cs="仿宋_GB2312"/>
                <w:sz w:val="20"/>
                <w:szCs w:val="20"/>
              </w:rPr>
            </w:pPr>
          </w:p>
        </w:tc>
      </w:tr>
    </w:tbl>
    <w:p w14:paraId="74FBB8C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072"/>
        <w:gridCol w:w="4245"/>
        <w:gridCol w:w="7698"/>
        <w:gridCol w:w="330"/>
      </w:tblGrid>
      <w:tr w14:paraId="6ED7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365575C0">
            <w:pPr>
              <w:snapToGrid w:val="0"/>
              <w:spacing w:line="240" w:lineRule="atLeast"/>
              <w:rPr>
                <w:rFonts w:asciiTheme="majorEastAsia" w:hAnsiTheme="majorEastAsia" w:eastAsiaTheme="majorEastAsia" w:cstheme="majorEastAsia"/>
                <w:sz w:val="20"/>
                <w:szCs w:val="20"/>
              </w:rPr>
            </w:pPr>
          </w:p>
          <w:p w14:paraId="7DF79E85">
            <w:pPr>
              <w:snapToGrid w:val="0"/>
              <w:spacing w:line="240" w:lineRule="atLeast"/>
              <w:rPr>
                <w:rFonts w:asciiTheme="majorEastAsia" w:hAnsiTheme="majorEastAsia" w:eastAsiaTheme="majorEastAsia" w:cstheme="majorEastAsia"/>
                <w:sz w:val="20"/>
                <w:szCs w:val="20"/>
              </w:rPr>
            </w:pPr>
          </w:p>
          <w:p w14:paraId="22011BC3">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7D3C406C">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4810C015">
            <w:pPr>
              <w:spacing w:line="240" w:lineRule="atLeast"/>
              <w:rPr>
                <w:rFonts w:asciiTheme="majorEastAsia" w:hAnsiTheme="majorEastAsia" w:eastAsiaTheme="majorEastAsia" w:cstheme="majorEastAsia"/>
                <w:sz w:val="20"/>
                <w:szCs w:val="20"/>
              </w:rPr>
            </w:pPr>
          </w:p>
          <w:p w14:paraId="57922DE9">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02" w:type="dxa"/>
            <w:gridSpan w:val="5"/>
          </w:tcPr>
          <w:p w14:paraId="14CE8B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56B83CA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A1DD9A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3C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1CD98398">
            <w:pPr>
              <w:spacing w:line="240" w:lineRule="atLeast"/>
              <w:jc w:val="left"/>
              <w:rPr>
                <w:rFonts w:ascii="仿宋_GB2312" w:hAnsi="仿宋_GB2312" w:eastAsia="仿宋_GB2312" w:cs="仿宋_GB2312"/>
                <w:sz w:val="20"/>
                <w:szCs w:val="20"/>
              </w:rPr>
            </w:pPr>
          </w:p>
        </w:tc>
        <w:tc>
          <w:tcPr>
            <w:tcW w:w="619" w:type="dxa"/>
            <w:vMerge w:val="continue"/>
          </w:tcPr>
          <w:p w14:paraId="1A4BC981">
            <w:pPr>
              <w:spacing w:line="240" w:lineRule="atLeast"/>
              <w:jc w:val="left"/>
              <w:rPr>
                <w:rFonts w:ascii="仿宋_GB2312" w:hAnsi="仿宋_GB2312" w:eastAsia="仿宋_GB2312" w:cs="仿宋_GB2312"/>
                <w:sz w:val="20"/>
                <w:szCs w:val="20"/>
              </w:rPr>
            </w:pPr>
          </w:p>
        </w:tc>
        <w:tc>
          <w:tcPr>
            <w:tcW w:w="645" w:type="dxa"/>
            <w:vAlign w:val="center"/>
          </w:tcPr>
          <w:p w14:paraId="1EEC76A7">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6F4D0D84">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1C92EEDE">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1A552A8E">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72" w:type="dxa"/>
            <w:vAlign w:val="center"/>
          </w:tcPr>
          <w:p w14:paraId="48C97C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45" w:type="dxa"/>
            <w:vAlign w:val="center"/>
          </w:tcPr>
          <w:p w14:paraId="36DA5B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BDB38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98" w:type="dxa"/>
            <w:vAlign w:val="center"/>
          </w:tcPr>
          <w:p w14:paraId="2EB15E98">
            <w:pPr>
              <w:snapToGrid w:val="0"/>
              <w:spacing w:line="240" w:lineRule="atLeast"/>
              <w:ind w:firstLine="200" w:firstLineChars="100"/>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74C3439">
            <w:pPr>
              <w:spacing w:line="240" w:lineRule="atLeast"/>
              <w:jc w:val="left"/>
              <w:rPr>
                <w:rFonts w:ascii="仿宋_GB2312" w:hAnsi="仿宋_GB2312" w:eastAsia="仿宋_GB2312" w:cs="仿宋_GB2312"/>
                <w:sz w:val="20"/>
                <w:szCs w:val="20"/>
              </w:rPr>
            </w:pPr>
          </w:p>
        </w:tc>
      </w:tr>
      <w:tr w14:paraId="0ECD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2" w:hRule="atLeast"/>
        </w:trPr>
        <w:tc>
          <w:tcPr>
            <w:tcW w:w="376" w:type="dxa"/>
            <w:vAlign w:val="center"/>
          </w:tcPr>
          <w:p w14:paraId="7499B0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619" w:type="dxa"/>
            <w:vAlign w:val="center"/>
          </w:tcPr>
          <w:p w14:paraId="6017DC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C2E54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24416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11791E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39BE83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乡（镇）村企业使用集体建设用地审批</w:t>
            </w:r>
          </w:p>
        </w:tc>
        <w:tc>
          <w:tcPr>
            <w:tcW w:w="600" w:type="dxa"/>
            <w:vAlign w:val="center"/>
          </w:tcPr>
          <w:p w14:paraId="7CEE8EE6">
            <w:pPr>
              <w:snapToGrid w:val="0"/>
              <w:spacing w:line="240" w:lineRule="atLeast"/>
              <w:jc w:val="center"/>
              <w:rPr>
                <w:rFonts w:ascii="仿宋_GB2312" w:hAnsi="仿宋_GB2312" w:eastAsia="仿宋_GB2312" w:cs="仿宋_GB2312"/>
                <w:sz w:val="20"/>
                <w:szCs w:val="20"/>
              </w:rPr>
            </w:pPr>
          </w:p>
        </w:tc>
        <w:tc>
          <w:tcPr>
            <w:tcW w:w="660" w:type="dxa"/>
            <w:vAlign w:val="center"/>
          </w:tcPr>
          <w:p w14:paraId="07BC0D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79F2EF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72" w:type="dxa"/>
            <w:vAlign w:val="center"/>
          </w:tcPr>
          <w:p w14:paraId="50986A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1.【法律】《中华人民共和国土地管理法》第六十条第一款 ：农村集体经济组织使用乡（镇）土地利用总体规划确定的建设用地兴办企业或者与其他单位、个人以土地使用权入股、联营等形式共同举办企业的，应当持有关批准文件，向县级以上地方人民政府自然资源主管部门提出申请，按照省、自治区、直辖市规定的批准权限，由县级以上地方人民政府批准；其中，涉及占用农用地的，依照本法第四十四条的规定办理审批手续。</w:t>
            </w:r>
          </w:p>
          <w:p w14:paraId="1BFB70F7">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实施〈中华人民共和国土地管理法〉办法》（2001年7月29日广西壮族自治区第九届人民代表大会常务委员会第二十五次会议通过，自2001年9月1日起施行，2019年7月25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4245" w:type="dxa"/>
            <w:vAlign w:val="center"/>
          </w:tcPr>
          <w:p w14:paraId="5812BEA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19F6A8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43E9CB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3.送审责任：在法定期限内提出审核意见，上报市人民政府批准。</w:t>
            </w:r>
          </w:p>
          <w:p w14:paraId="5ED82A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4．送达责任：获市人民政府准予许可的，送达审批决定。</w:t>
            </w:r>
          </w:p>
          <w:p w14:paraId="303E972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07F142D5">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98" w:type="dxa"/>
            <w:vAlign w:val="center"/>
          </w:tcPr>
          <w:p w14:paraId="1CFA47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65E57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C9867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91F09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6D0EC5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1734AD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37304CA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190C994A">
            <w:pPr>
              <w:snapToGrid w:val="0"/>
              <w:spacing w:line="240" w:lineRule="atLeast"/>
              <w:jc w:val="center"/>
              <w:rPr>
                <w:rFonts w:ascii="仿宋_GB2312" w:hAnsi="仿宋_GB2312" w:eastAsia="仿宋_GB2312" w:cs="仿宋_GB2312"/>
                <w:sz w:val="20"/>
                <w:szCs w:val="20"/>
              </w:rPr>
            </w:pPr>
          </w:p>
        </w:tc>
      </w:tr>
    </w:tbl>
    <w:p w14:paraId="3760FF6B"/>
    <w:p w14:paraId="7311D069"/>
    <w:p w14:paraId="4F4CBED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087"/>
        <w:gridCol w:w="4260"/>
        <w:gridCol w:w="7668"/>
        <w:gridCol w:w="330"/>
      </w:tblGrid>
      <w:tr w14:paraId="74AB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13CCAC9C">
            <w:pPr>
              <w:snapToGrid w:val="0"/>
              <w:spacing w:line="240" w:lineRule="atLeast"/>
              <w:rPr>
                <w:rFonts w:asciiTheme="majorEastAsia" w:hAnsiTheme="majorEastAsia" w:eastAsiaTheme="majorEastAsia" w:cstheme="majorEastAsia"/>
                <w:sz w:val="20"/>
                <w:szCs w:val="20"/>
              </w:rPr>
            </w:pPr>
          </w:p>
          <w:p w14:paraId="1FB170C5">
            <w:pPr>
              <w:snapToGrid w:val="0"/>
              <w:spacing w:line="240" w:lineRule="atLeast"/>
              <w:rPr>
                <w:rFonts w:asciiTheme="majorEastAsia" w:hAnsiTheme="majorEastAsia" w:eastAsiaTheme="majorEastAsia" w:cstheme="majorEastAsia"/>
                <w:sz w:val="20"/>
                <w:szCs w:val="20"/>
              </w:rPr>
            </w:pPr>
          </w:p>
          <w:p w14:paraId="5C780A1D">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29D86780">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0876EC1C">
            <w:pPr>
              <w:spacing w:line="240" w:lineRule="atLeast"/>
              <w:rPr>
                <w:rFonts w:asciiTheme="majorEastAsia" w:hAnsiTheme="majorEastAsia" w:eastAsiaTheme="majorEastAsia" w:cstheme="majorEastAsia"/>
                <w:sz w:val="20"/>
                <w:szCs w:val="20"/>
              </w:rPr>
            </w:pPr>
          </w:p>
          <w:p w14:paraId="706CC9C5">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17" w:type="dxa"/>
            <w:gridSpan w:val="5"/>
          </w:tcPr>
          <w:p w14:paraId="671C4A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28" w:type="dxa"/>
            <w:gridSpan w:val="2"/>
          </w:tcPr>
          <w:p w14:paraId="5E568D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6376A4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F13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76935A86">
            <w:pPr>
              <w:spacing w:line="240" w:lineRule="atLeast"/>
              <w:jc w:val="left"/>
              <w:rPr>
                <w:rFonts w:ascii="仿宋_GB2312" w:hAnsi="仿宋_GB2312" w:eastAsia="仿宋_GB2312" w:cs="仿宋_GB2312"/>
                <w:sz w:val="20"/>
                <w:szCs w:val="20"/>
              </w:rPr>
            </w:pPr>
          </w:p>
        </w:tc>
        <w:tc>
          <w:tcPr>
            <w:tcW w:w="619" w:type="dxa"/>
            <w:vMerge w:val="continue"/>
          </w:tcPr>
          <w:p w14:paraId="2AA0DE3D">
            <w:pPr>
              <w:spacing w:line="240" w:lineRule="atLeast"/>
              <w:jc w:val="left"/>
              <w:rPr>
                <w:rFonts w:ascii="仿宋_GB2312" w:hAnsi="仿宋_GB2312" w:eastAsia="仿宋_GB2312" w:cs="仿宋_GB2312"/>
                <w:sz w:val="20"/>
                <w:szCs w:val="20"/>
              </w:rPr>
            </w:pPr>
          </w:p>
        </w:tc>
        <w:tc>
          <w:tcPr>
            <w:tcW w:w="645" w:type="dxa"/>
            <w:vAlign w:val="center"/>
          </w:tcPr>
          <w:p w14:paraId="15140191">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765F32EC">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51B3F8EE">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5B8DD02D">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87" w:type="dxa"/>
            <w:vAlign w:val="center"/>
          </w:tcPr>
          <w:p w14:paraId="280A6C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36C15C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0485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68" w:type="dxa"/>
            <w:vAlign w:val="center"/>
          </w:tcPr>
          <w:p w14:paraId="4E559ED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2D8D0BE">
            <w:pPr>
              <w:spacing w:line="240" w:lineRule="atLeast"/>
              <w:jc w:val="left"/>
              <w:rPr>
                <w:rFonts w:ascii="仿宋_GB2312" w:hAnsi="仿宋_GB2312" w:eastAsia="仿宋_GB2312" w:cs="仿宋_GB2312"/>
                <w:sz w:val="20"/>
                <w:szCs w:val="20"/>
              </w:rPr>
            </w:pPr>
          </w:p>
        </w:tc>
      </w:tr>
      <w:tr w14:paraId="30EC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376" w:type="dxa"/>
            <w:vAlign w:val="center"/>
          </w:tcPr>
          <w:p w14:paraId="7439E0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619" w:type="dxa"/>
            <w:vAlign w:val="center"/>
          </w:tcPr>
          <w:p w14:paraId="1B674F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7BDC2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EEDE5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102AA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4A3A0FD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乡（镇）村公共设施、公益事业使用集体建设用地审批</w:t>
            </w:r>
          </w:p>
        </w:tc>
        <w:tc>
          <w:tcPr>
            <w:tcW w:w="600" w:type="dxa"/>
            <w:vAlign w:val="center"/>
          </w:tcPr>
          <w:p w14:paraId="62F277A0">
            <w:pPr>
              <w:snapToGrid w:val="0"/>
              <w:spacing w:line="240" w:lineRule="atLeast"/>
              <w:jc w:val="center"/>
              <w:rPr>
                <w:rFonts w:ascii="仿宋_GB2312" w:hAnsi="仿宋_GB2312" w:eastAsia="仿宋_GB2312" w:cs="仿宋_GB2312"/>
                <w:sz w:val="20"/>
                <w:szCs w:val="20"/>
              </w:rPr>
            </w:pPr>
          </w:p>
        </w:tc>
        <w:tc>
          <w:tcPr>
            <w:tcW w:w="660" w:type="dxa"/>
            <w:vAlign w:val="center"/>
          </w:tcPr>
          <w:p w14:paraId="29467D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308C50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87" w:type="dxa"/>
            <w:vAlign w:val="center"/>
          </w:tcPr>
          <w:p w14:paraId="6EB9ACD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1.【法律】《中华人民共和国土地管理法》第六十一条：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p w14:paraId="511D6355">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2.【地方性法规】《广西壮族自治区实施〈中华人民共和国土地管理法〉办法》（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4260" w:type="dxa"/>
            <w:vAlign w:val="center"/>
          </w:tcPr>
          <w:p w14:paraId="46B9C45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1F9B7D9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63EA223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3.送审责任：在法定期限内提出审核意见，上报同级人民政府批准。</w:t>
            </w:r>
          </w:p>
          <w:p w14:paraId="7126EE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4．送达责任：获同级人民政府准予许可的，送达审批决定。</w:t>
            </w:r>
          </w:p>
          <w:p w14:paraId="3CB9F4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7CEA3AB9">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68" w:type="dxa"/>
            <w:vAlign w:val="center"/>
          </w:tcPr>
          <w:p w14:paraId="7A3FA5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77CDF7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7ED9C3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9CA94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8EAA5E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DDC002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052CF196">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4925627B">
            <w:pPr>
              <w:snapToGrid w:val="0"/>
              <w:spacing w:line="240" w:lineRule="atLeast"/>
              <w:jc w:val="center"/>
              <w:rPr>
                <w:rFonts w:ascii="仿宋_GB2312" w:hAnsi="仿宋_GB2312" w:eastAsia="仿宋_GB2312" w:cs="仿宋_GB2312"/>
                <w:sz w:val="20"/>
                <w:szCs w:val="20"/>
              </w:rPr>
            </w:pPr>
          </w:p>
        </w:tc>
      </w:tr>
    </w:tbl>
    <w:p w14:paraId="3F1D7D1B"/>
    <w:p w14:paraId="22CF5EBD"/>
    <w:p w14:paraId="5DCBD62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558"/>
        <w:gridCol w:w="645"/>
        <w:gridCol w:w="600"/>
        <w:gridCol w:w="660"/>
        <w:gridCol w:w="1125"/>
        <w:gridCol w:w="6087"/>
        <w:gridCol w:w="4260"/>
        <w:gridCol w:w="7668"/>
        <w:gridCol w:w="330"/>
      </w:tblGrid>
      <w:tr w14:paraId="2C77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37" w:type="dxa"/>
            <w:vMerge w:val="restart"/>
            <w:vAlign w:val="center"/>
          </w:tcPr>
          <w:p w14:paraId="767FC78E">
            <w:pPr>
              <w:snapToGrid w:val="0"/>
              <w:spacing w:line="240" w:lineRule="atLeast"/>
              <w:rPr>
                <w:rFonts w:asciiTheme="majorEastAsia" w:hAnsiTheme="majorEastAsia" w:eastAsiaTheme="majorEastAsia" w:cstheme="majorEastAsia"/>
                <w:sz w:val="20"/>
                <w:szCs w:val="20"/>
              </w:rPr>
            </w:pPr>
          </w:p>
          <w:p w14:paraId="5FD9CBA5">
            <w:pPr>
              <w:snapToGrid w:val="0"/>
              <w:spacing w:line="240" w:lineRule="atLeast"/>
              <w:rPr>
                <w:rFonts w:asciiTheme="majorEastAsia" w:hAnsiTheme="majorEastAsia" w:eastAsiaTheme="majorEastAsia" w:cstheme="majorEastAsia"/>
                <w:sz w:val="20"/>
                <w:szCs w:val="20"/>
              </w:rPr>
            </w:pPr>
          </w:p>
          <w:p w14:paraId="49BE119E">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4936E8F8">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558" w:type="dxa"/>
            <w:vMerge w:val="restart"/>
            <w:vAlign w:val="center"/>
          </w:tcPr>
          <w:p w14:paraId="09751458">
            <w:pPr>
              <w:spacing w:line="240" w:lineRule="atLeast"/>
              <w:rPr>
                <w:rFonts w:asciiTheme="majorEastAsia" w:hAnsiTheme="majorEastAsia" w:eastAsiaTheme="majorEastAsia" w:cstheme="majorEastAsia"/>
                <w:sz w:val="20"/>
                <w:szCs w:val="20"/>
              </w:rPr>
            </w:pPr>
          </w:p>
          <w:p w14:paraId="6B890D69">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17" w:type="dxa"/>
            <w:gridSpan w:val="5"/>
          </w:tcPr>
          <w:p w14:paraId="549536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28" w:type="dxa"/>
            <w:gridSpan w:val="2"/>
          </w:tcPr>
          <w:p w14:paraId="5A1C81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369FAD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D4E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437" w:type="dxa"/>
            <w:vMerge w:val="continue"/>
          </w:tcPr>
          <w:p w14:paraId="6C4FC5D6">
            <w:pPr>
              <w:spacing w:line="240" w:lineRule="atLeast"/>
              <w:jc w:val="left"/>
              <w:rPr>
                <w:rFonts w:ascii="仿宋_GB2312" w:hAnsi="仿宋_GB2312" w:eastAsia="仿宋_GB2312" w:cs="仿宋_GB2312"/>
                <w:sz w:val="20"/>
                <w:szCs w:val="20"/>
              </w:rPr>
            </w:pPr>
          </w:p>
        </w:tc>
        <w:tc>
          <w:tcPr>
            <w:tcW w:w="558" w:type="dxa"/>
            <w:vMerge w:val="continue"/>
          </w:tcPr>
          <w:p w14:paraId="51886D53">
            <w:pPr>
              <w:spacing w:line="240" w:lineRule="atLeast"/>
              <w:jc w:val="left"/>
              <w:rPr>
                <w:rFonts w:ascii="仿宋_GB2312" w:hAnsi="仿宋_GB2312" w:eastAsia="仿宋_GB2312" w:cs="仿宋_GB2312"/>
                <w:sz w:val="20"/>
                <w:szCs w:val="20"/>
              </w:rPr>
            </w:pPr>
          </w:p>
        </w:tc>
        <w:tc>
          <w:tcPr>
            <w:tcW w:w="645" w:type="dxa"/>
            <w:vAlign w:val="center"/>
          </w:tcPr>
          <w:p w14:paraId="196C873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6534E17F">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21D0B487">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1667D38D">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87" w:type="dxa"/>
            <w:vAlign w:val="center"/>
          </w:tcPr>
          <w:p w14:paraId="3DFA31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1E801BD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CF3A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68" w:type="dxa"/>
            <w:vAlign w:val="center"/>
          </w:tcPr>
          <w:p w14:paraId="16F9CDB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25ACED2">
            <w:pPr>
              <w:spacing w:line="240" w:lineRule="atLeast"/>
              <w:jc w:val="left"/>
              <w:rPr>
                <w:rFonts w:ascii="仿宋_GB2312" w:hAnsi="仿宋_GB2312" w:eastAsia="仿宋_GB2312" w:cs="仿宋_GB2312"/>
                <w:sz w:val="20"/>
                <w:szCs w:val="20"/>
              </w:rPr>
            </w:pPr>
          </w:p>
        </w:tc>
      </w:tr>
      <w:tr w14:paraId="1655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437" w:type="dxa"/>
            <w:vAlign w:val="center"/>
          </w:tcPr>
          <w:p w14:paraId="1FAACE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558" w:type="dxa"/>
            <w:vAlign w:val="center"/>
          </w:tcPr>
          <w:p w14:paraId="02B9C3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7DB58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C9773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43F495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171ED48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临时用地审批</w:t>
            </w:r>
          </w:p>
        </w:tc>
        <w:tc>
          <w:tcPr>
            <w:tcW w:w="600" w:type="dxa"/>
            <w:vAlign w:val="center"/>
          </w:tcPr>
          <w:p w14:paraId="36270C7F">
            <w:pPr>
              <w:snapToGrid w:val="0"/>
              <w:spacing w:line="240" w:lineRule="atLeast"/>
              <w:jc w:val="center"/>
              <w:rPr>
                <w:rFonts w:ascii="仿宋_GB2312" w:hAnsi="仿宋_GB2312" w:eastAsia="仿宋_GB2312" w:cs="仿宋_GB2312"/>
                <w:sz w:val="20"/>
                <w:szCs w:val="20"/>
              </w:rPr>
            </w:pPr>
          </w:p>
        </w:tc>
        <w:tc>
          <w:tcPr>
            <w:tcW w:w="660" w:type="dxa"/>
            <w:vAlign w:val="center"/>
          </w:tcPr>
          <w:p w14:paraId="39FDA3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4BF8B7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87" w:type="dxa"/>
            <w:vAlign w:val="center"/>
          </w:tcPr>
          <w:p w14:paraId="4CA172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14:paraId="33CD3EB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临时使用土地的使用者应当按照临时使用土地合同约定的用途使用土地，并不得修建永久性建筑物。</w:t>
            </w:r>
          </w:p>
          <w:p w14:paraId="51E257C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临时使用土地期限一般不超过二年。</w:t>
            </w:r>
          </w:p>
          <w:p w14:paraId="1B15002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中华人民共和国土地管理法〉办法》（2001年7月29日广西壮族自治区第九届人民代表大会常务委员会第二十五次会议通过，自2001年9月1日起施行，2019年7月25日修正）第四十八条： 因地质勘查、建设项目施工及其他临时设施需要临时使用国有土地或者集体土地的，应当按照下列权限办理审批手续：</w:t>
            </w:r>
          </w:p>
          <w:p w14:paraId="56FA42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（一）临时使用基本农田以外的耕地的，由设区的市人民政府自然资源行政主管部门批准；</w:t>
            </w:r>
          </w:p>
          <w:p w14:paraId="7BA39CE3">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（二）临时使用不涉及占用耕地的，由县级人民政府自然资源行政主管部门批准。</w:t>
            </w:r>
          </w:p>
        </w:tc>
        <w:tc>
          <w:tcPr>
            <w:tcW w:w="4260" w:type="dxa"/>
            <w:vAlign w:val="center"/>
          </w:tcPr>
          <w:p w14:paraId="18997BA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F0D99C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0781DB3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42B6F1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6119840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20181095">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68" w:type="dxa"/>
            <w:vAlign w:val="center"/>
          </w:tcPr>
          <w:p w14:paraId="5DC2CE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084B5E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D2C251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3FF7E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BE7E28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B94CA9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4—1.【法律】《中华人民共和国行政许可法》第四十四条：行政机关作出准予行政许可的决定，应当自作出决定之日起十日内向申请人颁发、送达行政许可证件，或者加贴标签、加盖检验、检测、检疫印章。</w:t>
            </w:r>
          </w:p>
          <w:p w14:paraId="08F97D03">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6821E297">
            <w:pPr>
              <w:snapToGrid w:val="0"/>
              <w:spacing w:line="240" w:lineRule="atLeast"/>
              <w:jc w:val="center"/>
              <w:rPr>
                <w:rFonts w:ascii="仿宋_GB2312" w:hAnsi="仿宋_GB2312" w:eastAsia="仿宋_GB2312" w:cs="仿宋_GB2312"/>
                <w:sz w:val="20"/>
                <w:szCs w:val="20"/>
              </w:rPr>
            </w:pPr>
          </w:p>
        </w:tc>
      </w:tr>
    </w:tbl>
    <w:p w14:paraId="58559DAD"/>
    <w:p w14:paraId="31AFB0B7"/>
    <w:p w14:paraId="34ED7AD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102"/>
        <w:gridCol w:w="4260"/>
        <w:gridCol w:w="7653"/>
        <w:gridCol w:w="330"/>
      </w:tblGrid>
      <w:tr w14:paraId="28C2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BA1EC26">
            <w:pPr>
              <w:snapToGrid w:val="0"/>
              <w:spacing w:line="240" w:lineRule="atLeast"/>
              <w:jc w:val="left"/>
              <w:rPr>
                <w:rFonts w:asciiTheme="majorEastAsia" w:hAnsiTheme="majorEastAsia" w:eastAsiaTheme="majorEastAsia" w:cstheme="majorEastAsia"/>
                <w:spacing w:val="-23"/>
                <w:sz w:val="20"/>
                <w:szCs w:val="20"/>
              </w:rPr>
            </w:pPr>
          </w:p>
          <w:p w14:paraId="1E240231">
            <w:pPr>
              <w:snapToGrid w:val="0"/>
              <w:spacing w:line="240" w:lineRule="atLeast"/>
              <w:jc w:val="left"/>
              <w:rPr>
                <w:rFonts w:asciiTheme="majorEastAsia" w:hAnsiTheme="majorEastAsia" w:eastAsiaTheme="majorEastAsia" w:cstheme="majorEastAsia"/>
                <w:spacing w:val="-23"/>
                <w:sz w:val="20"/>
                <w:szCs w:val="20"/>
              </w:rPr>
            </w:pPr>
          </w:p>
          <w:p w14:paraId="53DDFD4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2E67375">
            <w:pPr>
              <w:spacing w:line="240" w:lineRule="atLeast"/>
              <w:rPr>
                <w:rFonts w:asciiTheme="majorEastAsia" w:hAnsiTheme="majorEastAsia" w:eastAsiaTheme="majorEastAsia" w:cstheme="majorEastAsia"/>
                <w:spacing w:val="-20"/>
                <w:sz w:val="20"/>
                <w:szCs w:val="20"/>
              </w:rPr>
            </w:pPr>
          </w:p>
          <w:p w14:paraId="7F57375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61" w:type="dxa"/>
            <w:gridSpan w:val="5"/>
          </w:tcPr>
          <w:p w14:paraId="0816B67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13" w:type="dxa"/>
            <w:gridSpan w:val="2"/>
          </w:tcPr>
          <w:p w14:paraId="50E2FB1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E6821E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66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B4585A4">
            <w:pPr>
              <w:spacing w:line="240" w:lineRule="atLeast"/>
              <w:jc w:val="left"/>
              <w:rPr>
                <w:rFonts w:ascii="仿宋_GB2312" w:hAnsi="仿宋_GB2312" w:eastAsia="仿宋_GB2312" w:cs="仿宋_GB2312"/>
                <w:sz w:val="20"/>
                <w:szCs w:val="20"/>
              </w:rPr>
            </w:pPr>
          </w:p>
        </w:tc>
        <w:tc>
          <w:tcPr>
            <w:tcW w:w="555" w:type="dxa"/>
            <w:vMerge w:val="continue"/>
          </w:tcPr>
          <w:p w14:paraId="047E7610">
            <w:pPr>
              <w:spacing w:line="240" w:lineRule="atLeast"/>
              <w:jc w:val="left"/>
              <w:rPr>
                <w:rFonts w:ascii="仿宋_GB2312" w:hAnsi="仿宋_GB2312" w:eastAsia="仿宋_GB2312" w:cs="仿宋_GB2312"/>
                <w:sz w:val="20"/>
                <w:szCs w:val="20"/>
              </w:rPr>
            </w:pPr>
          </w:p>
        </w:tc>
        <w:tc>
          <w:tcPr>
            <w:tcW w:w="600" w:type="dxa"/>
            <w:vAlign w:val="center"/>
          </w:tcPr>
          <w:p w14:paraId="73966F41">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6A57D6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BA4BF5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350DB2F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102" w:type="dxa"/>
            <w:vAlign w:val="center"/>
          </w:tcPr>
          <w:p w14:paraId="2314F7C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7D1A72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61FB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53" w:type="dxa"/>
            <w:vAlign w:val="center"/>
          </w:tcPr>
          <w:p w14:paraId="4DA1792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8D65774">
            <w:pPr>
              <w:spacing w:line="240" w:lineRule="atLeast"/>
              <w:jc w:val="left"/>
              <w:rPr>
                <w:rFonts w:ascii="仿宋_GB2312" w:hAnsi="仿宋_GB2312" w:eastAsia="仿宋_GB2312" w:cs="仿宋_GB2312"/>
                <w:sz w:val="20"/>
                <w:szCs w:val="20"/>
              </w:rPr>
            </w:pPr>
          </w:p>
        </w:tc>
      </w:tr>
      <w:tr w14:paraId="571D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1C555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555" w:type="dxa"/>
            <w:vAlign w:val="center"/>
          </w:tcPr>
          <w:p w14:paraId="41DB08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F2EC5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6827D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2530FB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ACFEC9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开发未确定使用权的国有荒山、荒地、荒滩从事生产审查</w:t>
            </w:r>
          </w:p>
        </w:tc>
        <w:tc>
          <w:tcPr>
            <w:tcW w:w="645" w:type="dxa"/>
            <w:vAlign w:val="center"/>
          </w:tcPr>
          <w:p w14:paraId="465D38A4">
            <w:pPr>
              <w:snapToGrid w:val="0"/>
              <w:spacing w:line="240" w:lineRule="atLeast"/>
              <w:jc w:val="center"/>
              <w:rPr>
                <w:rFonts w:ascii="仿宋_GB2312" w:hAnsi="仿宋_GB2312" w:eastAsia="仿宋_GB2312" w:cs="仿宋_GB2312"/>
                <w:sz w:val="20"/>
                <w:szCs w:val="20"/>
              </w:rPr>
            </w:pPr>
          </w:p>
        </w:tc>
        <w:tc>
          <w:tcPr>
            <w:tcW w:w="585" w:type="dxa"/>
            <w:vAlign w:val="center"/>
          </w:tcPr>
          <w:p w14:paraId="24DBAD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603542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02" w:type="dxa"/>
            <w:vAlign w:val="center"/>
          </w:tcPr>
          <w:p w14:paraId="33022E5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四十一条：开发未确定使用权的国有荒山、荒地、荒滩从事种植业、林业、畜牧业、渔业生产的，经县级以上人民政府依法批准，可以确定给开发单位或者个人长期使用。</w:t>
            </w:r>
          </w:p>
          <w:p w14:paraId="648CC1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2021年7月第三次修订）第九条：禁止任何单位和个人在国土空间规划确定的禁止开垦的范围内从事土地开发活动。按照国土空间规划，开发未确定土地使用权的国有荒山、荒地、荒滩从事种植业、林业、畜牧业、渔业生产的，应当向土地所在地的县级以上地方人民政府自然资源主管部门提出申请，按照省、自治区、直辖市规定的权限，由县级以上地方人民政府批准。</w:t>
            </w:r>
          </w:p>
          <w:p w14:paraId="510EA11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 【地方性法规】《广西壮族自治区实施〈中华人民共和国土地管理法〉办法》（2001年7月29日广西壮族自治区第九届人民代表大会常务委员会第二十五次会议通过，2019年7月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w:t>
            </w:r>
          </w:p>
          <w:p w14:paraId="77B6B47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（一）一次性开发不超过50公顷的，由县（市）人民政府批准；</w:t>
            </w:r>
          </w:p>
          <w:p w14:paraId="50ED3837">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（二）一次性开发超过50公顷的，由设区的市人民政府批准。</w:t>
            </w:r>
          </w:p>
        </w:tc>
        <w:tc>
          <w:tcPr>
            <w:tcW w:w="4260" w:type="dxa"/>
            <w:vAlign w:val="center"/>
          </w:tcPr>
          <w:p w14:paraId="669D0C4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53CC8FB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448758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3.送审责任：在法定期限内提出审核意见，上报同级人民政府批准。</w:t>
            </w:r>
          </w:p>
          <w:p w14:paraId="6CD4C7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4．送达责任：获同级人民政府准予许可的，送达审批决定。</w:t>
            </w:r>
          </w:p>
          <w:p w14:paraId="6667EA5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5F9C745F">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53" w:type="dxa"/>
            <w:vAlign w:val="center"/>
          </w:tcPr>
          <w:p w14:paraId="6F99B8A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420A84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C15B9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10AEF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0AA9A3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0B172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57366D32">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F4C5B3E">
            <w:pPr>
              <w:snapToGrid w:val="0"/>
              <w:spacing w:line="240" w:lineRule="atLeast"/>
              <w:jc w:val="center"/>
              <w:rPr>
                <w:rFonts w:ascii="仿宋_GB2312" w:hAnsi="仿宋_GB2312" w:eastAsia="仿宋_GB2312" w:cs="仿宋_GB2312"/>
                <w:sz w:val="20"/>
                <w:szCs w:val="20"/>
              </w:rPr>
            </w:pPr>
          </w:p>
        </w:tc>
      </w:tr>
    </w:tbl>
    <w:p w14:paraId="325593DE"/>
    <w:p w14:paraId="261AF9ED"/>
    <w:p w14:paraId="1A8049B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50"/>
        <w:gridCol w:w="7608"/>
        <w:gridCol w:w="330"/>
      </w:tblGrid>
      <w:tr w14:paraId="3178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D0DB093">
            <w:pPr>
              <w:snapToGrid w:val="0"/>
              <w:spacing w:line="240" w:lineRule="atLeast"/>
              <w:jc w:val="left"/>
              <w:rPr>
                <w:rFonts w:asciiTheme="majorEastAsia" w:hAnsiTheme="majorEastAsia" w:eastAsiaTheme="majorEastAsia" w:cstheme="majorEastAsia"/>
                <w:spacing w:val="-23"/>
                <w:sz w:val="20"/>
                <w:szCs w:val="20"/>
              </w:rPr>
            </w:pPr>
          </w:p>
          <w:p w14:paraId="04313EC9">
            <w:pPr>
              <w:snapToGrid w:val="0"/>
              <w:spacing w:line="240" w:lineRule="atLeast"/>
              <w:jc w:val="left"/>
              <w:rPr>
                <w:rFonts w:asciiTheme="majorEastAsia" w:hAnsiTheme="majorEastAsia" w:eastAsiaTheme="majorEastAsia" w:cstheme="majorEastAsia"/>
                <w:spacing w:val="-23"/>
                <w:sz w:val="20"/>
                <w:szCs w:val="20"/>
              </w:rPr>
            </w:pPr>
          </w:p>
          <w:p w14:paraId="5E4E585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88F4A1C">
            <w:pPr>
              <w:spacing w:line="240" w:lineRule="atLeast"/>
              <w:rPr>
                <w:rFonts w:asciiTheme="majorEastAsia" w:hAnsiTheme="majorEastAsia" w:eastAsiaTheme="majorEastAsia" w:cstheme="majorEastAsia"/>
                <w:spacing w:val="-20"/>
                <w:sz w:val="20"/>
                <w:szCs w:val="20"/>
              </w:rPr>
            </w:pPr>
          </w:p>
          <w:p w14:paraId="36DA246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05ED4A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1BB1122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82CD4E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E0B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8286010">
            <w:pPr>
              <w:spacing w:line="240" w:lineRule="atLeast"/>
              <w:jc w:val="left"/>
              <w:rPr>
                <w:rFonts w:ascii="仿宋_GB2312" w:hAnsi="仿宋_GB2312" w:eastAsia="仿宋_GB2312" w:cs="仿宋_GB2312"/>
                <w:sz w:val="20"/>
                <w:szCs w:val="20"/>
              </w:rPr>
            </w:pPr>
          </w:p>
        </w:tc>
        <w:tc>
          <w:tcPr>
            <w:tcW w:w="555" w:type="dxa"/>
            <w:vMerge w:val="continue"/>
          </w:tcPr>
          <w:p w14:paraId="67EA1108">
            <w:pPr>
              <w:spacing w:line="240" w:lineRule="atLeast"/>
              <w:jc w:val="left"/>
              <w:rPr>
                <w:rFonts w:ascii="仿宋_GB2312" w:hAnsi="仿宋_GB2312" w:eastAsia="仿宋_GB2312" w:cs="仿宋_GB2312"/>
                <w:sz w:val="20"/>
                <w:szCs w:val="20"/>
              </w:rPr>
            </w:pPr>
          </w:p>
        </w:tc>
        <w:tc>
          <w:tcPr>
            <w:tcW w:w="600" w:type="dxa"/>
            <w:vAlign w:val="center"/>
          </w:tcPr>
          <w:p w14:paraId="1D6287DE">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F077AD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07B34A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3DBFE6F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476FDA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50" w:type="dxa"/>
            <w:vAlign w:val="center"/>
          </w:tcPr>
          <w:p w14:paraId="1CB091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9666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08" w:type="dxa"/>
            <w:vAlign w:val="center"/>
          </w:tcPr>
          <w:p w14:paraId="4855A11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AA6A57E">
            <w:pPr>
              <w:spacing w:line="240" w:lineRule="atLeast"/>
              <w:jc w:val="left"/>
              <w:rPr>
                <w:rFonts w:ascii="仿宋_GB2312" w:hAnsi="仿宋_GB2312" w:eastAsia="仿宋_GB2312" w:cs="仿宋_GB2312"/>
                <w:sz w:val="20"/>
                <w:szCs w:val="20"/>
              </w:rPr>
            </w:pPr>
          </w:p>
        </w:tc>
      </w:tr>
      <w:tr w14:paraId="40F0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5" w:hRule="atLeast"/>
        </w:trPr>
        <w:tc>
          <w:tcPr>
            <w:tcW w:w="611" w:type="dxa"/>
            <w:vAlign w:val="center"/>
          </w:tcPr>
          <w:p w14:paraId="3DFC63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555" w:type="dxa"/>
            <w:vAlign w:val="center"/>
          </w:tcPr>
          <w:p w14:paraId="4E76CF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5C63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9856B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403B6D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03B15EF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国有建设用地使用权出让后土地使用权分割转让批准</w:t>
            </w:r>
          </w:p>
        </w:tc>
        <w:tc>
          <w:tcPr>
            <w:tcW w:w="645" w:type="dxa"/>
            <w:vAlign w:val="center"/>
          </w:tcPr>
          <w:p w14:paraId="1D94B88E">
            <w:pPr>
              <w:snapToGrid w:val="0"/>
              <w:spacing w:line="240" w:lineRule="atLeast"/>
              <w:jc w:val="center"/>
              <w:rPr>
                <w:rFonts w:ascii="仿宋_GB2312" w:hAnsi="仿宋_GB2312" w:eastAsia="仿宋_GB2312" w:cs="仿宋_GB2312"/>
                <w:sz w:val="20"/>
                <w:szCs w:val="20"/>
              </w:rPr>
            </w:pPr>
          </w:p>
        </w:tc>
        <w:tc>
          <w:tcPr>
            <w:tcW w:w="585" w:type="dxa"/>
            <w:vAlign w:val="center"/>
          </w:tcPr>
          <w:p w14:paraId="392D55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76460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566F7B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中华人民共和国城镇国有土地使用权出让和转让暂行条例》（1990年国务院令第55号发布，2020年国务院令第732号修订）第二十五条：土地使用权和地上建筑物、其他附着物所有权转让，应当按照规定办理过户登记。土地使用权和地上建筑物、其他附着物所有权分割转让的，应当经市、县人民政府土地管理部门和房产管理部门批准，并依照规定办理过户登记。</w:t>
            </w:r>
          </w:p>
        </w:tc>
        <w:tc>
          <w:tcPr>
            <w:tcW w:w="4350" w:type="dxa"/>
            <w:vAlign w:val="center"/>
          </w:tcPr>
          <w:p w14:paraId="7A59CB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0D37515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60E6933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40770D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6E64613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6A234D9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08" w:type="dxa"/>
            <w:vAlign w:val="center"/>
          </w:tcPr>
          <w:p w14:paraId="4AB70D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47E5DF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1E5A7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2ACA0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48CB3F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6AADB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6880462F">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E65C3F7">
            <w:pPr>
              <w:snapToGrid w:val="0"/>
              <w:spacing w:line="240" w:lineRule="atLeast"/>
              <w:jc w:val="center"/>
              <w:rPr>
                <w:rFonts w:ascii="仿宋_GB2312" w:hAnsi="仿宋_GB2312" w:eastAsia="仿宋_GB2312" w:cs="仿宋_GB2312"/>
                <w:sz w:val="20"/>
                <w:szCs w:val="20"/>
              </w:rPr>
            </w:pPr>
          </w:p>
        </w:tc>
      </w:tr>
    </w:tbl>
    <w:p w14:paraId="693A733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65"/>
        <w:gridCol w:w="7593"/>
        <w:gridCol w:w="330"/>
      </w:tblGrid>
      <w:tr w14:paraId="0C58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706F60">
            <w:pPr>
              <w:snapToGrid w:val="0"/>
              <w:spacing w:line="240" w:lineRule="atLeast"/>
              <w:jc w:val="left"/>
              <w:rPr>
                <w:rFonts w:asciiTheme="majorEastAsia" w:hAnsiTheme="majorEastAsia" w:eastAsiaTheme="majorEastAsia" w:cstheme="majorEastAsia"/>
                <w:spacing w:val="-23"/>
                <w:sz w:val="20"/>
                <w:szCs w:val="20"/>
              </w:rPr>
            </w:pPr>
          </w:p>
          <w:p w14:paraId="1761866F">
            <w:pPr>
              <w:snapToGrid w:val="0"/>
              <w:spacing w:line="240" w:lineRule="atLeast"/>
              <w:jc w:val="left"/>
              <w:rPr>
                <w:rFonts w:asciiTheme="majorEastAsia" w:hAnsiTheme="majorEastAsia" w:eastAsiaTheme="majorEastAsia" w:cstheme="majorEastAsia"/>
                <w:spacing w:val="-23"/>
                <w:sz w:val="20"/>
                <w:szCs w:val="20"/>
              </w:rPr>
            </w:pPr>
          </w:p>
          <w:p w14:paraId="6E11D6B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A907496">
            <w:pPr>
              <w:spacing w:line="240" w:lineRule="atLeast"/>
              <w:rPr>
                <w:rFonts w:asciiTheme="majorEastAsia" w:hAnsiTheme="majorEastAsia" w:eastAsiaTheme="majorEastAsia" w:cstheme="majorEastAsia"/>
                <w:spacing w:val="-20"/>
                <w:sz w:val="20"/>
                <w:szCs w:val="20"/>
              </w:rPr>
            </w:pPr>
          </w:p>
          <w:p w14:paraId="045A5A2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6FF4FC0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4E6087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135844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CDA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EA9932">
            <w:pPr>
              <w:spacing w:line="240" w:lineRule="atLeast"/>
              <w:jc w:val="left"/>
              <w:rPr>
                <w:rFonts w:ascii="仿宋_GB2312" w:hAnsi="仿宋_GB2312" w:eastAsia="仿宋_GB2312" w:cs="仿宋_GB2312"/>
                <w:sz w:val="20"/>
                <w:szCs w:val="20"/>
              </w:rPr>
            </w:pPr>
          </w:p>
        </w:tc>
        <w:tc>
          <w:tcPr>
            <w:tcW w:w="555" w:type="dxa"/>
            <w:vMerge w:val="continue"/>
          </w:tcPr>
          <w:p w14:paraId="0528A07F">
            <w:pPr>
              <w:spacing w:line="240" w:lineRule="atLeast"/>
              <w:jc w:val="left"/>
              <w:rPr>
                <w:rFonts w:ascii="仿宋_GB2312" w:hAnsi="仿宋_GB2312" w:eastAsia="仿宋_GB2312" w:cs="仿宋_GB2312"/>
                <w:sz w:val="20"/>
                <w:szCs w:val="20"/>
              </w:rPr>
            </w:pPr>
          </w:p>
        </w:tc>
        <w:tc>
          <w:tcPr>
            <w:tcW w:w="600" w:type="dxa"/>
            <w:vAlign w:val="center"/>
          </w:tcPr>
          <w:p w14:paraId="16418AAE">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3571CA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C8A9F4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16CFAD9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2A9AED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65" w:type="dxa"/>
            <w:vAlign w:val="center"/>
          </w:tcPr>
          <w:p w14:paraId="584014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DB082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93" w:type="dxa"/>
            <w:vAlign w:val="center"/>
          </w:tcPr>
          <w:p w14:paraId="0C0F692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6CADCC4">
            <w:pPr>
              <w:spacing w:line="240" w:lineRule="atLeast"/>
              <w:jc w:val="left"/>
              <w:rPr>
                <w:rFonts w:ascii="仿宋_GB2312" w:hAnsi="仿宋_GB2312" w:eastAsia="仿宋_GB2312" w:cs="仿宋_GB2312"/>
                <w:sz w:val="20"/>
                <w:szCs w:val="20"/>
              </w:rPr>
            </w:pPr>
          </w:p>
        </w:tc>
      </w:tr>
      <w:tr w14:paraId="2D4F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BFF31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w:t>
            </w:r>
          </w:p>
        </w:tc>
        <w:tc>
          <w:tcPr>
            <w:tcW w:w="555" w:type="dxa"/>
            <w:vAlign w:val="center"/>
          </w:tcPr>
          <w:p w14:paraId="54D281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383FF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56C6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E0FE7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73AC33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非农业建设项目（用地）延期动工审批</w:t>
            </w:r>
          </w:p>
        </w:tc>
        <w:tc>
          <w:tcPr>
            <w:tcW w:w="645" w:type="dxa"/>
            <w:vAlign w:val="center"/>
          </w:tcPr>
          <w:p w14:paraId="1ED658A0">
            <w:pPr>
              <w:snapToGrid w:val="0"/>
              <w:spacing w:line="240" w:lineRule="atLeast"/>
              <w:jc w:val="center"/>
              <w:rPr>
                <w:rFonts w:ascii="仿宋_GB2312" w:hAnsi="仿宋_GB2312" w:eastAsia="仿宋_GB2312" w:cs="仿宋_GB2312"/>
                <w:sz w:val="20"/>
                <w:szCs w:val="20"/>
              </w:rPr>
            </w:pPr>
          </w:p>
        </w:tc>
        <w:tc>
          <w:tcPr>
            <w:tcW w:w="585" w:type="dxa"/>
            <w:vAlign w:val="center"/>
          </w:tcPr>
          <w:p w14:paraId="3BCB12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0CA60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3A7ABD0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【地方性法规】《广西壮族自治区实施</w:t>
            </w:r>
            <w:r>
              <w:rPr>
                <w:rFonts w:hint="eastAsia" w:eastAsia="仿宋_GB2312"/>
                <w:snapToGrid w:val="0"/>
                <w:color w:val="000000"/>
                <w:sz w:val="20"/>
                <w:szCs w:val="20"/>
              </w:rPr>
              <w:t>〈</w:t>
            </w:r>
            <w:r>
              <w:rPr>
                <w:rFonts w:hint="eastAsia" w:eastAsia="仿宋_GB2312" w:cs="宋体"/>
                <w:snapToGrid w:val="0"/>
                <w:color w:val="000000"/>
                <w:sz w:val="20"/>
                <w:szCs w:val="20"/>
              </w:rPr>
              <w:t>中华人民共和国土地管理法</w:t>
            </w:r>
            <w:r>
              <w:rPr>
                <w:rFonts w:hint="eastAsia" w:eastAsia="仿宋_GB2312"/>
                <w:snapToGrid w:val="0"/>
                <w:color w:val="000000"/>
                <w:sz w:val="20"/>
                <w:szCs w:val="20"/>
              </w:rPr>
              <w:t>〉</w:t>
            </w:r>
            <w:r>
              <w:rPr>
                <w:rFonts w:hint="eastAsia" w:eastAsia="仿宋_GB2312" w:cs="宋体"/>
                <w:snapToGrid w:val="0"/>
                <w:color w:val="000000"/>
                <w:sz w:val="20"/>
                <w:szCs w:val="20"/>
              </w:rPr>
              <w:t>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九条：非农业建设项目的用地单位和个人必须在用地合同约定或者用地批准文件规定的期限内动工。有下列情形之一，致使用地单位和个人在规定期限内无法动工的，可以向原批准用地的机关申请延期，延期最长不得超过二年：</w:t>
            </w:r>
          </w:p>
          <w:p w14:paraId="48362C3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（一）不可抗力；</w:t>
            </w:r>
          </w:p>
          <w:p w14:paraId="245A28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（二）国家政策重大调整；</w:t>
            </w:r>
          </w:p>
          <w:p w14:paraId="167D7E9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（三）政府和政府部门行为；</w:t>
            </w:r>
          </w:p>
          <w:p w14:paraId="31B4D4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（四）其他正当理由。</w:t>
            </w:r>
          </w:p>
        </w:tc>
        <w:tc>
          <w:tcPr>
            <w:tcW w:w="4365" w:type="dxa"/>
            <w:vAlign w:val="center"/>
          </w:tcPr>
          <w:p w14:paraId="7E4292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1E66C9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3BEFA94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61C91B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20E54F5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64D2978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93" w:type="dxa"/>
            <w:vAlign w:val="center"/>
          </w:tcPr>
          <w:p w14:paraId="36AB67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DA2CA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7891C8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A9F017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524C6C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075140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2BD473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4D05C0D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7CC1CEDC">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5A002166">
            <w:pPr>
              <w:snapToGrid w:val="0"/>
              <w:spacing w:line="240" w:lineRule="atLeast"/>
              <w:jc w:val="center"/>
              <w:rPr>
                <w:rFonts w:ascii="仿宋_GB2312" w:hAnsi="仿宋_GB2312" w:eastAsia="仿宋_GB2312" w:cs="仿宋_GB2312"/>
                <w:sz w:val="20"/>
                <w:szCs w:val="20"/>
              </w:rPr>
            </w:pPr>
          </w:p>
        </w:tc>
      </w:tr>
    </w:tbl>
    <w:p w14:paraId="4E1DCAE8"/>
    <w:p w14:paraId="442EC77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72"/>
        <w:gridCol w:w="4365"/>
        <w:gridCol w:w="7578"/>
        <w:gridCol w:w="330"/>
      </w:tblGrid>
      <w:tr w14:paraId="5281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10297A7">
            <w:pPr>
              <w:snapToGrid w:val="0"/>
              <w:spacing w:line="240" w:lineRule="atLeast"/>
              <w:jc w:val="left"/>
              <w:rPr>
                <w:rFonts w:asciiTheme="majorEastAsia" w:hAnsiTheme="majorEastAsia" w:eastAsiaTheme="majorEastAsia" w:cstheme="majorEastAsia"/>
                <w:spacing w:val="-23"/>
                <w:sz w:val="20"/>
                <w:szCs w:val="20"/>
              </w:rPr>
            </w:pPr>
          </w:p>
          <w:p w14:paraId="1AB13EE4">
            <w:pPr>
              <w:snapToGrid w:val="0"/>
              <w:spacing w:line="240" w:lineRule="atLeast"/>
              <w:jc w:val="left"/>
              <w:rPr>
                <w:rFonts w:asciiTheme="majorEastAsia" w:hAnsiTheme="majorEastAsia" w:eastAsiaTheme="majorEastAsia" w:cstheme="majorEastAsia"/>
                <w:spacing w:val="-23"/>
                <w:sz w:val="20"/>
                <w:szCs w:val="20"/>
              </w:rPr>
            </w:pPr>
          </w:p>
          <w:p w14:paraId="04A9EE6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62BC6EC">
            <w:pPr>
              <w:spacing w:line="240" w:lineRule="atLeast"/>
              <w:rPr>
                <w:rFonts w:asciiTheme="majorEastAsia" w:hAnsiTheme="majorEastAsia" w:eastAsiaTheme="majorEastAsia" w:cstheme="majorEastAsia"/>
                <w:spacing w:val="-20"/>
                <w:sz w:val="20"/>
                <w:szCs w:val="20"/>
              </w:rPr>
            </w:pPr>
          </w:p>
          <w:p w14:paraId="49FA81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31" w:type="dxa"/>
            <w:gridSpan w:val="5"/>
          </w:tcPr>
          <w:p w14:paraId="054D06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085A889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F9EE4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8ED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87C04A7">
            <w:pPr>
              <w:spacing w:line="240" w:lineRule="atLeast"/>
              <w:jc w:val="left"/>
              <w:rPr>
                <w:rFonts w:ascii="仿宋_GB2312" w:hAnsi="仿宋_GB2312" w:eastAsia="仿宋_GB2312" w:cs="仿宋_GB2312"/>
                <w:sz w:val="20"/>
                <w:szCs w:val="20"/>
              </w:rPr>
            </w:pPr>
          </w:p>
        </w:tc>
        <w:tc>
          <w:tcPr>
            <w:tcW w:w="555" w:type="dxa"/>
            <w:vMerge w:val="continue"/>
          </w:tcPr>
          <w:p w14:paraId="357E74BA">
            <w:pPr>
              <w:spacing w:line="240" w:lineRule="atLeast"/>
              <w:jc w:val="left"/>
              <w:rPr>
                <w:rFonts w:ascii="仿宋_GB2312" w:hAnsi="仿宋_GB2312" w:eastAsia="仿宋_GB2312" w:cs="仿宋_GB2312"/>
                <w:sz w:val="20"/>
                <w:szCs w:val="20"/>
              </w:rPr>
            </w:pPr>
          </w:p>
        </w:tc>
        <w:tc>
          <w:tcPr>
            <w:tcW w:w="600" w:type="dxa"/>
            <w:vAlign w:val="center"/>
          </w:tcPr>
          <w:p w14:paraId="7FD7867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3DF9D9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D10E60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7EFA76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72" w:type="dxa"/>
            <w:vAlign w:val="center"/>
          </w:tcPr>
          <w:p w14:paraId="46C97E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65" w:type="dxa"/>
            <w:vAlign w:val="center"/>
          </w:tcPr>
          <w:p w14:paraId="73FE3F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F74858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78" w:type="dxa"/>
            <w:vAlign w:val="center"/>
          </w:tcPr>
          <w:p w14:paraId="0749BDC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6CB8DCE">
            <w:pPr>
              <w:spacing w:line="240" w:lineRule="atLeast"/>
              <w:jc w:val="left"/>
              <w:rPr>
                <w:rFonts w:ascii="仿宋_GB2312" w:hAnsi="仿宋_GB2312" w:eastAsia="仿宋_GB2312" w:cs="仿宋_GB2312"/>
                <w:sz w:val="20"/>
                <w:szCs w:val="20"/>
              </w:rPr>
            </w:pPr>
          </w:p>
        </w:tc>
      </w:tr>
      <w:tr w14:paraId="4EF9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C7244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w:t>
            </w:r>
          </w:p>
        </w:tc>
        <w:tc>
          <w:tcPr>
            <w:tcW w:w="555" w:type="dxa"/>
            <w:vAlign w:val="center"/>
          </w:tcPr>
          <w:p w14:paraId="2F7307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1540B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592E2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290DE9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6C7D1EF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企业采矿、取土占用土地不超过三年的审批</w:t>
            </w:r>
          </w:p>
        </w:tc>
        <w:tc>
          <w:tcPr>
            <w:tcW w:w="645" w:type="dxa"/>
            <w:vAlign w:val="center"/>
          </w:tcPr>
          <w:p w14:paraId="7DA10110">
            <w:pPr>
              <w:snapToGrid w:val="0"/>
              <w:spacing w:line="240" w:lineRule="atLeast"/>
              <w:jc w:val="center"/>
              <w:rPr>
                <w:rFonts w:ascii="仿宋_GB2312" w:hAnsi="仿宋_GB2312" w:eastAsia="仿宋_GB2312" w:cs="仿宋_GB2312"/>
                <w:sz w:val="20"/>
                <w:szCs w:val="20"/>
              </w:rPr>
            </w:pPr>
          </w:p>
        </w:tc>
        <w:tc>
          <w:tcPr>
            <w:tcW w:w="585" w:type="dxa"/>
            <w:vAlign w:val="center"/>
          </w:tcPr>
          <w:p w14:paraId="25F0F1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8D28D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72" w:type="dxa"/>
            <w:vAlign w:val="center"/>
          </w:tcPr>
          <w:p w14:paraId="17B273AF">
            <w:pPr>
              <w:snapToGrid w:val="0"/>
              <w:spacing w:line="240" w:lineRule="atLeast"/>
              <w:ind w:firstLine="600" w:firstLineChars="3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【地方性法规】《广西壮族自治区实施</w:t>
            </w:r>
            <w:r>
              <w:rPr>
                <w:rFonts w:hint="eastAsia" w:eastAsia="仿宋_GB2312"/>
                <w:snapToGrid w:val="0"/>
                <w:color w:val="000000"/>
                <w:sz w:val="20"/>
                <w:szCs w:val="20"/>
              </w:rPr>
              <w:t>〈</w:t>
            </w:r>
            <w:r>
              <w:rPr>
                <w:rFonts w:hint="eastAsia" w:eastAsia="仿宋_GB2312" w:cs="宋体"/>
                <w:snapToGrid w:val="0"/>
                <w:color w:val="000000"/>
                <w:sz w:val="20"/>
                <w:szCs w:val="20"/>
              </w:rPr>
              <w:t>中华人民共和国土地管理法</w:t>
            </w:r>
            <w:r>
              <w:rPr>
                <w:rFonts w:hint="eastAsia" w:eastAsia="仿宋_GB2312"/>
                <w:snapToGrid w:val="0"/>
                <w:color w:val="000000"/>
                <w:sz w:val="20"/>
                <w:szCs w:val="20"/>
              </w:rPr>
              <w:t>〉</w:t>
            </w:r>
            <w:r>
              <w:rPr>
                <w:rFonts w:hint="eastAsia" w:eastAsia="仿宋_GB2312" w:cs="宋体"/>
                <w:snapToGrid w:val="0"/>
                <w:color w:val="000000"/>
                <w:sz w:val="20"/>
                <w:szCs w:val="20"/>
              </w:rPr>
              <w:t>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日修正）第四十八条第二款：企业采矿、取土占用土地不超过三年的，经设区的市人民政府批准，可以参照临时使用土地的规定办理用地手续。</w:t>
            </w:r>
          </w:p>
        </w:tc>
        <w:tc>
          <w:tcPr>
            <w:tcW w:w="4365" w:type="dxa"/>
            <w:vAlign w:val="center"/>
          </w:tcPr>
          <w:p w14:paraId="7CD2B5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5BC618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13D7DE2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15B3A34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3849C7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720C658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78" w:type="dxa"/>
            <w:vAlign w:val="center"/>
          </w:tcPr>
          <w:p w14:paraId="78CABC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995C5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66AB5B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2455D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29E0A38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4DEDB3B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225CD4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48EE56B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6DF723E">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4CD4B64B">
            <w:pPr>
              <w:snapToGrid w:val="0"/>
              <w:spacing w:line="240" w:lineRule="atLeast"/>
              <w:jc w:val="center"/>
              <w:rPr>
                <w:rFonts w:ascii="仿宋_GB2312" w:hAnsi="仿宋_GB2312" w:eastAsia="仿宋_GB2312" w:cs="仿宋_GB2312"/>
                <w:sz w:val="20"/>
                <w:szCs w:val="20"/>
              </w:rPr>
            </w:pPr>
          </w:p>
        </w:tc>
      </w:tr>
    </w:tbl>
    <w:p w14:paraId="2275332D"/>
    <w:p w14:paraId="459E544B"/>
    <w:p w14:paraId="28DF23D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80"/>
        <w:gridCol w:w="7578"/>
        <w:gridCol w:w="330"/>
      </w:tblGrid>
      <w:tr w14:paraId="6B0A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80A473B">
            <w:pPr>
              <w:snapToGrid w:val="0"/>
              <w:spacing w:line="240" w:lineRule="atLeast"/>
              <w:jc w:val="left"/>
              <w:rPr>
                <w:rFonts w:asciiTheme="majorEastAsia" w:hAnsiTheme="majorEastAsia" w:eastAsiaTheme="majorEastAsia" w:cstheme="majorEastAsia"/>
                <w:spacing w:val="-23"/>
                <w:sz w:val="20"/>
                <w:szCs w:val="20"/>
              </w:rPr>
            </w:pPr>
          </w:p>
          <w:p w14:paraId="1B004BCF">
            <w:pPr>
              <w:snapToGrid w:val="0"/>
              <w:spacing w:line="240" w:lineRule="atLeast"/>
              <w:jc w:val="left"/>
              <w:rPr>
                <w:rFonts w:asciiTheme="majorEastAsia" w:hAnsiTheme="majorEastAsia" w:eastAsiaTheme="majorEastAsia" w:cstheme="majorEastAsia"/>
                <w:spacing w:val="-23"/>
                <w:sz w:val="20"/>
                <w:szCs w:val="20"/>
              </w:rPr>
            </w:pPr>
          </w:p>
          <w:p w14:paraId="15364E3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750F073">
            <w:pPr>
              <w:spacing w:line="240" w:lineRule="atLeast"/>
              <w:rPr>
                <w:rFonts w:asciiTheme="majorEastAsia" w:hAnsiTheme="majorEastAsia" w:eastAsiaTheme="majorEastAsia" w:cstheme="majorEastAsia"/>
                <w:spacing w:val="-20"/>
                <w:sz w:val="20"/>
                <w:szCs w:val="20"/>
              </w:rPr>
            </w:pPr>
          </w:p>
          <w:p w14:paraId="365DE21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7BC779D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527E86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123323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BC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1DA2177">
            <w:pPr>
              <w:spacing w:line="240" w:lineRule="atLeast"/>
              <w:jc w:val="left"/>
              <w:rPr>
                <w:rFonts w:ascii="仿宋_GB2312" w:hAnsi="仿宋_GB2312" w:eastAsia="仿宋_GB2312" w:cs="仿宋_GB2312"/>
                <w:sz w:val="20"/>
                <w:szCs w:val="20"/>
              </w:rPr>
            </w:pPr>
          </w:p>
        </w:tc>
        <w:tc>
          <w:tcPr>
            <w:tcW w:w="555" w:type="dxa"/>
            <w:vMerge w:val="continue"/>
          </w:tcPr>
          <w:p w14:paraId="0A7A2A9F">
            <w:pPr>
              <w:spacing w:line="240" w:lineRule="atLeast"/>
              <w:jc w:val="left"/>
              <w:rPr>
                <w:rFonts w:ascii="仿宋_GB2312" w:hAnsi="仿宋_GB2312" w:eastAsia="仿宋_GB2312" w:cs="仿宋_GB2312"/>
                <w:sz w:val="20"/>
                <w:szCs w:val="20"/>
              </w:rPr>
            </w:pPr>
          </w:p>
        </w:tc>
        <w:tc>
          <w:tcPr>
            <w:tcW w:w="600" w:type="dxa"/>
            <w:vAlign w:val="center"/>
          </w:tcPr>
          <w:p w14:paraId="6CA3B92B">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A94C9C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46F467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BDC71C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78A625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80" w:type="dxa"/>
            <w:vAlign w:val="center"/>
          </w:tcPr>
          <w:p w14:paraId="7F4D1CC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D38E5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78" w:type="dxa"/>
            <w:vAlign w:val="center"/>
          </w:tcPr>
          <w:p w14:paraId="527899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853664E">
            <w:pPr>
              <w:spacing w:line="240" w:lineRule="atLeast"/>
              <w:jc w:val="left"/>
              <w:rPr>
                <w:rFonts w:ascii="仿宋_GB2312" w:hAnsi="仿宋_GB2312" w:eastAsia="仿宋_GB2312" w:cs="仿宋_GB2312"/>
                <w:sz w:val="20"/>
                <w:szCs w:val="20"/>
              </w:rPr>
            </w:pPr>
          </w:p>
        </w:tc>
      </w:tr>
      <w:tr w14:paraId="501F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9B20A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w:t>
            </w:r>
          </w:p>
        </w:tc>
        <w:tc>
          <w:tcPr>
            <w:tcW w:w="555" w:type="dxa"/>
            <w:vAlign w:val="center"/>
          </w:tcPr>
          <w:p w14:paraId="5AC0B2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E25FB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22B4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2C178F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F037F0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钟乳石洞穴旅游开发审批</w:t>
            </w:r>
          </w:p>
        </w:tc>
        <w:tc>
          <w:tcPr>
            <w:tcW w:w="645" w:type="dxa"/>
            <w:vAlign w:val="center"/>
          </w:tcPr>
          <w:p w14:paraId="3A205AC7">
            <w:pPr>
              <w:snapToGrid w:val="0"/>
              <w:spacing w:line="240" w:lineRule="atLeast"/>
              <w:jc w:val="center"/>
              <w:rPr>
                <w:rFonts w:ascii="仿宋_GB2312" w:hAnsi="仿宋_GB2312" w:eastAsia="仿宋_GB2312" w:cs="仿宋_GB2312"/>
                <w:sz w:val="20"/>
                <w:szCs w:val="20"/>
              </w:rPr>
            </w:pPr>
          </w:p>
        </w:tc>
        <w:tc>
          <w:tcPr>
            <w:tcW w:w="585" w:type="dxa"/>
            <w:vAlign w:val="center"/>
          </w:tcPr>
          <w:p w14:paraId="5DC6CA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4C3277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26C2AD2E">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开发钟乳石洞穴进行旅游活动，由开发地设区的市自然资源主管部门征求设区的市文化和旅游主管部门的意见后批准。</w:t>
            </w:r>
          </w:p>
        </w:tc>
        <w:tc>
          <w:tcPr>
            <w:tcW w:w="4380" w:type="dxa"/>
            <w:vAlign w:val="center"/>
          </w:tcPr>
          <w:p w14:paraId="41836D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BF926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170C5FF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733C0C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2C7B631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3DCCBF8C">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78" w:type="dxa"/>
            <w:vAlign w:val="center"/>
          </w:tcPr>
          <w:p w14:paraId="52BFA0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6CD41B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AA881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8E907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2C2AA5B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302C8D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5CBB5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26147E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3B4C3B1">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7921FEAE">
            <w:pPr>
              <w:snapToGrid w:val="0"/>
              <w:spacing w:line="240" w:lineRule="atLeast"/>
              <w:jc w:val="center"/>
              <w:rPr>
                <w:rFonts w:ascii="仿宋_GB2312" w:hAnsi="仿宋_GB2312" w:eastAsia="仿宋_GB2312" w:cs="仿宋_GB2312"/>
                <w:sz w:val="20"/>
                <w:szCs w:val="20"/>
              </w:rPr>
            </w:pPr>
          </w:p>
        </w:tc>
      </w:tr>
    </w:tbl>
    <w:p w14:paraId="7F0DD428"/>
    <w:p w14:paraId="78A9BB00"/>
    <w:p w14:paraId="17978B7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95"/>
        <w:gridCol w:w="7563"/>
        <w:gridCol w:w="330"/>
      </w:tblGrid>
      <w:tr w14:paraId="7687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A739FE7">
            <w:pPr>
              <w:snapToGrid w:val="0"/>
              <w:spacing w:line="240" w:lineRule="atLeast"/>
              <w:jc w:val="left"/>
              <w:rPr>
                <w:rFonts w:asciiTheme="majorEastAsia" w:hAnsiTheme="majorEastAsia" w:eastAsiaTheme="majorEastAsia" w:cstheme="majorEastAsia"/>
                <w:spacing w:val="-23"/>
                <w:sz w:val="20"/>
                <w:szCs w:val="20"/>
              </w:rPr>
            </w:pPr>
          </w:p>
          <w:p w14:paraId="664B4FE2">
            <w:pPr>
              <w:snapToGrid w:val="0"/>
              <w:spacing w:line="240" w:lineRule="atLeast"/>
              <w:jc w:val="left"/>
              <w:rPr>
                <w:rFonts w:asciiTheme="majorEastAsia" w:hAnsiTheme="majorEastAsia" w:eastAsiaTheme="majorEastAsia" w:cstheme="majorEastAsia"/>
                <w:spacing w:val="-23"/>
                <w:sz w:val="20"/>
                <w:szCs w:val="20"/>
              </w:rPr>
            </w:pPr>
          </w:p>
          <w:p w14:paraId="769E56C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DECCAF4">
            <w:pPr>
              <w:spacing w:line="240" w:lineRule="atLeast"/>
              <w:rPr>
                <w:rFonts w:asciiTheme="majorEastAsia" w:hAnsiTheme="majorEastAsia" w:eastAsiaTheme="majorEastAsia" w:cstheme="majorEastAsia"/>
                <w:spacing w:val="-20"/>
                <w:sz w:val="20"/>
                <w:szCs w:val="20"/>
              </w:rPr>
            </w:pPr>
          </w:p>
          <w:p w14:paraId="21D82ED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45ACF71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1B24B2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3D812A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8BD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CD86B0">
            <w:pPr>
              <w:spacing w:line="240" w:lineRule="atLeast"/>
              <w:jc w:val="left"/>
              <w:rPr>
                <w:rFonts w:ascii="仿宋_GB2312" w:hAnsi="仿宋_GB2312" w:eastAsia="仿宋_GB2312" w:cs="仿宋_GB2312"/>
                <w:sz w:val="20"/>
                <w:szCs w:val="20"/>
              </w:rPr>
            </w:pPr>
          </w:p>
        </w:tc>
        <w:tc>
          <w:tcPr>
            <w:tcW w:w="555" w:type="dxa"/>
            <w:vMerge w:val="continue"/>
          </w:tcPr>
          <w:p w14:paraId="4B5535F7">
            <w:pPr>
              <w:spacing w:line="240" w:lineRule="atLeast"/>
              <w:jc w:val="left"/>
              <w:rPr>
                <w:rFonts w:ascii="仿宋_GB2312" w:hAnsi="仿宋_GB2312" w:eastAsia="仿宋_GB2312" w:cs="仿宋_GB2312"/>
                <w:sz w:val="20"/>
                <w:szCs w:val="20"/>
              </w:rPr>
            </w:pPr>
          </w:p>
        </w:tc>
        <w:tc>
          <w:tcPr>
            <w:tcW w:w="600" w:type="dxa"/>
            <w:vAlign w:val="center"/>
          </w:tcPr>
          <w:p w14:paraId="114DC96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55998D2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D96613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52DF39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679AA2E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95" w:type="dxa"/>
            <w:vAlign w:val="center"/>
          </w:tcPr>
          <w:p w14:paraId="08A9FC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B163F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63" w:type="dxa"/>
            <w:vAlign w:val="center"/>
          </w:tcPr>
          <w:p w14:paraId="408A90A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793B338">
            <w:pPr>
              <w:spacing w:line="240" w:lineRule="atLeast"/>
              <w:jc w:val="left"/>
              <w:rPr>
                <w:rFonts w:ascii="仿宋_GB2312" w:hAnsi="仿宋_GB2312" w:eastAsia="仿宋_GB2312" w:cs="仿宋_GB2312"/>
                <w:sz w:val="20"/>
                <w:szCs w:val="20"/>
              </w:rPr>
            </w:pPr>
          </w:p>
        </w:tc>
      </w:tr>
      <w:tr w14:paraId="1BFA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C4F99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w:t>
            </w:r>
          </w:p>
        </w:tc>
        <w:tc>
          <w:tcPr>
            <w:tcW w:w="555" w:type="dxa"/>
            <w:vAlign w:val="center"/>
          </w:tcPr>
          <w:p w14:paraId="600E84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2AC35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B83CC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73DD4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3B7D289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科学研究采集钟乳石样品审批</w:t>
            </w:r>
          </w:p>
        </w:tc>
        <w:tc>
          <w:tcPr>
            <w:tcW w:w="645" w:type="dxa"/>
            <w:vAlign w:val="center"/>
          </w:tcPr>
          <w:p w14:paraId="7D042EA8">
            <w:pPr>
              <w:snapToGrid w:val="0"/>
              <w:spacing w:line="240" w:lineRule="atLeast"/>
              <w:jc w:val="center"/>
              <w:rPr>
                <w:rFonts w:ascii="仿宋_GB2312" w:hAnsi="仿宋_GB2312" w:eastAsia="仿宋_GB2312" w:cs="仿宋_GB2312"/>
                <w:sz w:val="20"/>
                <w:szCs w:val="20"/>
              </w:rPr>
            </w:pPr>
          </w:p>
        </w:tc>
        <w:tc>
          <w:tcPr>
            <w:tcW w:w="585" w:type="dxa"/>
            <w:vAlign w:val="center"/>
          </w:tcPr>
          <w:p w14:paraId="719458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E0F32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761D9E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因科学研究确需采集钟乳石样品的，应当持科学技术行政部门下达的科研项目相关文件材料，报采集地设区的市自然资源主管部门批准。</w:t>
            </w:r>
          </w:p>
        </w:tc>
        <w:tc>
          <w:tcPr>
            <w:tcW w:w="4395" w:type="dxa"/>
            <w:vAlign w:val="center"/>
          </w:tcPr>
          <w:p w14:paraId="72469A6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2DA10BD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5812DAA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6716E01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28ED41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063B586F">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63" w:type="dxa"/>
            <w:vAlign w:val="center"/>
          </w:tcPr>
          <w:p w14:paraId="5EB331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C6F563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508E40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6AD60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4708A0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1A683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6BD63B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265789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177A3AEA">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6F9F61E9">
            <w:pPr>
              <w:snapToGrid w:val="0"/>
              <w:spacing w:line="240" w:lineRule="atLeast"/>
              <w:jc w:val="center"/>
              <w:rPr>
                <w:rFonts w:ascii="仿宋_GB2312" w:hAnsi="仿宋_GB2312" w:eastAsia="仿宋_GB2312" w:cs="仿宋_GB2312"/>
                <w:sz w:val="20"/>
                <w:szCs w:val="20"/>
              </w:rPr>
            </w:pPr>
          </w:p>
        </w:tc>
      </w:tr>
    </w:tbl>
    <w:p w14:paraId="141CD926"/>
    <w:p w14:paraId="74BA441F"/>
    <w:p w14:paraId="2F6446F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425"/>
        <w:gridCol w:w="7533"/>
        <w:gridCol w:w="330"/>
      </w:tblGrid>
      <w:tr w14:paraId="1A8B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7681818">
            <w:pPr>
              <w:snapToGrid w:val="0"/>
              <w:spacing w:line="240" w:lineRule="atLeast"/>
              <w:jc w:val="left"/>
              <w:rPr>
                <w:rFonts w:asciiTheme="majorEastAsia" w:hAnsiTheme="majorEastAsia" w:eastAsiaTheme="majorEastAsia" w:cstheme="majorEastAsia"/>
                <w:spacing w:val="-23"/>
                <w:sz w:val="20"/>
                <w:szCs w:val="20"/>
              </w:rPr>
            </w:pPr>
          </w:p>
          <w:p w14:paraId="50900A8F">
            <w:pPr>
              <w:snapToGrid w:val="0"/>
              <w:spacing w:line="240" w:lineRule="atLeast"/>
              <w:jc w:val="left"/>
              <w:rPr>
                <w:rFonts w:asciiTheme="majorEastAsia" w:hAnsiTheme="majorEastAsia" w:eastAsiaTheme="majorEastAsia" w:cstheme="majorEastAsia"/>
                <w:spacing w:val="-23"/>
                <w:sz w:val="20"/>
                <w:szCs w:val="20"/>
              </w:rPr>
            </w:pPr>
          </w:p>
          <w:p w14:paraId="0FCDD71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89146D0">
            <w:pPr>
              <w:spacing w:line="240" w:lineRule="atLeast"/>
              <w:rPr>
                <w:rFonts w:asciiTheme="majorEastAsia" w:hAnsiTheme="majorEastAsia" w:eastAsiaTheme="majorEastAsia" w:cstheme="majorEastAsia"/>
                <w:spacing w:val="-20"/>
                <w:sz w:val="20"/>
                <w:szCs w:val="20"/>
              </w:rPr>
            </w:pPr>
          </w:p>
          <w:p w14:paraId="7F47C81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52341C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7E530C8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6D7872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A1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D93DD16">
            <w:pPr>
              <w:spacing w:line="240" w:lineRule="atLeast"/>
              <w:jc w:val="left"/>
              <w:rPr>
                <w:rFonts w:ascii="仿宋_GB2312" w:hAnsi="仿宋_GB2312" w:eastAsia="仿宋_GB2312" w:cs="仿宋_GB2312"/>
                <w:sz w:val="20"/>
                <w:szCs w:val="20"/>
              </w:rPr>
            </w:pPr>
          </w:p>
        </w:tc>
        <w:tc>
          <w:tcPr>
            <w:tcW w:w="555" w:type="dxa"/>
            <w:vMerge w:val="continue"/>
          </w:tcPr>
          <w:p w14:paraId="0DD32B36">
            <w:pPr>
              <w:spacing w:line="240" w:lineRule="atLeast"/>
              <w:jc w:val="left"/>
              <w:rPr>
                <w:rFonts w:ascii="仿宋_GB2312" w:hAnsi="仿宋_GB2312" w:eastAsia="仿宋_GB2312" w:cs="仿宋_GB2312"/>
                <w:sz w:val="20"/>
                <w:szCs w:val="20"/>
              </w:rPr>
            </w:pPr>
          </w:p>
        </w:tc>
        <w:tc>
          <w:tcPr>
            <w:tcW w:w="600" w:type="dxa"/>
            <w:vAlign w:val="center"/>
          </w:tcPr>
          <w:p w14:paraId="4DC43558">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BA17C0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64CB888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D36C65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706695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425" w:type="dxa"/>
            <w:vAlign w:val="center"/>
          </w:tcPr>
          <w:p w14:paraId="2BA8F4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FA58A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33" w:type="dxa"/>
            <w:vAlign w:val="center"/>
          </w:tcPr>
          <w:p w14:paraId="5D30497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4C535F9">
            <w:pPr>
              <w:spacing w:line="240" w:lineRule="atLeast"/>
              <w:jc w:val="left"/>
              <w:rPr>
                <w:rFonts w:ascii="仿宋_GB2312" w:hAnsi="仿宋_GB2312" w:eastAsia="仿宋_GB2312" w:cs="仿宋_GB2312"/>
                <w:sz w:val="20"/>
                <w:szCs w:val="20"/>
              </w:rPr>
            </w:pPr>
          </w:p>
        </w:tc>
      </w:tr>
      <w:tr w14:paraId="77FF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B80CE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w:t>
            </w:r>
          </w:p>
        </w:tc>
        <w:tc>
          <w:tcPr>
            <w:tcW w:w="555" w:type="dxa"/>
            <w:vAlign w:val="center"/>
          </w:tcPr>
          <w:p w14:paraId="110DA9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EF6C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065A6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B2A51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18E83B0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法人或者其他组织需要利用属于国家秘密的基础测绘成果审批</w:t>
            </w:r>
          </w:p>
        </w:tc>
        <w:tc>
          <w:tcPr>
            <w:tcW w:w="645" w:type="dxa"/>
            <w:vAlign w:val="center"/>
          </w:tcPr>
          <w:p w14:paraId="7D7EE886">
            <w:pPr>
              <w:snapToGrid w:val="0"/>
              <w:spacing w:line="240" w:lineRule="atLeast"/>
              <w:jc w:val="center"/>
              <w:rPr>
                <w:rFonts w:ascii="仿宋_GB2312" w:hAnsi="仿宋_GB2312" w:eastAsia="仿宋_GB2312" w:cs="仿宋_GB2312"/>
                <w:sz w:val="20"/>
                <w:szCs w:val="20"/>
              </w:rPr>
            </w:pPr>
          </w:p>
        </w:tc>
        <w:tc>
          <w:tcPr>
            <w:tcW w:w="585" w:type="dxa"/>
            <w:vAlign w:val="center"/>
          </w:tcPr>
          <w:p w14:paraId="45BC45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08CA5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5A8204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中华人民共和国测绘成果管理条例》（2006年国务院第469号令公布）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tc>
        <w:tc>
          <w:tcPr>
            <w:tcW w:w="4425" w:type="dxa"/>
            <w:vAlign w:val="center"/>
          </w:tcPr>
          <w:p w14:paraId="011B88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1.受理责任：公示“法人或者其他组织需要利用属于国家秘密的基础测绘成果审批”行政许可需要提交的全部材料的目录，作出不予受理、补正材料或者予以受理的决定。</w:t>
            </w:r>
          </w:p>
          <w:p w14:paraId="729D0C6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2.审查责任：审查申请材料，提出审查意见。</w:t>
            </w:r>
          </w:p>
          <w:p w14:paraId="749C31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 。</w:t>
            </w:r>
          </w:p>
          <w:p w14:paraId="554134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4．送达责任：准予许可的，制发许可证书或批件，送达并信息公开。</w:t>
            </w:r>
          </w:p>
          <w:p w14:paraId="732B50F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5．监管责任：制定监管计划，依法采取相关处置措施。</w:t>
            </w:r>
          </w:p>
          <w:p w14:paraId="7F2FB70B">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33" w:type="dxa"/>
            <w:vAlign w:val="center"/>
          </w:tcPr>
          <w:p w14:paraId="10C014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3BB66E1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60D509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4C62C4B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28CFF5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12860A29">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330" w:type="dxa"/>
            <w:vAlign w:val="center"/>
          </w:tcPr>
          <w:p w14:paraId="2A970FAD">
            <w:pPr>
              <w:snapToGrid w:val="0"/>
              <w:spacing w:line="240" w:lineRule="atLeast"/>
              <w:jc w:val="center"/>
              <w:rPr>
                <w:rFonts w:ascii="仿宋_GB2312" w:hAnsi="仿宋_GB2312" w:eastAsia="仿宋_GB2312" w:cs="仿宋_GB2312"/>
                <w:sz w:val="20"/>
                <w:szCs w:val="20"/>
              </w:rPr>
            </w:pPr>
          </w:p>
        </w:tc>
      </w:tr>
    </w:tbl>
    <w:p w14:paraId="75DFE054"/>
    <w:p w14:paraId="7B9FF79E"/>
    <w:p w14:paraId="2B0DEE2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425"/>
        <w:gridCol w:w="7533"/>
        <w:gridCol w:w="330"/>
      </w:tblGrid>
      <w:tr w14:paraId="1FB9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BCFDE42">
            <w:pPr>
              <w:snapToGrid w:val="0"/>
              <w:spacing w:line="240" w:lineRule="atLeast"/>
              <w:jc w:val="left"/>
              <w:rPr>
                <w:rFonts w:asciiTheme="majorEastAsia" w:hAnsiTheme="majorEastAsia" w:eastAsiaTheme="majorEastAsia" w:cstheme="majorEastAsia"/>
                <w:spacing w:val="-23"/>
                <w:sz w:val="20"/>
                <w:szCs w:val="20"/>
              </w:rPr>
            </w:pPr>
          </w:p>
          <w:p w14:paraId="0B02488C">
            <w:pPr>
              <w:snapToGrid w:val="0"/>
              <w:spacing w:line="240" w:lineRule="atLeast"/>
              <w:jc w:val="left"/>
              <w:rPr>
                <w:rFonts w:asciiTheme="majorEastAsia" w:hAnsiTheme="majorEastAsia" w:eastAsiaTheme="majorEastAsia" w:cstheme="majorEastAsia"/>
                <w:spacing w:val="-23"/>
                <w:sz w:val="20"/>
                <w:szCs w:val="20"/>
              </w:rPr>
            </w:pPr>
          </w:p>
          <w:p w14:paraId="1B3018F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F8770AF">
            <w:pPr>
              <w:spacing w:line="240" w:lineRule="atLeast"/>
              <w:rPr>
                <w:rFonts w:asciiTheme="majorEastAsia" w:hAnsiTheme="majorEastAsia" w:eastAsiaTheme="majorEastAsia" w:cstheme="majorEastAsia"/>
                <w:spacing w:val="-20"/>
                <w:sz w:val="20"/>
                <w:szCs w:val="20"/>
              </w:rPr>
            </w:pPr>
          </w:p>
          <w:p w14:paraId="516714A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62B4FA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4D6A3A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EE7A94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003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13D085">
            <w:pPr>
              <w:spacing w:line="240" w:lineRule="atLeast"/>
              <w:jc w:val="left"/>
              <w:rPr>
                <w:rFonts w:ascii="仿宋_GB2312" w:hAnsi="仿宋_GB2312" w:eastAsia="仿宋_GB2312" w:cs="仿宋_GB2312"/>
                <w:sz w:val="20"/>
                <w:szCs w:val="20"/>
              </w:rPr>
            </w:pPr>
          </w:p>
        </w:tc>
        <w:tc>
          <w:tcPr>
            <w:tcW w:w="555" w:type="dxa"/>
            <w:vMerge w:val="continue"/>
          </w:tcPr>
          <w:p w14:paraId="19ECB5C4">
            <w:pPr>
              <w:spacing w:line="240" w:lineRule="atLeast"/>
              <w:jc w:val="left"/>
              <w:rPr>
                <w:rFonts w:ascii="仿宋_GB2312" w:hAnsi="仿宋_GB2312" w:eastAsia="仿宋_GB2312" w:cs="仿宋_GB2312"/>
                <w:sz w:val="20"/>
                <w:szCs w:val="20"/>
              </w:rPr>
            </w:pPr>
          </w:p>
        </w:tc>
        <w:tc>
          <w:tcPr>
            <w:tcW w:w="600" w:type="dxa"/>
            <w:vAlign w:val="center"/>
          </w:tcPr>
          <w:p w14:paraId="76E3CE3A">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932BB6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91886A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49E529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0DA64D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425" w:type="dxa"/>
            <w:vAlign w:val="center"/>
          </w:tcPr>
          <w:p w14:paraId="405071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74FF5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33" w:type="dxa"/>
            <w:vAlign w:val="center"/>
          </w:tcPr>
          <w:p w14:paraId="1FA0553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2C0637F">
            <w:pPr>
              <w:spacing w:line="240" w:lineRule="atLeast"/>
              <w:jc w:val="left"/>
              <w:rPr>
                <w:rFonts w:ascii="仿宋_GB2312" w:hAnsi="仿宋_GB2312" w:eastAsia="仿宋_GB2312" w:cs="仿宋_GB2312"/>
                <w:sz w:val="20"/>
                <w:szCs w:val="20"/>
              </w:rPr>
            </w:pPr>
          </w:p>
        </w:tc>
      </w:tr>
      <w:tr w14:paraId="2456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4F551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w:t>
            </w:r>
          </w:p>
        </w:tc>
        <w:tc>
          <w:tcPr>
            <w:tcW w:w="555" w:type="dxa"/>
            <w:vAlign w:val="center"/>
          </w:tcPr>
          <w:p w14:paraId="5E7438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3DCAE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F9C7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4FD927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5CFF2E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地图审核</w:t>
            </w:r>
          </w:p>
        </w:tc>
        <w:tc>
          <w:tcPr>
            <w:tcW w:w="645" w:type="dxa"/>
            <w:vAlign w:val="center"/>
          </w:tcPr>
          <w:p w14:paraId="60442262">
            <w:pPr>
              <w:snapToGrid w:val="0"/>
              <w:spacing w:line="240" w:lineRule="atLeast"/>
              <w:jc w:val="center"/>
              <w:rPr>
                <w:rFonts w:ascii="仿宋_GB2312" w:hAnsi="仿宋_GB2312" w:eastAsia="仿宋_GB2312" w:cs="仿宋_GB2312"/>
                <w:sz w:val="20"/>
                <w:szCs w:val="20"/>
              </w:rPr>
            </w:pPr>
          </w:p>
        </w:tc>
        <w:tc>
          <w:tcPr>
            <w:tcW w:w="585" w:type="dxa"/>
            <w:vAlign w:val="center"/>
          </w:tcPr>
          <w:p w14:paraId="3A82C8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4FCFE8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31B2F87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地图管理条例》（2015年国务院令第664号）第十五条：国家实行地图审核制度。向社会公开的地图，应当报送有审核权的测绘地理信息行政主管部门审核。但是，景区图、街区图、地铁线路图等内容简单的地图除外。地图审核不得收取费用。</w:t>
            </w:r>
          </w:p>
          <w:p w14:paraId="326B4F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地图审核管理规定》（2006年国土资源部第34号令公布，2019年自然资源部令第5号修正）第八条：省、自治区、直辖市人民政府测绘地理信息主管部门负责审核主要表现地在本行政区域范围内的地图。其中，主要表现地在设区的市行政区域范围内不涉及国界线的地图，由设区的市级人民政府测绘地理信息主管部门负责审核。</w:t>
            </w:r>
          </w:p>
        </w:tc>
        <w:tc>
          <w:tcPr>
            <w:tcW w:w="4425" w:type="dxa"/>
            <w:vAlign w:val="center"/>
          </w:tcPr>
          <w:p w14:paraId="5281144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1.受理责任：公示地图审核行政许可需要提交的全部材料的目录，自收到申请材料5个工作日内作出不予受理、补正材料或者予以受理的决定。</w:t>
            </w:r>
          </w:p>
          <w:p w14:paraId="42C0AA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2.审查责任：主要表现地在设区的市行政区域范围内不涉及国界线的地图，由设区的市级人民政府自然资源主管部门负责审核申请材料，提出审查意见。</w:t>
            </w:r>
          </w:p>
          <w:p w14:paraId="7D5C3F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有审核权的自然资源主管部门应当自受理地图审核申请之日起20个工作日内，作出审核决定。时事宣传地图、时效性要求较高的图书和报刊等插附地图的，应当自受理地图审核审批申请之日起7个工作日内，作出审核决定。应急保障等特殊情况需要使用地图的，应当即送即审。不予行政许可决定的，应当向申请单位书面说明理由。</w:t>
            </w:r>
          </w:p>
          <w:p w14:paraId="2AC4922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4．送达责任：准予批准的，核发地图审核批准文件和审图号。</w:t>
            </w:r>
          </w:p>
          <w:p w14:paraId="0AAC986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监管责任：制定监管计划，对地图送审单位和地图出版发布单位执行《地图审核管理规定》、《公开地图内容表示若干规定》、《公开地图内容表示补充规定》（试行）等有关规定的有关情况进行监管，依法采取相关处置措施。</w:t>
            </w:r>
          </w:p>
          <w:p w14:paraId="1B9748F6">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33" w:type="dxa"/>
            <w:vAlign w:val="center"/>
          </w:tcPr>
          <w:p w14:paraId="5CF6F91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14ED47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十八条：省、自治区、直辖市人民政府测绘地理信息行政主管部门负责审核主要表现地在本行政区域范围内的地图。其中，主要表现地在设区的市行政区域范围内不涉及国界线的地图，由设区的市级人民政府测绘地理信息行政主管部门负责审核。</w:t>
            </w:r>
          </w:p>
          <w:p w14:paraId="7A0558B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3.【行政法规】《地图管理条例》（2015年国务院令第664号）第十九条：有审核权的测绘地理信息行政主管部门应当自受理地图审核申请之日起20个工作日内，作出审核决定。</w:t>
            </w:r>
          </w:p>
          <w:p w14:paraId="0F20E8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时事宣传地图、时效性要求较高的图书和报刊等插附地图的，应当自受理地图审核申请之日起7个工作日内，作出审核决定。</w:t>
            </w:r>
          </w:p>
          <w:p w14:paraId="0A16E5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应急保障等特殊情况需要使用地图的，应当即送即审。</w:t>
            </w:r>
          </w:p>
          <w:p w14:paraId="6A3067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4—1.【行政法规】《地图管理条例》（2015年国务院令第664号）第二十一条：……由有审核权的测绘地理信息行政主管部门核发地图审核批准文件，……：</w:t>
            </w:r>
          </w:p>
          <w:p w14:paraId="01C70C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部门规章】《地图审核管理规定》（2006年国土资源部第34号令公布，2019年自然资源部令第5号修正）第二十三条自然资源主管部门应当依据地图内容审查工作机构提出的审查意见及相关申请材料，作出批准或者不予批准的书面决定并及时送达申请人。</w:t>
            </w:r>
          </w:p>
          <w:p w14:paraId="1A82E3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予以批准的，核发地图审核批准文件和审图号。</w:t>
            </w:r>
          </w:p>
          <w:p w14:paraId="1EFFA3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不予批准的，核发地图审核不予批准文件并书面说明理由，告知申请人享有依法申请行政复议或者提起行政诉讼的权利。</w:t>
            </w:r>
          </w:p>
          <w:p w14:paraId="6C1766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5—1.【行政法规】《地图管理条例》（2015年国务院令第664号）第四十二条：县级以上人民政府及其有关部门应当依法加强对地图编制、出版、展示、登载、生产、销售、进口、出口等活动的监督检查。</w:t>
            </w:r>
          </w:p>
          <w:p w14:paraId="078DE2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地方性法规】《广西壮族自治区测绘管理条例》（1995年自治区第八届人民代表大会常务委员会第14次会议通过，2019年7月25日自治区第十三届人民代表大会常务委员会第十次会议修订）第二十九条：地图的编制、出版、展示、登载、更新和互联网地图服务等活动应当遵守国家和自治区有关地图管理的规定。</w:t>
            </w:r>
          </w:p>
          <w:p w14:paraId="1C6B3FF5">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自治区人民政府测绘地理信息主管部门负责审核主要表现地在本行政区域范围内的地图。其中，主要表现地在设区的市行政区域范围内不涉及国界线的地图，由设区的市人民政府测绘地理信息主管部门负责审核。</w:t>
            </w:r>
          </w:p>
        </w:tc>
        <w:tc>
          <w:tcPr>
            <w:tcW w:w="330" w:type="dxa"/>
            <w:vAlign w:val="center"/>
          </w:tcPr>
          <w:p w14:paraId="33B1B34E">
            <w:pPr>
              <w:snapToGrid w:val="0"/>
              <w:spacing w:line="240" w:lineRule="atLeast"/>
              <w:jc w:val="center"/>
              <w:rPr>
                <w:rFonts w:ascii="仿宋_GB2312" w:hAnsi="仿宋_GB2312" w:eastAsia="仿宋_GB2312" w:cs="仿宋_GB2312"/>
                <w:sz w:val="20"/>
                <w:szCs w:val="20"/>
              </w:rPr>
            </w:pPr>
          </w:p>
        </w:tc>
      </w:tr>
    </w:tbl>
    <w:p w14:paraId="769A30D2"/>
    <w:p w14:paraId="2211325E"/>
    <w:p w14:paraId="58253CF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7467"/>
        <w:gridCol w:w="3750"/>
        <w:gridCol w:w="6798"/>
        <w:gridCol w:w="330"/>
      </w:tblGrid>
      <w:tr w14:paraId="0248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D6AD26E">
            <w:pPr>
              <w:snapToGrid w:val="0"/>
              <w:spacing w:line="240" w:lineRule="atLeast"/>
              <w:jc w:val="left"/>
              <w:rPr>
                <w:rFonts w:asciiTheme="majorEastAsia" w:hAnsiTheme="majorEastAsia" w:eastAsiaTheme="majorEastAsia" w:cstheme="majorEastAsia"/>
                <w:spacing w:val="-23"/>
                <w:sz w:val="20"/>
                <w:szCs w:val="20"/>
              </w:rPr>
            </w:pPr>
          </w:p>
          <w:p w14:paraId="375D6E69">
            <w:pPr>
              <w:snapToGrid w:val="0"/>
              <w:spacing w:line="240" w:lineRule="atLeast"/>
              <w:jc w:val="left"/>
              <w:rPr>
                <w:rFonts w:asciiTheme="majorEastAsia" w:hAnsiTheme="majorEastAsia" w:eastAsiaTheme="majorEastAsia" w:cstheme="majorEastAsia"/>
                <w:spacing w:val="-23"/>
                <w:sz w:val="20"/>
                <w:szCs w:val="20"/>
              </w:rPr>
            </w:pPr>
          </w:p>
          <w:p w14:paraId="4E6EE9C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856E058">
            <w:pPr>
              <w:spacing w:line="240" w:lineRule="atLeast"/>
              <w:rPr>
                <w:rFonts w:asciiTheme="majorEastAsia" w:hAnsiTheme="majorEastAsia" w:eastAsiaTheme="majorEastAsia" w:cstheme="majorEastAsia"/>
                <w:spacing w:val="-20"/>
                <w:sz w:val="20"/>
                <w:szCs w:val="20"/>
              </w:rPr>
            </w:pPr>
          </w:p>
          <w:p w14:paraId="058AF1B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326" w:type="dxa"/>
            <w:gridSpan w:val="5"/>
          </w:tcPr>
          <w:p w14:paraId="4D6F6B2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548" w:type="dxa"/>
            <w:gridSpan w:val="2"/>
          </w:tcPr>
          <w:p w14:paraId="482C171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7EF520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89B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0C41E53">
            <w:pPr>
              <w:spacing w:line="240" w:lineRule="atLeast"/>
              <w:jc w:val="left"/>
              <w:rPr>
                <w:rFonts w:ascii="仿宋_GB2312" w:hAnsi="仿宋_GB2312" w:eastAsia="仿宋_GB2312" w:cs="仿宋_GB2312"/>
                <w:sz w:val="20"/>
                <w:szCs w:val="20"/>
              </w:rPr>
            </w:pPr>
          </w:p>
        </w:tc>
        <w:tc>
          <w:tcPr>
            <w:tcW w:w="555" w:type="dxa"/>
            <w:vMerge w:val="continue"/>
          </w:tcPr>
          <w:p w14:paraId="66282386">
            <w:pPr>
              <w:spacing w:line="240" w:lineRule="atLeast"/>
              <w:jc w:val="left"/>
              <w:rPr>
                <w:rFonts w:ascii="仿宋_GB2312" w:hAnsi="仿宋_GB2312" w:eastAsia="仿宋_GB2312" w:cs="仿宋_GB2312"/>
                <w:sz w:val="20"/>
                <w:szCs w:val="20"/>
              </w:rPr>
            </w:pPr>
          </w:p>
        </w:tc>
        <w:tc>
          <w:tcPr>
            <w:tcW w:w="600" w:type="dxa"/>
            <w:vAlign w:val="center"/>
          </w:tcPr>
          <w:p w14:paraId="5197C6AF">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FEC6B9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37E9A7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3EF14E4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467" w:type="dxa"/>
            <w:vAlign w:val="center"/>
          </w:tcPr>
          <w:p w14:paraId="45E59F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50" w:type="dxa"/>
            <w:vAlign w:val="center"/>
          </w:tcPr>
          <w:p w14:paraId="362F0E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1E926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798" w:type="dxa"/>
            <w:vAlign w:val="center"/>
          </w:tcPr>
          <w:p w14:paraId="6739A01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3C6CFD1">
            <w:pPr>
              <w:spacing w:line="240" w:lineRule="atLeast"/>
              <w:jc w:val="left"/>
              <w:rPr>
                <w:rFonts w:ascii="仿宋_GB2312" w:hAnsi="仿宋_GB2312" w:eastAsia="仿宋_GB2312" w:cs="仿宋_GB2312"/>
                <w:sz w:val="20"/>
                <w:szCs w:val="20"/>
              </w:rPr>
            </w:pPr>
          </w:p>
        </w:tc>
      </w:tr>
      <w:tr w14:paraId="12EC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3EFD8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w:t>
            </w:r>
          </w:p>
        </w:tc>
        <w:tc>
          <w:tcPr>
            <w:tcW w:w="555" w:type="dxa"/>
            <w:vAlign w:val="center"/>
          </w:tcPr>
          <w:p w14:paraId="4583C1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B97EC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A05B1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1B88F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584E74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乡村建设规划许可</w:t>
            </w:r>
          </w:p>
        </w:tc>
        <w:tc>
          <w:tcPr>
            <w:tcW w:w="645" w:type="dxa"/>
            <w:vAlign w:val="center"/>
          </w:tcPr>
          <w:p w14:paraId="709D619F">
            <w:pPr>
              <w:snapToGrid w:val="0"/>
              <w:spacing w:line="240" w:lineRule="atLeast"/>
              <w:jc w:val="center"/>
              <w:rPr>
                <w:rFonts w:ascii="仿宋_GB2312" w:hAnsi="仿宋_GB2312" w:eastAsia="仿宋_GB2312" w:cs="仿宋_GB2312"/>
                <w:sz w:val="20"/>
                <w:szCs w:val="20"/>
              </w:rPr>
            </w:pPr>
          </w:p>
        </w:tc>
        <w:tc>
          <w:tcPr>
            <w:tcW w:w="585" w:type="dxa"/>
            <w:vAlign w:val="center"/>
          </w:tcPr>
          <w:p w14:paraId="620482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94117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7467" w:type="dxa"/>
            <w:vAlign w:val="center"/>
          </w:tcPr>
          <w:p w14:paraId="51276E9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四十一条：在乡、村庄规划区内进行乡镇企业、乡村公共设施和公益事业建设的，建设单位或者个人应当向乡、镇人民政府提出申请，由乡、镇人民政府报城市、县人民政府城乡规划主管部门核发乡村建设规划许可证。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w:t>
            </w:r>
          </w:p>
          <w:p w14:paraId="515A184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三十七条：在乡、村庄规划区内进行乡镇企业、乡村公共设施和公益事业建设，应当办理乡村建设规划许可证。建设单位或者个人应当持经有关部门审批、核准或者备案文件、标明拟建项目用地范围的规定比例尺地形图、建设工程设计方案（包括图纸和说明，下同）、有关村民委员会意见、建设单位或者个人有效证件等材料，向所在地镇或者乡人民政府提出书面申请。镇或者乡人民政府对提交的材料进行初审，对材料齐全的，提出初审意见；对材料不齐全的，告知其应当补正的有关材料。镇或者乡人民政府将初审意见及该建设项目相关材料一并报上一级人民政府城乡规划主管部门。城乡规划主管部门依据乡、村庄规划对建设项目进行核查，对符合乡、村庄规划要求及国家有关规范、标准的，核发乡村建设规划许可证；对不符合要求的，不予核发，并书面说明理由。</w:t>
            </w:r>
          </w:p>
          <w:p w14:paraId="15838CE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第三十八条：村民在乡、村庄规划区范围内进行住宅建设的，应当办理乡村建设规划许可证。</w:t>
            </w:r>
          </w:p>
          <w:p w14:paraId="74F7B8BC">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建房村民须持拟建住房用地的有关证明文件、村民小组和村民委员会意见、四邻关系图、建设工程设计方案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w:t>
            </w:r>
          </w:p>
          <w:p w14:paraId="2A6E6B0B">
            <w:pPr>
              <w:widowControl/>
              <w:adjustRightInd w:val="0"/>
              <w:snapToGrid w:val="0"/>
              <w:spacing w:line="240" w:lineRule="exact"/>
              <w:rPr>
                <w:rFonts w:eastAsia="仿宋_GB2312"/>
                <w:snapToGrid w:val="0"/>
                <w:color w:val="000000"/>
                <w:sz w:val="20"/>
                <w:szCs w:val="20"/>
              </w:rPr>
            </w:pPr>
            <w:r>
              <w:rPr>
                <w:rFonts w:hint="eastAsia" w:eastAsia="仿宋_GB2312"/>
                <w:snapToGrid w:val="0"/>
                <w:color w:val="000000"/>
                <w:sz w:val="20"/>
                <w:szCs w:val="20"/>
              </w:rPr>
              <w:t>第四十一条：城市、县人民政府城乡规划主管部门可以委托符合下列条件的乡、镇人民政府核发乡村建设规划许可证：（一）乡规划、村庄规划已经依法批准；（二）设有乡镇规划建设管理机构和配备有专职乡镇规划建设管理人员。</w:t>
            </w:r>
          </w:p>
          <w:p w14:paraId="34D2A76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乡村规划建设管理条例》（2018年11月28日广西壮族自治区第十三届人民代表大会常务委员会第六次会议通过）第二十一条：在乡、村庄规划区内进行乡镇企业、乡村公共设施、公益事业建设以及村民住宅建设，应当取得乡村建设规划许可证，建设单位或者个人应当按照规划许可证的内容进行建设。乡村建设规划许可证的内容应当包括对地块位置、用地范围、用地性质、建筑面积、建筑高度、建筑风格、外观形象、色彩等的要求。</w:t>
            </w:r>
          </w:p>
          <w:p w14:paraId="56E91F3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五条：在乡、村庄规划区内进行乡镇企业、乡村公共设施、公益事业建设，以及村民不使用原有宅基地或者扩大原有宅基地面积建设住宅的，乡（镇）人民政府自受理申请之日起十个工作日内将审核意见以及该建设工程相关材料报上一级人民政府城乡规划主管部门；城乡规划主管部门自受理申请之日起二十个工作日内作出决定，对符合本条例第二十二条规定条件的，核发乡村建设规划许可证；对不符合本条例第二十二条规定条件的，不予核发，并书面说明理由。</w:t>
            </w:r>
          </w:p>
          <w:p w14:paraId="6F7B168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县级人民政府城乡规划主管部门可以委托乡（镇）人民政府核发乡村建设规划许可证。</w:t>
            </w:r>
          </w:p>
          <w:p w14:paraId="093BF0E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在乡、村庄规划区内进行本条第一款规定的建设，应当在取得乡村建设规划许可证后，依法办理用地审批手续。</w:t>
            </w:r>
          </w:p>
          <w:p w14:paraId="2AAA90C6">
            <w:pPr>
              <w:snapToGrid w:val="0"/>
              <w:spacing w:line="240" w:lineRule="exact"/>
              <w:rPr>
                <w:rFonts w:ascii="仿宋_GB2312" w:hAnsi="仿宋_GB2312" w:eastAsia="仿宋_GB2312" w:cs="仿宋_GB2312"/>
                <w:sz w:val="20"/>
                <w:szCs w:val="20"/>
              </w:rPr>
            </w:pPr>
            <w:r>
              <w:rPr>
                <w:rFonts w:hint="eastAsia" w:eastAsia="仿宋_GB2312"/>
                <w:snapToGrid w:val="0"/>
                <w:color w:val="000000"/>
                <w:sz w:val="20"/>
                <w:szCs w:val="20"/>
              </w:rPr>
              <w:t>第二十六条：在乡、村庄规划区内使用原有宅基地建设住宅的，乡（镇）人民政府自受理申请之日起二十个工作日内作出决定，对符合本条例第二十二条第一款规定条件的，核发乡村建设规划许可证；对不符合本条例第二十二条第一款规定条件的，不予核发，并书面说明理由。</w:t>
            </w:r>
          </w:p>
        </w:tc>
        <w:tc>
          <w:tcPr>
            <w:tcW w:w="3750" w:type="dxa"/>
            <w:vAlign w:val="center"/>
          </w:tcPr>
          <w:p w14:paraId="3756B0B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4E703BB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7470C80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081273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2A2088F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097EF11A">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6798" w:type="dxa"/>
            <w:vAlign w:val="center"/>
          </w:tcPr>
          <w:p w14:paraId="77DAEF5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6ADE3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205DC6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25125F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24DF1F0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5DA962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C9C664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2BA679C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8521D62">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17FB3DA4">
            <w:pPr>
              <w:snapToGrid w:val="0"/>
              <w:spacing w:line="240" w:lineRule="atLeast"/>
              <w:jc w:val="center"/>
              <w:rPr>
                <w:rFonts w:ascii="仿宋_GB2312" w:hAnsi="仿宋_GB2312" w:eastAsia="仿宋_GB2312" w:cs="仿宋_GB2312"/>
                <w:sz w:val="20"/>
                <w:szCs w:val="20"/>
              </w:rPr>
            </w:pPr>
          </w:p>
        </w:tc>
      </w:tr>
    </w:tbl>
    <w:p w14:paraId="749F523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657"/>
        <w:gridCol w:w="3375"/>
        <w:gridCol w:w="7983"/>
        <w:gridCol w:w="330"/>
      </w:tblGrid>
      <w:tr w14:paraId="744E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04122A">
            <w:pPr>
              <w:snapToGrid w:val="0"/>
              <w:spacing w:line="240" w:lineRule="atLeast"/>
              <w:jc w:val="left"/>
              <w:rPr>
                <w:rFonts w:asciiTheme="majorEastAsia" w:hAnsiTheme="majorEastAsia" w:eastAsiaTheme="majorEastAsia" w:cstheme="majorEastAsia"/>
                <w:spacing w:val="-23"/>
                <w:sz w:val="20"/>
                <w:szCs w:val="20"/>
              </w:rPr>
            </w:pPr>
          </w:p>
          <w:p w14:paraId="038FC5AF">
            <w:pPr>
              <w:snapToGrid w:val="0"/>
              <w:spacing w:line="240" w:lineRule="atLeast"/>
              <w:jc w:val="left"/>
              <w:rPr>
                <w:rFonts w:asciiTheme="majorEastAsia" w:hAnsiTheme="majorEastAsia" w:eastAsiaTheme="majorEastAsia" w:cstheme="majorEastAsia"/>
                <w:spacing w:val="-23"/>
                <w:sz w:val="20"/>
                <w:szCs w:val="20"/>
              </w:rPr>
            </w:pPr>
          </w:p>
          <w:p w14:paraId="5C87BE1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AF08744">
            <w:pPr>
              <w:spacing w:line="240" w:lineRule="atLeast"/>
              <w:rPr>
                <w:rFonts w:asciiTheme="majorEastAsia" w:hAnsiTheme="majorEastAsia" w:eastAsiaTheme="majorEastAsia" w:cstheme="majorEastAsia"/>
                <w:spacing w:val="-20"/>
                <w:sz w:val="20"/>
                <w:szCs w:val="20"/>
              </w:rPr>
            </w:pPr>
          </w:p>
          <w:p w14:paraId="3231172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516" w:type="dxa"/>
            <w:gridSpan w:val="5"/>
          </w:tcPr>
          <w:p w14:paraId="26ADF2D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358" w:type="dxa"/>
            <w:gridSpan w:val="2"/>
          </w:tcPr>
          <w:p w14:paraId="6FEF0BC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501201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B5D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DE88C9">
            <w:pPr>
              <w:spacing w:line="240" w:lineRule="atLeast"/>
              <w:jc w:val="left"/>
              <w:rPr>
                <w:rFonts w:ascii="仿宋_GB2312" w:hAnsi="仿宋_GB2312" w:eastAsia="仿宋_GB2312" w:cs="仿宋_GB2312"/>
                <w:sz w:val="20"/>
                <w:szCs w:val="20"/>
              </w:rPr>
            </w:pPr>
          </w:p>
        </w:tc>
        <w:tc>
          <w:tcPr>
            <w:tcW w:w="555" w:type="dxa"/>
            <w:vMerge w:val="continue"/>
          </w:tcPr>
          <w:p w14:paraId="764130D8">
            <w:pPr>
              <w:spacing w:line="240" w:lineRule="atLeast"/>
              <w:jc w:val="left"/>
              <w:rPr>
                <w:rFonts w:ascii="仿宋_GB2312" w:hAnsi="仿宋_GB2312" w:eastAsia="仿宋_GB2312" w:cs="仿宋_GB2312"/>
                <w:sz w:val="20"/>
                <w:szCs w:val="20"/>
              </w:rPr>
            </w:pPr>
          </w:p>
        </w:tc>
        <w:tc>
          <w:tcPr>
            <w:tcW w:w="600" w:type="dxa"/>
            <w:vAlign w:val="center"/>
          </w:tcPr>
          <w:p w14:paraId="6788A252">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C17D2A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212574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FABE4C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657" w:type="dxa"/>
            <w:vAlign w:val="center"/>
          </w:tcPr>
          <w:p w14:paraId="498D59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75" w:type="dxa"/>
            <w:vAlign w:val="center"/>
          </w:tcPr>
          <w:p w14:paraId="3C8B5F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7025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983" w:type="dxa"/>
            <w:vAlign w:val="center"/>
          </w:tcPr>
          <w:p w14:paraId="04D79D5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9BE789D">
            <w:pPr>
              <w:spacing w:line="240" w:lineRule="atLeast"/>
              <w:jc w:val="left"/>
              <w:rPr>
                <w:rFonts w:ascii="仿宋_GB2312" w:hAnsi="仿宋_GB2312" w:eastAsia="仿宋_GB2312" w:cs="仿宋_GB2312"/>
                <w:sz w:val="20"/>
                <w:szCs w:val="20"/>
              </w:rPr>
            </w:pPr>
          </w:p>
        </w:tc>
      </w:tr>
      <w:tr w14:paraId="0720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1ADBA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w:t>
            </w:r>
          </w:p>
        </w:tc>
        <w:tc>
          <w:tcPr>
            <w:tcW w:w="555" w:type="dxa"/>
            <w:vAlign w:val="center"/>
          </w:tcPr>
          <w:p w14:paraId="376138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083F7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2C939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4FE7E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0BB941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建设工程、临时建设工程规划许可</w:t>
            </w:r>
          </w:p>
        </w:tc>
        <w:tc>
          <w:tcPr>
            <w:tcW w:w="645" w:type="dxa"/>
            <w:vAlign w:val="center"/>
          </w:tcPr>
          <w:p w14:paraId="4DA30441">
            <w:pPr>
              <w:snapToGrid w:val="0"/>
              <w:spacing w:line="240" w:lineRule="atLeast"/>
              <w:jc w:val="center"/>
              <w:rPr>
                <w:rFonts w:ascii="仿宋_GB2312" w:hAnsi="仿宋_GB2312" w:eastAsia="仿宋_GB2312" w:cs="仿宋_GB2312"/>
                <w:sz w:val="20"/>
                <w:szCs w:val="20"/>
              </w:rPr>
            </w:pPr>
          </w:p>
        </w:tc>
        <w:tc>
          <w:tcPr>
            <w:tcW w:w="585" w:type="dxa"/>
            <w:vAlign w:val="center"/>
          </w:tcPr>
          <w:p w14:paraId="641C0C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B25A4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657" w:type="dxa"/>
            <w:vAlign w:val="center"/>
          </w:tcPr>
          <w:p w14:paraId="658B1F6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1.【法律】《中华人民共和国城乡规划法》第四十条第一款  在城市、镇规划区内进行建筑物、构筑物、道路、管线和其他工程建设的，建设单位或者个人应当向城市、县人民政府城乡规划主管部门或者省、自治区、直辖市人民政府确定的镇人民政府申请办理建设工程规划许可证。</w:t>
            </w:r>
          </w:p>
          <w:p w14:paraId="460B276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第四十条第二款  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14:paraId="53AE8FFD">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地方性法规】《广西壮族自治区实施&lt;中华人民共和国城乡规划法&gt;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三十一条第一款  在城市、镇规划区内进行建筑物、构筑物、道路、管线和其他工程建设的，建设单位或者个人应当向城市、县人民政府城乡规划主管部门或者自治区人民政府确定的镇人民政府申请办理建设工程规划许可证。未取得建设工程规划许可证的，不得进行建设。</w:t>
            </w:r>
          </w:p>
        </w:tc>
        <w:tc>
          <w:tcPr>
            <w:tcW w:w="3375" w:type="dxa"/>
            <w:vAlign w:val="center"/>
          </w:tcPr>
          <w:p w14:paraId="12F7CBF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1.受理责任：公示应当提交的材料；一次性告知补正材料；依法受理或不予受理（不予受理应当告知理由）。</w:t>
            </w:r>
          </w:p>
          <w:p w14:paraId="31B76CF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2.审查责任：按照政策规定对书面材料进行审查，提出是否同意审批的初步意见，告知申请人、利害相关人享有听证权利；涉及公共利益的重大许可，向社会公告，并举行听证。</w:t>
            </w:r>
          </w:p>
          <w:p w14:paraId="1771211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3.决定责任：作出行政许可或者不予行政许可决定,法定告知（不予许可的应当书面告知理由）。</w:t>
            </w:r>
          </w:p>
          <w:p w14:paraId="168A99E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4.送达责任：准予许可的制发送达审批决定。</w:t>
            </w:r>
          </w:p>
          <w:p w14:paraId="1BAF921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5.事后监管环节责任：对审批后的相关事宜实施监督管理</w:t>
            </w:r>
          </w:p>
          <w:p w14:paraId="275612E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6.其他法律法规规章文件规定应履行的责任。</w:t>
            </w:r>
          </w:p>
        </w:tc>
        <w:tc>
          <w:tcPr>
            <w:tcW w:w="7983" w:type="dxa"/>
            <w:vAlign w:val="center"/>
          </w:tcPr>
          <w:p w14:paraId="6BF2B2E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663BC3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6C04F50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741E45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4A55D86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3-1.【法律】《中华人民共和国行政许可法》第三十七条“行政机关对行政许可申请进行审.查后，除了当场作出行政许可决定的，应在法定期限内按照规定程序作出行政许可决定。”</w:t>
            </w:r>
          </w:p>
          <w:p w14:paraId="2CF784A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256A3D0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4-1.【法律】《中华人民共和国行政许可法》第四十条“行政机关作出的准予行政许可决定，应当予以公开，公众有权查阅。”</w:t>
            </w:r>
          </w:p>
          <w:p w14:paraId="1A69C73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25D8101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1866602A">
            <w:pPr>
              <w:snapToGrid w:val="0"/>
              <w:spacing w:line="240" w:lineRule="atLeast"/>
              <w:jc w:val="center"/>
              <w:rPr>
                <w:rFonts w:ascii="仿宋_GB2312" w:hAnsi="仿宋_GB2312" w:eastAsia="仿宋_GB2312" w:cs="仿宋_GB2312"/>
                <w:sz w:val="20"/>
                <w:szCs w:val="20"/>
              </w:rPr>
            </w:pPr>
          </w:p>
        </w:tc>
      </w:tr>
    </w:tbl>
    <w:p w14:paraId="47A725C8"/>
    <w:p w14:paraId="505EB690"/>
    <w:p w14:paraId="11B38A8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8292"/>
        <w:gridCol w:w="3150"/>
        <w:gridCol w:w="6573"/>
        <w:gridCol w:w="330"/>
      </w:tblGrid>
      <w:tr w14:paraId="64D6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109F4E5">
            <w:pPr>
              <w:snapToGrid w:val="0"/>
              <w:spacing w:line="240" w:lineRule="atLeast"/>
              <w:jc w:val="left"/>
              <w:rPr>
                <w:rFonts w:asciiTheme="majorEastAsia" w:hAnsiTheme="majorEastAsia" w:eastAsiaTheme="majorEastAsia" w:cstheme="majorEastAsia"/>
                <w:spacing w:val="-23"/>
                <w:sz w:val="20"/>
                <w:szCs w:val="20"/>
              </w:rPr>
            </w:pPr>
          </w:p>
          <w:p w14:paraId="74D6F2B4">
            <w:pPr>
              <w:snapToGrid w:val="0"/>
              <w:spacing w:line="240" w:lineRule="atLeast"/>
              <w:jc w:val="left"/>
              <w:rPr>
                <w:rFonts w:asciiTheme="majorEastAsia" w:hAnsiTheme="majorEastAsia" w:eastAsiaTheme="majorEastAsia" w:cstheme="majorEastAsia"/>
                <w:spacing w:val="-23"/>
                <w:sz w:val="20"/>
                <w:szCs w:val="20"/>
              </w:rPr>
            </w:pPr>
          </w:p>
          <w:p w14:paraId="0C17A01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B37959B">
            <w:pPr>
              <w:spacing w:line="240" w:lineRule="atLeast"/>
              <w:rPr>
                <w:rFonts w:asciiTheme="majorEastAsia" w:hAnsiTheme="majorEastAsia" w:eastAsiaTheme="majorEastAsia" w:cstheme="majorEastAsia"/>
                <w:spacing w:val="-20"/>
                <w:sz w:val="20"/>
                <w:szCs w:val="20"/>
              </w:rPr>
            </w:pPr>
          </w:p>
          <w:p w14:paraId="1DC0C8C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1151" w:type="dxa"/>
            <w:gridSpan w:val="5"/>
          </w:tcPr>
          <w:p w14:paraId="3460D8C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9723" w:type="dxa"/>
            <w:gridSpan w:val="2"/>
          </w:tcPr>
          <w:p w14:paraId="7E2CD56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81855A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A84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9135B6">
            <w:pPr>
              <w:spacing w:line="240" w:lineRule="atLeast"/>
              <w:jc w:val="left"/>
              <w:rPr>
                <w:rFonts w:ascii="仿宋_GB2312" w:hAnsi="仿宋_GB2312" w:eastAsia="仿宋_GB2312" w:cs="仿宋_GB2312"/>
                <w:sz w:val="20"/>
                <w:szCs w:val="20"/>
              </w:rPr>
            </w:pPr>
          </w:p>
        </w:tc>
        <w:tc>
          <w:tcPr>
            <w:tcW w:w="555" w:type="dxa"/>
            <w:vMerge w:val="continue"/>
          </w:tcPr>
          <w:p w14:paraId="053AA3A6">
            <w:pPr>
              <w:spacing w:line="240" w:lineRule="atLeast"/>
              <w:jc w:val="left"/>
              <w:rPr>
                <w:rFonts w:ascii="仿宋_GB2312" w:hAnsi="仿宋_GB2312" w:eastAsia="仿宋_GB2312" w:cs="仿宋_GB2312"/>
                <w:sz w:val="20"/>
                <w:szCs w:val="20"/>
              </w:rPr>
            </w:pPr>
          </w:p>
        </w:tc>
        <w:tc>
          <w:tcPr>
            <w:tcW w:w="600" w:type="dxa"/>
            <w:vAlign w:val="center"/>
          </w:tcPr>
          <w:p w14:paraId="55375E8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D67347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0616B6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FCECC4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8292" w:type="dxa"/>
            <w:vAlign w:val="center"/>
          </w:tcPr>
          <w:p w14:paraId="4C05FF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150" w:type="dxa"/>
            <w:vAlign w:val="center"/>
          </w:tcPr>
          <w:p w14:paraId="220490F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BB48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573" w:type="dxa"/>
            <w:vAlign w:val="center"/>
          </w:tcPr>
          <w:p w14:paraId="1BD0B12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E227788">
            <w:pPr>
              <w:spacing w:line="240" w:lineRule="atLeast"/>
              <w:jc w:val="left"/>
              <w:rPr>
                <w:rFonts w:ascii="仿宋_GB2312" w:hAnsi="仿宋_GB2312" w:eastAsia="仿宋_GB2312" w:cs="仿宋_GB2312"/>
                <w:sz w:val="20"/>
                <w:szCs w:val="20"/>
              </w:rPr>
            </w:pPr>
          </w:p>
        </w:tc>
      </w:tr>
      <w:tr w14:paraId="4A65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DC82F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w:t>
            </w:r>
          </w:p>
        </w:tc>
        <w:tc>
          <w:tcPr>
            <w:tcW w:w="555" w:type="dxa"/>
            <w:vAlign w:val="center"/>
          </w:tcPr>
          <w:p w14:paraId="0F302F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C5001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0F7B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F6B99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239704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建设用地、临时建设用地规划许可</w:t>
            </w:r>
          </w:p>
        </w:tc>
        <w:tc>
          <w:tcPr>
            <w:tcW w:w="645" w:type="dxa"/>
            <w:vAlign w:val="center"/>
          </w:tcPr>
          <w:p w14:paraId="032D0B54">
            <w:pPr>
              <w:snapToGrid w:val="0"/>
              <w:spacing w:line="240" w:lineRule="atLeast"/>
              <w:jc w:val="center"/>
              <w:rPr>
                <w:rFonts w:ascii="仿宋_GB2312" w:hAnsi="仿宋_GB2312" w:eastAsia="仿宋_GB2312" w:cs="仿宋_GB2312"/>
                <w:sz w:val="20"/>
                <w:szCs w:val="20"/>
              </w:rPr>
            </w:pPr>
          </w:p>
        </w:tc>
        <w:tc>
          <w:tcPr>
            <w:tcW w:w="585" w:type="dxa"/>
            <w:vAlign w:val="center"/>
          </w:tcPr>
          <w:p w14:paraId="6B670D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8A669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8292" w:type="dxa"/>
            <w:vAlign w:val="center"/>
          </w:tcPr>
          <w:p w14:paraId="13057FE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1.【法律】《中华人民共和国城乡规划法》第三十七条　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规划许可证。</w:t>
            </w:r>
          </w:p>
          <w:p w14:paraId="3D55B45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建设单位在取得建设用地规划许可证后，方可向县级以上地方人民政府土地主管部门申请用地，经县级以上人民政府审批后，由土地主管部门划拨土地。</w:t>
            </w:r>
          </w:p>
          <w:p w14:paraId="0D7A6AD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第三十八条　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w:t>
            </w:r>
          </w:p>
          <w:p w14:paraId="7C51C467">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以出让方式取得国有土地使用权的建设项目，建设单位在取得建设项目的批准、核准、备案文件和签订国有土地使用权出让合同后，向城市、县人民政府城乡规划主管部门领取建设用地规划许可证。</w:t>
            </w:r>
          </w:p>
          <w:p w14:paraId="3B86CBB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城市、县人民政府城乡规划主管部门不得在建设用地规划许可证中，擅自改变作为国有土地使用权出让合同组成部分的规划条件。</w:t>
            </w:r>
          </w:p>
          <w:p w14:paraId="6004BDC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第四十四条　在城市、镇规划区内进行临时建设的，应当经城市、县人民政府城乡规划主管部门批准。临时建设影响近期建设规划或者控制性详细规划的实施以及交通、市容、安全等的，不得批准。</w:t>
            </w:r>
          </w:p>
          <w:p w14:paraId="4DD0185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临时建设应当在批准的使用期限内自行拆除。</w:t>
            </w:r>
          </w:p>
          <w:p w14:paraId="3EBE530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临时建设和临时用地规划管理的具体办法，由省、自治区、直辖市人民政府制定。                         </w:t>
            </w:r>
          </w:p>
          <w:p w14:paraId="2C56565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地方性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二十五条 建设单位应当在取得选址意见书后2年内取得建设用地规划许可证;期满需要延续的，应当在期限届满30日前向城乡规划主管部门提出申请，经批准可以延续1次，期限不得超过2年。未获得延续批准或者在规定的期限内未取得建设用地规划许可证的，选址意见书失效。</w:t>
            </w:r>
          </w:p>
          <w:p w14:paraId="6C7B4F2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第二十七条 在城市、镇、乡规划区内以划拨方式取得国有土地使用权的建设项目，其建设用地规划许可证按照以下规定办理:</w:t>
            </w:r>
          </w:p>
          <w:p w14:paraId="48E45B8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一)项目建设单位持有关部门对建设项目审批、核准或者备案的文件，建设项目选址意见书及附件、地形图、项目相关文件图纸，以及经依法审定的建设工程设计方案的总平面图(需要编制修建性详细规划的，应提供经依法审定的修建性详细规划)，向城乡规划主管部门提出建设用地规划许可书面申请。</w:t>
            </w:r>
          </w:p>
          <w:p w14:paraId="216459A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二)城乡规划主管部门审核建设单位提交的各项文件、资料、图纸等是否完备，并依据依法批准的控制性详细规划审核建设用地的位置、面积，确定建设用地范围。对于文件完备，且符合控制性详细规划要求的建设项目，核发建设用地规划许可证;对不符合要求的，不予核发，并书面说明理由。</w:t>
            </w:r>
          </w:p>
          <w:p w14:paraId="48A249D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第二十八条 以出让方式取得国有土地使用权的建设项目，其建设用地规划许可证按照以下规定领取:</w:t>
            </w:r>
          </w:p>
          <w:p w14:paraId="72B8AE9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一)建设单位向城乡规划主管部门提交建设项目审批、核准或者备案文件，以及国有土地使用权出让合同、经依法审定的建设工程设计方案的总平面图(需要编制修建性详细规划的，应提供经依法审定的修建性详细规划);</w:t>
            </w:r>
          </w:p>
          <w:p w14:paraId="5A1D265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二)城乡规划主管部门审核建设单位提供的各项文件、资料、图纸等是否完备，并依据依法批准的控制性详细规划，核验国有土地使用权出让合同中约定的建设用地规划条件，确定建设用地范围。对于具备相关文件且符合控制性详细规划要求的建设项目，准予领取建设用地规划许可证;对不符合要求的，不准予领取，并书面说明理由。</w:t>
            </w:r>
          </w:p>
        </w:tc>
        <w:tc>
          <w:tcPr>
            <w:tcW w:w="3150" w:type="dxa"/>
            <w:vAlign w:val="center"/>
          </w:tcPr>
          <w:p w14:paraId="5912ACE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1.受理阶段责任：申请办理建设用地规划许可证应当提交的材料；一次性告知补正材料；依法受理或不予受理（不予受理应当告知理由）；            </w:t>
            </w:r>
          </w:p>
          <w:p w14:paraId="1C4F1D6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2.审查阶段责任：根据建设用地规划的相关条件对材料审核，提出拟办意见。对受理材料进行初审，提出拟办意见，报分管领导审批；                 </w:t>
            </w:r>
          </w:p>
          <w:p w14:paraId="007D245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3.决定阶段责任：作出准予许可或不予许可的审批决定；按时办结，法定告知；             </w:t>
            </w:r>
          </w:p>
          <w:p w14:paraId="06D9506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4.送达阶段责任：准予许可的，核发建设用地规划许可证；不予许可的，制发不予许可决定书，信息公开；                 </w:t>
            </w:r>
          </w:p>
          <w:p w14:paraId="6A47151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5.事后监管阶段责任：加强批后管理，依法查处违法、违规行为；  </w:t>
            </w:r>
          </w:p>
          <w:p w14:paraId="6A42496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6.其他法律法规政策规定应履行的责任。</w:t>
            </w:r>
          </w:p>
        </w:tc>
        <w:tc>
          <w:tcPr>
            <w:tcW w:w="6573" w:type="dxa"/>
            <w:vAlign w:val="center"/>
          </w:tcPr>
          <w:p w14:paraId="3485163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14:paraId="091F2DB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二十四条 按照国家规定需要有关部门批准或者核准的建设项目，以划拨方式提供国有土地使用权的，建设单位应当在报送有关部门审批、核准前，持以下材料向审批、核准部门的同级城乡规划主管部门申请核发选址意见书：……城乡规划主管部门受理申请后，按照城乡规划要求进行审查，对项目选址符合城乡规划要求的，核发建设项目选址意见书；对不符合要求的，不予核发，并书面说明理由。其中，由国务院或者自治区有关部门审批、核准的建设项目，经县级以上人民政府城乡规划主管部门逐级审查后，报自治区人民政府城乡规划主管部门核发选址意见书。 </w:t>
            </w:r>
          </w:p>
          <w:p w14:paraId="652AAAB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2003年8月27日通过，中华人民共和国主席令7号）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02E673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行政许可法》（2003年8月27日通过，中华人民共和国主席令7号）第四十四条：“行政机关作出准予行政许可的决定，应当自作出决定之日起十日内向申请人颁发、送达行政许可证件，或者加贴标签、加盖检验、检测、检疫印章。 ”</w:t>
            </w:r>
          </w:p>
          <w:p w14:paraId="1D3F4DD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律】《中华人民共和国行政许可法》（2003年8月27日通过，中华人民共和国主席令第七号）第61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 </w:t>
            </w:r>
          </w:p>
        </w:tc>
        <w:tc>
          <w:tcPr>
            <w:tcW w:w="330" w:type="dxa"/>
            <w:vAlign w:val="center"/>
          </w:tcPr>
          <w:p w14:paraId="53DD2DCC">
            <w:pPr>
              <w:snapToGrid w:val="0"/>
              <w:spacing w:line="240" w:lineRule="atLeast"/>
              <w:jc w:val="center"/>
              <w:rPr>
                <w:rFonts w:ascii="仿宋_GB2312" w:hAnsi="仿宋_GB2312" w:eastAsia="仿宋_GB2312" w:cs="仿宋_GB2312"/>
                <w:sz w:val="20"/>
                <w:szCs w:val="20"/>
              </w:rPr>
            </w:pPr>
          </w:p>
        </w:tc>
      </w:tr>
    </w:tbl>
    <w:p w14:paraId="545CAF8F"/>
    <w:p w14:paraId="7488CA09"/>
    <w:p w14:paraId="397A814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356"/>
        <w:gridCol w:w="3150"/>
        <w:gridCol w:w="8509"/>
        <w:gridCol w:w="330"/>
      </w:tblGrid>
      <w:tr w14:paraId="2A29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164C14">
            <w:pPr>
              <w:snapToGrid w:val="0"/>
              <w:spacing w:line="240" w:lineRule="atLeast"/>
              <w:jc w:val="left"/>
              <w:rPr>
                <w:rFonts w:ascii="宋体" w:hAnsi="宋体" w:eastAsia="宋体" w:cs="宋体"/>
                <w:spacing w:val="-23"/>
                <w:sz w:val="20"/>
                <w:szCs w:val="20"/>
              </w:rPr>
            </w:pPr>
          </w:p>
          <w:p w14:paraId="18BBDF92">
            <w:pPr>
              <w:snapToGrid w:val="0"/>
              <w:spacing w:line="240" w:lineRule="atLeast"/>
              <w:jc w:val="left"/>
              <w:rPr>
                <w:rFonts w:ascii="宋体" w:hAnsi="宋体" w:eastAsia="宋体" w:cs="宋体"/>
                <w:spacing w:val="-23"/>
                <w:sz w:val="20"/>
                <w:szCs w:val="20"/>
              </w:rPr>
            </w:pPr>
          </w:p>
          <w:p w14:paraId="0917E88F">
            <w:pPr>
              <w:snapToGrid w:val="0"/>
              <w:spacing w:line="240" w:lineRule="atLeast"/>
              <w:jc w:val="left"/>
              <w:rPr>
                <w:rFonts w:ascii="宋体" w:hAnsi="宋体" w:eastAsia="宋体" w:cs="宋体"/>
                <w:spacing w:val="-23"/>
                <w:sz w:val="20"/>
                <w:szCs w:val="20"/>
              </w:rPr>
            </w:pPr>
            <w:r>
              <w:rPr>
                <w:rFonts w:hint="eastAsia" w:ascii="宋体" w:hAnsi="宋体" w:eastAsia="宋体" w:cs="宋体"/>
                <w:spacing w:val="-23"/>
                <w:sz w:val="20"/>
                <w:szCs w:val="20"/>
                <w:lang w:bidi="ar"/>
              </w:rPr>
              <w:t>序号</w:t>
            </w:r>
          </w:p>
        </w:tc>
        <w:tc>
          <w:tcPr>
            <w:tcW w:w="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FB2F23">
            <w:pPr>
              <w:spacing w:line="240" w:lineRule="atLeast"/>
              <w:rPr>
                <w:rFonts w:ascii="宋体" w:hAnsi="宋体" w:eastAsia="宋体" w:cs="宋体"/>
                <w:spacing w:val="-20"/>
                <w:sz w:val="20"/>
                <w:szCs w:val="20"/>
              </w:rPr>
            </w:pPr>
          </w:p>
          <w:p w14:paraId="1D653823">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lang w:bidi="ar"/>
              </w:rPr>
              <w:t>权力分类</w:t>
            </w:r>
          </w:p>
        </w:tc>
        <w:tc>
          <w:tcPr>
            <w:tcW w:w="9215" w:type="dxa"/>
            <w:gridSpan w:val="5"/>
            <w:tcBorders>
              <w:top w:val="single" w:color="auto" w:sz="4" w:space="0"/>
              <w:left w:val="single" w:color="auto" w:sz="4" w:space="0"/>
              <w:bottom w:val="single" w:color="auto" w:sz="4" w:space="0"/>
              <w:right w:val="single" w:color="auto" w:sz="4" w:space="0"/>
            </w:tcBorders>
            <w:shd w:val="clear" w:color="auto" w:fill="auto"/>
          </w:tcPr>
          <w:p w14:paraId="1065E7DB">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权力清单</w:t>
            </w:r>
          </w:p>
        </w:tc>
        <w:tc>
          <w:tcPr>
            <w:tcW w:w="11659" w:type="dxa"/>
            <w:gridSpan w:val="2"/>
            <w:tcBorders>
              <w:top w:val="single" w:color="auto" w:sz="4" w:space="0"/>
              <w:left w:val="single" w:color="auto" w:sz="4" w:space="0"/>
              <w:bottom w:val="single" w:color="auto" w:sz="4" w:space="0"/>
              <w:right w:val="single" w:color="auto" w:sz="4" w:space="0"/>
            </w:tcBorders>
            <w:shd w:val="clear" w:color="auto" w:fill="auto"/>
          </w:tcPr>
          <w:p w14:paraId="5C2D847E">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责任清单</w:t>
            </w:r>
          </w:p>
        </w:tc>
        <w:tc>
          <w:tcPr>
            <w:tcW w:w="330" w:type="dxa"/>
            <w:tcBorders>
              <w:top w:val="single" w:color="auto" w:sz="4" w:space="0"/>
              <w:left w:val="single" w:color="auto" w:sz="4" w:space="0"/>
              <w:bottom w:val="single" w:color="auto" w:sz="4" w:space="0"/>
              <w:right w:val="single" w:color="auto" w:sz="4" w:space="0"/>
            </w:tcBorders>
            <w:shd w:val="clear" w:color="auto" w:fill="auto"/>
            <w:vAlign w:val="center"/>
          </w:tcPr>
          <w:p w14:paraId="3F666FD5">
            <w:pPr>
              <w:snapToGrid w:val="0"/>
              <w:spacing w:line="240" w:lineRule="atLeast"/>
              <w:rPr>
                <w:rFonts w:ascii="宋体" w:hAnsi="宋体" w:eastAsia="宋体" w:cs="宋体"/>
                <w:sz w:val="28"/>
                <w:szCs w:val="28"/>
              </w:rPr>
            </w:pPr>
            <w:r>
              <w:rPr>
                <w:rFonts w:hint="eastAsia" w:ascii="宋体" w:hAnsi="宋体" w:eastAsia="宋体" w:cs="宋体"/>
                <w:sz w:val="20"/>
                <w:szCs w:val="20"/>
                <w:lang w:bidi="ar"/>
              </w:rPr>
              <w:t>备注</w:t>
            </w:r>
          </w:p>
        </w:tc>
      </w:tr>
      <w:tr w14:paraId="7CB2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6D5CF9">
            <w:pPr>
              <w:rPr>
                <w:rFonts w:ascii="Times New Roman" w:hAnsi="Times New Roman" w:cs="Times New Roman"/>
                <w:sz w:val="20"/>
                <w:szCs w:val="20"/>
              </w:rPr>
            </w:pPr>
          </w:p>
        </w:tc>
        <w:tc>
          <w:tcPr>
            <w:tcW w:w="5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32862">
            <w:pPr>
              <w:rPr>
                <w:rFonts w:ascii="Times New Roman" w:hAnsi="Times New Roman" w:cs="Times New Roman"/>
                <w:sz w:val="20"/>
                <w:szCs w:val="20"/>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69DB0A12">
            <w:pPr>
              <w:autoSpaceDE w:val="0"/>
              <w:snapToGrid w:val="0"/>
              <w:spacing w:line="200" w:lineRule="exact"/>
              <w:jc w:val="left"/>
              <w:rPr>
                <w:rFonts w:ascii="宋体" w:hAnsi="宋体" w:eastAsia="宋体" w:cs="宋体"/>
                <w:spacing w:val="-23"/>
                <w:sz w:val="20"/>
                <w:szCs w:val="20"/>
              </w:rPr>
            </w:pPr>
            <w:r>
              <w:rPr>
                <w:rFonts w:hint="eastAsia" w:ascii="宋体" w:hAnsi="宋体" w:eastAsia="宋体" w:cs="宋体"/>
                <w:spacing w:val="-23"/>
                <w:sz w:val="20"/>
                <w:szCs w:val="20"/>
                <w:lang w:bidi="ar"/>
              </w:rPr>
              <w:t>项 目名 称</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FA1402A">
            <w:pPr>
              <w:autoSpaceDE w:val="0"/>
              <w:adjustRightInd w:val="0"/>
              <w:snapToGrid w:val="0"/>
              <w:spacing w:line="240" w:lineRule="exact"/>
              <w:jc w:val="left"/>
              <w:rPr>
                <w:rFonts w:ascii="宋体" w:hAnsi="宋体" w:eastAsia="宋体" w:cs="宋体"/>
                <w:spacing w:val="-11"/>
                <w:sz w:val="20"/>
                <w:szCs w:val="20"/>
              </w:rPr>
            </w:pPr>
            <w:r>
              <w:rPr>
                <w:rFonts w:hint="eastAsia" w:ascii="宋体" w:hAnsi="宋体" w:eastAsia="宋体" w:cs="宋体"/>
                <w:spacing w:val="-11"/>
                <w:sz w:val="18"/>
                <w:szCs w:val="18"/>
                <w:lang w:bidi="ar"/>
              </w:rPr>
              <w:t>子项名 称</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013F0C1">
            <w:pPr>
              <w:autoSpaceDE w:val="0"/>
              <w:adjustRightInd w:val="0"/>
              <w:snapToGrid w:val="0"/>
              <w:spacing w:line="240" w:lineRule="exact"/>
              <w:jc w:val="left"/>
              <w:rPr>
                <w:rFonts w:ascii="宋体" w:hAnsi="宋体" w:eastAsia="宋体" w:cs="宋体"/>
                <w:spacing w:val="-11"/>
                <w:sz w:val="20"/>
                <w:szCs w:val="20"/>
              </w:rPr>
            </w:pPr>
            <w:r>
              <w:rPr>
                <w:rFonts w:hint="eastAsia" w:ascii="宋体" w:hAnsi="宋体" w:eastAsia="宋体" w:cs="宋体"/>
                <w:spacing w:val="-11"/>
                <w:sz w:val="20"/>
                <w:szCs w:val="20"/>
                <w:lang w:bidi="ar"/>
              </w:rPr>
              <w:t>实施主体</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4A3D6C63">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lang w:bidi="ar"/>
              </w:rPr>
              <w:t>承办的内设机构和单位</w:t>
            </w: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14:paraId="4E82B662">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实施依据</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578C56A5">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责任事项</w:t>
            </w:r>
          </w:p>
          <w:p w14:paraId="4E4DBF0A">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（明确责任主体）</w:t>
            </w:r>
          </w:p>
        </w:tc>
        <w:tc>
          <w:tcPr>
            <w:tcW w:w="8509" w:type="dxa"/>
            <w:tcBorders>
              <w:top w:val="single" w:color="auto" w:sz="4" w:space="0"/>
              <w:left w:val="single" w:color="auto" w:sz="4" w:space="0"/>
              <w:bottom w:val="single" w:color="auto" w:sz="4" w:space="0"/>
              <w:right w:val="single" w:color="auto" w:sz="4" w:space="0"/>
            </w:tcBorders>
            <w:shd w:val="clear" w:color="auto" w:fill="auto"/>
            <w:vAlign w:val="center"/>
          </w:tcPr>
          <w:p w14:paraId="480CF0E7">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lang w:bidi="ar"/>
              </w:rPr>
              <w:t>责任事项依据</w:t>
            </w:r>
          </w:p>
        </w:tc>
        <w:tc>
          <w:tcPr>
            <w:tcW w:w="330" w:type="dxa"/>
            <w:tcBorders>
              <w:top w:val="single" w:color="auto" w:sz="4" w:space="0"/>
              <w:left w:val="single" w:color="auto" w:sz="4" w:space="0"/>
              <w:bottom w:val="single" w:color="auto" w:sz="4" w:space="0"/>
              <w:right w:val="single" w:color="auto" w:sz="4" w:space="0"/>
            </w:tcBorders>
            <w:shd w:val="clear" w:color="auto" w:fill="auto"/>
          </w:tcPr>
          <w:p w14:paraId="089846B6">
            <w:pPr>
              <w:spacing w:line="240" w:lineRule="atLeast"/>
              <w:jc w:val="left"/>
              <w:rPr>
                <w:rFonts w:ascii="仿宋_GB2312" w:eastAsia="仿宋_GB2312" w:cs="仿宋_GB2312"/>
                <w:sz w:val="20"/>
                <w:szCs w:val="20"/>
              </w:rPr>
            </w:pPr>
          </w:p>
        </w:tc>
      </w:tr>
      <w:tr w14:paraId="5917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2AA3A601">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17</w:t>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151F2AD4">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行</w:t>
            </w:r>
          </w:p>
          <w:p w14:paraId="16B86A3B">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政</w:t>
            </w:r>
          </w:p>
          <w:p w14:paraId="65F9518F">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许</w:t>
            </w:r>
          </w:p>
          <w:p w14:paraId="34DF954C">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可</w:t>
            </w: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ECA2F7E">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在村庄、集镇规划区内公共场</w:t>
            </w:r>
          </w:p>
          <w:p w14:paraId="146643B2">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所修建临时建筑等设施审批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134C699">
            <w:pPr>
              <w:snapToGrid w:val="0"/>
              <w:spacing w:line="240" w:lineRule="atLeast"/>
              <w:jc w:val="center"/>
              <w:rPr>
                <w:rFonts w:ascii="仿宋_GB2312" w:eastAsia="仿宋_GB2312" w:cs="仿宋_GB2312"/>
                <w:sz w:val="20"/>
                <w:szCs w:val="20"/>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1271A88">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乡镇人民政府（自然资源主管部门监管）</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14:paraId="7F4922FF">
            <w:pPr>
              <w:snapToGrid w:val="0"/>
              <w:spacing w:line="240" w:lineRule="atLeast"/>
              <w:jc w:val="center"/>
              <w:rPr>
                <w:rFonts w:ascii="仿宋_GB2312" w:eastAsia="仿宋_GB2312" w:cs="仿宋_GB2312"/>
                <w:sz w:val="20"/>
                <w:szCs w:val="20"/>
              </w:rPr>
            </w:pPr>
          </w:p>
        </w:tc>
        <w:tc>
          <w:tcPr>
            <w:tcW w:w="6356" w:type="dxa"/>
            <w:tcBorders>
              <w:top w:val="single" w:color="auto" w:sz="4" w:space="0"/>
              <w:left w:val="single" w:color="auto" w:sz="4" w:space="0"/>
              <w:bottom w:val="single" w:color="auto" w:sz="4" w:space="0"/>
              <w:right w:val="single" w:color="auto" w:sz="4" w:space="0"/>
            </w:tcBorders>
            <w:shd w:val="clear" w:color="auto" w:fill="auto"/>
            <w:vAlign w:val="center"/>
          </w:tcPr>
          <w:p w14:paraId="7115E341">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【法律】《村庄和集镇规划建设管理条例》第六条 国务院建设行政主管部门主管全国的村庄、集镇规划建设管理工作。 县级以上地方人民政府建设行政主管部门主管本行政区域的村庄、集镇规划建设管理工作。 乡级人民政府负责本行政区域的村庄、集镇规划建设管理工作。第三十二条：“未经乡镇人民政府批准，任何单位和个人不得擅自在村庄、集镇规划区内的街道、广场、市场和车站等场所修建临时建筑物、构筑物和其他设施。”</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14:paraId="15D9880F">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lang w:bidi="ar"/>
              </w:rPr>
              <w:t xml:space="preserve">1.受理阶段责任：申请办理建设用地规划许可证应当提交的材料；一次性告知补正材料；依法受理或不予受理（不予受理应当告知理由）；            </w:t>
            </w:r>
          </w:p>
          <w:p w14:paraId="2C6199B4">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lang w:bidi="ar"/>
              </w:rPr>
              <w:t xml:space="preserve">2.审查阶段责任：根据建设用地规划的相关条件对材料审核，提出拟办意见。对受理材料进行初审，提出拟办意见，报分管领导审批；                 </w:t>
            </w:r>
          </w:p>
          <w:p w14:paraId="57482465">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lang w:bidi="ar"/>
              </w:rPr>
              <w:t xml:space="preserve">3.决定阶段责任：作出准予许可或不予许可的审批决定；按时办结，法定告知；             </w:t>
            </w:r>
          </w:p>
          <w:p w14:paraId="3D943A37">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lang w:bidi="ar"/>
              </w:rPr>
              <w:t xml:space="preserve">4.送达阶段责任：准予许可的，核发建设用地规划许可证；不予许可的，制发不予许可决定书，信息公开；                 </w:t>
            </w:r>
          </w:p>
          <w:p w14:paraId="41DDCA5A">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lang w:bidi="ar"/>
              </w:rPr>
              <w:t xml:space="preserve">5.事后监管阶段责任：加强批后管理，依法查处违法、违规行为；  </w:t>
            </w:r>
          </w:p>
          <w:p w14:paraId="2747E36D">
            <w:pPr>
              <w:autoSpaceDE w:val="0"/>
              <w:snapToGrid w:val="0"/>
              <w:spacing w:line="240" w:lineRule="atLeast"/>
              <w:ind w:firstLine="400" w:firstLineChars="200"/>
              <w:rPr>
                <w:rFonts w:ascii="仿宋_GB2312" w:eastAsia="仿宋_GB2312" w:cs="仿宋_GB2312"/>
                <w:sz w:val="20"/>
                <w:szCs w:val="20"/>
              </w:rPr>
            </w:pPr>
            <w:r>
              <w:rPr>
                <w:rFonts w:hint="eastAsia" w:ascii="仿宋_GB2312" w:hAnsi="Calibri" w:eastAsia="仿宋_GB2312" w:cs="仿宋_GB2312"/>
                <w:sz w:val="20"/>
                <w:szCs w:val="20"/>
                <w:lang w:bidi="ar"/>
              </w:rPr>
              <w:t>6.其他法律法规政策规定应履行的责任。</w:t>
            </w:r>
          </w:p>
        </w:tc>
        <w:tc>
          <w:tcPr>
            <w:tcW w:w="8509" w:type="dxa"/>
            <w:tcBorders>
              <w:top w:val="single" w:color="auto" w:sz="4" w:space="0"/>
              <w:left w:val="single" w:color="auto" w:sz="4" w:space="0"/>
              <w:bottom w:val="single" w:color="auto" w:sz="4" w:space="0"/>
              <w:right w:val="single" w:color="auto" w:sz="4" w:space="0"/>
            </w:tcBorders>
            <w:shd w:val="clear" w:color="auto" w:fill="auto"/>
            <w:vAlign w:val="center"/>
          </w:tcPr>
          <w:p w14:paraId="47B57AC2">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法律】《中华人民共和国行政许可法》（2003年8月27日通过，中华人民共和国主席令7号）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14:paraId="4458A2B3">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第三十二条：行政机关对申请人提出的行政许可申请,应当根据下列情况分别作出处理：</w:t>
            </w:r>
          </w:p>
          <w:p w14:paraId="04628DE3">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（一）申请事项依法不需要取得行政许可的,应当即时告知申请人不受理；</w:t>
            </w:r>
          </w:p>
          <w:p w14:paraId="531B2F1C">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（二）申请事项依法不属于本行政机关职权范围的,应当即时作出不予受理的决定,并告知申请人向有关行政机关申请；</w:t>
            </w:r>
          </w:p>
          <w:p w14:paraId="57E69EE2">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（三）申请材料存在可以当场更正的错误的,应当允许申请人当场更正；</w:t>
            </w:r>
          </w:p>
          <w:p w14:paraId="797084BA">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（四）申请材料不齐全或者不符合法定形式的,应当当场或者在五日内一次告知申请人需要补正的全部内容,逾期不告知的,自收到申请材料之日起即为受理；</w:t>
            </w:r>
          </w:p>
          <w:p w14:paraId="1F85AFA0">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（五）申请事项属于本行政机关职权范围,申请材料齐全、符合法定形式,或者申请人按照本行政机关的要求提交全部补正申请材料的,应当受理行政许可申请。</w:t>
            </w:r>
          </w:p>
          <w:p w14:paraId="5177C8C5">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行政机关受理或者不予受理行政许可申请,应当出具加盖本行政机关专用印章和注明日期的书面凭证。</w:t>
            </w:r>
          </w:p>
          <w:p w14:paraId="60D684B2">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第三十四条：第三十四条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BFBBD5A">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第三十七条：行政机关对行政许可申请进行审查后,除当场作出行政许可决定的外,应当在法定期限内按照规定程序作出行政许可决定。</w:t>
            </w:r>
          </w:p>
          <w:p w14:paraId="068830BC">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7EA9C2D">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第三十九条：行政机关作出准予行政许可的决定,需要颁发行政许可证件的,应当向申请人颁发加盖本行政机关印章的下列行政许可证件：</w:t>
            </w:r>
          </w:p>
          <w:p w14:paraId="5A2D50A0">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（一）许可证、执照或者其他许可证书；</w:t>
            </w:r>
          </w:p>
          <w:p w14:paraId="1370453E">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（二）资格证、资质证或者其他合格证书；</w:t>
            </w:r>
          </w:p>
          <w:p w14:paraId="48DEF10B">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（三）行政机关的批准文件或者证明文件；</w:t>
            </w:r>
          </w:p>
          <w:p w14:paraId="2C5EF766">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（四）法律、法规规定的其他行政许可证件。</w:t>
            </w:r>
          </w:p>
          <w:p w14:paraId="3EA70586">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行政机关实施检验、检测、检疫的,可以在检验、检测、检疫合格的设备、设施、产品、物品上加贴标签或者加盖检验、检测、检疫印章。</w:t>
            </w:r>
          </w:p>
          <w:p w14:paraId="47C47667">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第四十条：行政机关作出的准予行政许可决定,应当予以公开,公众有权查阅。</w:t>
            </w:r>
          </w:p>
          <w:p w14:paraId="55690464">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四十二条：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14:paraId="24765F77">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第四十四条：行政机关作出准予行政许可的决定,应当自作出决定之日起十日内向申请人颁发、送达行政许可证件,或者加贴标签、加盖检验、检测、检疫印章。</w:t>
            </w:r>
          </w:p>
          <w:p w14:paraId="482E707F">
            <w:pPr>
              <w:tabs>
                <w:tab w:val="left" w:pos="1421"/>
              </w:tabs>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第六十一条：上级行政机关应当加强对下级行政机关实施行政许可的监督检查,及时纠正行政许可实施中的违法行为。</w:t>
            </w:r>
          </w:p>
        </w:tc>
        <w:tc>
          <w:tcPr>
            <w:tcW w:w="330" w:type="dxa"/>
            <w:tcBorders>
              <w:top w:val="single" w:color="auto" w:sz="4" w:space="0"/>
              <w:left w:val="single" w:color="auto" w:sz="4" w:space="0"/>
              <w:bottom w:val="single" w:color="auto" w:sz="4" w:space="0"/>
              <w:right w:val="single" w:color="auto" w:sz="4" w:space="0"/>
            </w:tcBorders>
            <w:shd w:val="clear" w:color="auto" w:fill="auto"/>
            <w:vAlign w:val="center"/>
          </w:tcPr>
          <w:p w14:paraId="25A7AA6C">
            <w:pPr>
              <w:snapToGrid w:val="0"/>
              <w:spacing w:line="240" w:lineRule="atLeast"/>
              <w:jc w:val="center"/>
              <w:rPr>
                <w:rFonts w:ascii="仿宋_GB2312" w:eastAsia="仿宋_GB2312" w:cs="仿宋_GB2312"/>
                <w:sz w:val="20"/>
                <w:szCs w:val="20"/>
              </w:rPr>
            </w:pPr>
          </w:p>
        </w:tc>
      </w:tr>
    </w:tbl>
    <w:p w14:paraId="5316F87C"/>
    <w:p w14:paraId="709B51B9"/>
    <w:p w14:paraId="711842F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410"/>
        <w:gridCol w:w="3450"/>
        <w:gridCol w:w="9155"/>
        <w:gridCol w:w="330"/>
      </w:tblGrid>
      <w:tr w14:paraId="4274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338749C">
            <w:pPr>
              <w:snapToGrid w:val="0"/>
              <w:spacing w:line="240" w:lineRule="atLeast"/>
              <w:jc w:val="left"/>
              <w:rPr>
                <w:rFonts w:asciiTheme="majorEastAsia" w:hAnsiTheme="majorEastAsia" w:eastAsiaTheme="majorEastAsia" w:cstheme="majorEastAsia"/>
                <w:spacing w:val="-23"/>
                <w:sz w:val="20"/>
                <w:szCs w:val="20"/>
              </w:rPr>
            </w:pPr>
          </w:p>
          <w:p w14:paraId="519CD9CC">
            <w:pPr>
              <w:snapToGrid w:val="0"/>
              <w:spacing w:line="240" w:lineRule="atLeast"/>
              <w:jc w:val="left"/>
              <w:rPr>
                <w:rFonts w:asciiTheme="majorEastAsia" w:hAnsiTheme="majorEastAsia" w:eastAsiaTheme="majorEastAsia" w:cstheme="majorEastAsia"/>
                <w:spacing w:val="-23"/>
                <w:sz w:val="20"/>
                <w:szCs w:val="20"/>
              </w:rPr>
            </w:pPr>
          </w:p>
          <w:p w14:paraId="307E5A3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9B1109F">
            <w:pPr>
              <w:spacing w:line="240" w:lineRule="atLeast"/>
              <w:rPr>
                <w:rFonts w:asciiTheme="majorEastAsia" w:hAnsiTheme="majorEastAsia" w:eastAsiaTheme="majorEastAsia" w:cstheme="majorEastAsia"/>
                <w:spacing w:val="-20"/>
                <w:sz w:val="20"/>
                <w:szCs w:val="20"/>
              </w:rPr>
            </w:pPr>
          </w:p>
          <w:p w14:paraId="3AFD6CD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269" w:type="dxa"/>
            <w:gridSpan w:val="5"/>
            <w:vAlign w:val="center"/>
          </w:tcPr>
          <w:p w14:paraId="2FBF6C3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605" w:type="dxa"/>
            <w:gridSpan w:val="2"/>
            <w:vAlign w:val="center"/>
          </w:tcPr>
          <w:p w14:paraId="212321B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A4190A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32B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9B72AD9">
            <w:pPr>
              <w:spacing w:line="240" w:lineRule="atLeast"/>
              <w:jc w:val="left"/>
              <w:rPr>
                <w:rFonts w:ascii="仿宋_GB2312" w:hAnsi="仿宋_GB2312" w:eastAsia="仿宋_GB2312" w:cs="仿宋_GB2312"/>
                <w:sz w:val="20"/>
                <w:szCs w:val="20"/>
              </w:rPr>
            </w:pPr>
          </w:p>
        </w:tc>
        <w:tc>
          <w:tcPr>
            <w:tcW w:w="555" w:type="dxa"/>
            <w:vMerge w:val="continue"/>
          </w:tcPr>
          <w:p w14:paraId="0F177DD4">
            <w:pPr>
              <w:spacing w:line="240" w:lineRule="atLeast"/>
              <w:jc w:val="left"/>
              <w:rPr>
                <w:rFonts w:ascii="仿宋_GB2312" w:hAnsi="仿宋_GB2312" w:eastAsia="仿宋_GB2312" w:cs="仿宋_GB2312"/>
                <w:sz w:val="20"/>
                <w:szCs w:val="20"/>
              </w:rPr>
            </w:pPr>
          </w:p>
        </w:tc>
        <w:tc>
          <w:tcPr>
            <w:tcW w:w="600" w:type="dxa"/>
            <w:vAlign w:val="center"/>
          </w:tcPr>
          <w:p w14:paraId="4B1CEE92">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C961F4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190ED4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3A4DF9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410" w:type="dxa"/>
            <w:vAlign w:val="center"/>
          </w:tcPr>
          <w:p w14:paraId="446851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5771D9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516E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66FF236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88A6D31">
            <w:pPr>
              <w:spacing w:line="240" w:lineRule="atLeast"/>
              <w:jc w:val="left"/>
              <w:rPr>
                <w:rFonts w:ascii="仿宋_GB2312" w:hAnsi="仿宋_GB2312" w:eastAsia="仿宋_GB2312" w:cs="仿宋_GB2312"/>
                <w:sz w:val="20"/>
                <w:szCs w:val="20"/>
              </w:rPr>
            </w:pPr>
          </w:p>
        </w:tc>
      </w:tr>
      <w:tr w14:paraId="3A78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2C03A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w:t>
            </w:r>
          </w:p>
        </w:tc>
        <w:tc>
          <w:tcPr>
            <w:tcW w:w="555" w:type="dxa"/>
            <w:vAlign w:val="center"/>
          </w:tcPr>
          <w:p w14:paraId="6BE24B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D59DC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5594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11A0D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pacing w:val="-4"/>
                <w:sz w:val="20"/>
                <w:szCs w:val="20"/>
              </w:rPr>
              <w:t>对买卖或者以其他形式非法转让土地行为的处罚</w:t>
            </w:r>
          </w:p>
        </w:tc>
        <w:tc>
          <w:tcPr>
            <w:tcW w:w="645" w:type="dxa"/>
            <w:vAlign w:val="center"/>
          </w:tcPr>
          <w:p w14:paraId="461CFA6A">
            <w:pPr>
              <w:snapToGrid w:val="0"/>
              <w:spacing w:line="240" w:lineRule="atLeast"/>
              <w:jc w:val="center"/>
              <w:rPr>
                <w:rFonts w:ascii="仿宋_GB2312" w:hAnsi="仿宋_GB2312" w:eastAsia="仿宋_GB2312" w:cs="仿宋_GB2312"/>
                <w:sz w:val="20"/>
                <w:szCs w:val="20"/>
              </w:rPr>
            </w:pPr>
          </w:p>
        </w:tc>
        <w:tc>
          <w:tcPr>
            <w:tcW w:w="585" w:type="dxa"/>
            <w:vAlign w:val="center"/>
          </w:tcPr>
          <w:p w14:paraId="134F02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9F2D3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410" w:type="dxa"/>
            <w:vAlign w:val="center"/>
          </w:tcPr>
          <w:p w14:paraId="2E85A1B0">
            <w:pPr>
              <w:widowControl/>
              <w:adjustRightInd w:val="0"/>
              <w:snapToGrid w:val="0"/>
              <w:spacing w:line="28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6401BCAC">
            <w:pPr>
              <w:snapToGrid w:val="0"/>
              <w:spacing w:line="240" w:lineRule="atLeast"/>
              <w:ind w:firstLine="384" w:firstLineChars="200"/>
              <w:rPr>
                <w:rFonts w:ascii="仿宋_GB2312" w:hAnsi="仿宋_GB2312" w:eastAsia="仿宋_GB2312" w:cs="仿宋_GB2312"/>
                <w:sz w:val="20"/>
                <w:szCs w:val="20"/>
              </w:rPr>
            </w:pPr>
            <w:r>
              <w:rPr>
                <w:rFonts w:hint="eastAsia" w:eastAsia="仿宋_GB2312"/>
                <w:snapToGrid w:val="0"/>
                <w:color w:val="000000"/>
                <w:spacing w:val="-4"/>
                <w:sz w:val="20"/>
                <w:szCs w:val="20"/>
              </w:rPr>
              <w:t>2.【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3450" w:type="dxa"/>
            <w:vAlign w:val="center"/>
          </w:tcPr>
          <w:p w14:paraId="5979D98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1.立案阶段责任：接到举报或相关部门转送、巡查发现该违法行为，及时予以审查，决定是否立案。下达《责令停止违法行为通知书》。</w:t>
            </w:r>
          </w:p>
          <w:p w14:paraId="32F2FA0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FFD8D3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5407AD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4．告知阶段责任：作出行政处罚决定前，应制作《行政处罚告知书》送达当事人，告知违法事实及其享有的陈述、申辩等权利。符合听证规定的，制作并送达《行政处罚听证告知书》。</w:t>
            </w:r>
          </w:p>
          <w:p w14:paraId="5289B42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5．决定阶段责任：制作行政处罚决定书，载明行政处罚告知、当事人陈述申辩或者听证情况等内容。符合刑事案件移送条件的，及时移送。</w:t>
            </w:r>
          </w:p>
          <w:p w14:paraId="6F29EA5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6．送达阶段责任：行政处罚决定书按法律规定的方式送达当事人。</w:t>
            </w:r>
          </w:p>
          <w:p w14:paraId="5183A54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7．执行阶段责任：当事人履行处罚决定的，及时结案；未履行处罚决定，依照生效的行政处罚决定，按程序下达催缴（告）通知书和申请人民法院强制执行。</w:t>
            </w:r>
          </w:p>
          <w:p w14:paraId="1654B4A9">
            <w:pPr>
              <w:snapToGrid w:val="0"/>
              <w:spacing w:line="240" w:lineRule="atLeast"/>
              <w:ind w:firstLine="384" w:firstLineChars="200"/>
              <w:rPr>
                <w:rFonts w:ascii="仿宋_GB2312" w:hAnsi="仿宋_GB2312" w:eastAsia="仿宋_GB2312" w:cs="仿宋_GB2312"/>
                <w:sz w:val="20"/>
                <w:szCs w:val="20"/>
              </w:rPr>
            </w:pPr>
            <w:r>
              <w:rPr>
                <w:rFonts w:hint="eastAsia" w:eastAsia="仿宋_GB2312"/>
                <w:snapToGrid w:val="0"/>
                <w:color w:val="000000"/>
                <w:spacing w:val="-4"/>
                <w:sz w:val="20"/>
                <w:szCs w:val="20"/>
              </w:rPr>
              <w:t>8．其他法律法规规章文件规定应履行的责任。</w:t>
            </w:r>
          </w:p>
        </w:tc>
        <w:tc>
          <w:tcPr>
            <w:tcW w:w="9155" w:type="dxa"/>
            <w:vAlign w:val="center"/>
          </w:tcPr>
          <w:p w14:paraId="6D6E725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w:t>
            </w:r>
          </w:p>
          <w:p w14:paraId="4BD9A2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74EF42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E2B46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C93D1C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第十四条：调查人员与案件有直接利害关系的，应当回避。</w:t>
            </w:r>
          </w:p>
          <w:p w14:paraId="4C93FAB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第二十条：当事人请求自行提供陈述材料的，应当准许。必要时，调查人员也可以要求当事人自行书写。当事人应当在其提供的陈述材料上签名、按手印或者盖章。</w:t>
            </w:r>
          </w:p>
          <w:p w14:paraId="4D1190E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第二十一条：询问应当个别进行，并制作询问笔录。询问笔录应当记载询问的时间、地点和询问情况等。</w:t>
            </w:r>
          </w:p>
          <w:p w14:paraId="6B07D8A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90B5D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DE0CED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第二十八条：……当事人要求听证的，应当在收到《行政处罚听证告知书》后三个工作日内提出。</w:t>
            </w:r>
          </w:p>
          <w:p w14:paraId="3C8B841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5—1.【法律】《中华人民共和国行政处罚法》第三十八条：调查终结，行政机关负责人应当对调查结果进行审查，根据不同情况，分别作出决定。</w:t>
            </w:r>
          </w:p>
          <w:p w14:paraId="4BE7525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第三十九条：行政机关……应当制作《行政处罚决定书》。</w:t>
            </w:r>
          </w:p>
          <w:p w14:paraId="64F7E00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0DBB2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D4F90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6F4E8F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164AC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7—1.【法律】《中华人民共和国行政处罚法》第四十四条：行政处罚决定依法作出后，当事人应当在行政处罚决定的期限内，予以履行。</w:t>
            </w:r>
          </w:p>
          <w:p w14:paraId="33A78A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889B3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2CF2C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第三十六条：自然资源主管部门申请人民法院强制执行前，应当催告当事人履行义务。</w:t>
            </w:r>
          </w:p>
          <w:p w14:paraId="15EFF8D3">
            <w:pPr>
              <w:snapToGrid w:val="0"/>
              <w:spacing w:line="240" w:lineRule="atLeast"/>
              <w:ind w:firstLine="400" w:firstLineChars="200"/>
              <w:rPr>
                <w:rFonts w:ascii="仿宋_GB2312" w:hAnsi="仿宋_GB2312" w:eastAsia="仿宋_GB2312" w:cs="仿宋_GB2312"/>
                <w:sz w:val="20"/>
                <w:szCs w:val="20"/>
              </w:rPr>
            </w:pPr>
          </w:p>
        </w:tc>
        <w:tc>
          <w:tcPr>
            <w:tcW w:w="330" w:type="dxa"/>
            <w:vAlign w:val="center"/>
          </w:tcPr>
          <w:p w14:paraId="278286D3">
            <w:pPr>
              <w:snapToGrid w:val="0"/>
              <w:spacing w:line="240" w:lineRule="atLeast"/>
              <w:jc w:val="center"/>
              <w:rPr>
                <w:rFonts w:ascii="仿宋_GB2312" w:hAnsi="仿宋_GB2312" w:eastAsia="仿宋_GB2312" w:cs="仿宋_GB2312"/>
                <w:sz w:val="20"/>
                <w:szCs w:val="20"/>
              </w:rPr>
            </w:pPr>
          </w:p>
        </w:tc>
      </w:tr>
    </w:tbl>
    <w:p w14:paraId="03DC736C"/>
    <w:p w14:paraId="131CD99A"/>
    <w:p w14:paraId="4CD670C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080"/>
        <w:gridCol w:w="3330"/>
        <w:gridCol w:w="9605"/>
        <w:gridCol w:w="330"/>
      </w:tblGrid>
      <w:tr w14:paraId="36B1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1736DE">
            <w:pPr>
              <w:snapToGrid w:val="0"/>
              <w:spacing w:line="240" w:lineRule="atLeast"/>
              <w:jc w:val="left"/>
              <w:rPr>
                <w:rFonts w:asciiTheme="majorEastAsia" w:hAnsiTheme="majorEastAsia" w:eastAsiaTheme="majorEastAsia" w:cstheme="majorEastAsia"/>
                <w:spacing w:val="-23"/>
                <w:sz w:val="20"/>
                <w:szCs w:val="20"/>
              </w:rPr>
            </w:pPr>
          </w:p>
          <w:p w14:paraId="436D65C5">
            <w:pPr>
              <w:snapToGrid w:val="0"/>
              <w:spacing w:line="240" w:lineRule="atLeast"/>
              <w:jc w:val="left"/>
              <w:rPr>
                <w:rFonts w:asciiTheme="majorEastAsia" w:hAnsiTheme="majorEastAsia" w:eastAsiaTheme="majorEastAsia" w:cstheme="majorEastAsia"/>
                <w:spacing w:val="-23"/>
                <w:sz w:val="20"/>
                <w:szCs w:val="20"/>
              </w:rPr>
            </w:pPr>
          </w:p>
          <w:p w14:paraId="74376F7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FF54495">
            <w:pPr>
              <w:spacing w:line="240" w:lineRule="atLeast"/>
              <w:rPr>
                <w:rFonts w:asciiTheme="majorEastAsia" w:hAnsiTheme="majorEastAsia" w:eastAsiaTheme="majorEastAsia" w:cstheme="majorEastAsia"/>
                <w:spacing w:val="-20"/>
                <w:sz w:val="20"/>
                <w:szCs w:val="20"/>
              </w:rPr>
            </w:pPr>
          </w:p>
          <w:p w14:paraId="3C68B9D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39" w:type="dxa"/>
            <w:gridSpan w:val="5"/>
            <w:vAlign w:val="center"/>
          </w:tcPr>
          <w:p w14:paraId="347C2C5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35" w:type="dxa"/>
            <w:gridSpan w:val="2"/>
            <w:vAlign w:val="center"/>
          </w:tcPr>
          <w:p w14:paraId="50E400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43AAF2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B1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B5AFEB8">
            <w:pPr>
              <w:spacing w:line="240" w:lineRule="atLeast"/>
              <w:jc w:val="left"/>
              <w:rPr>
                <w:rFonts w:ascii="仿宋_GB2312" w:hAnsi="仿宋_GB2312" w:eastAsia="仿宋_GB2312" w:cs="仿宋_GB2312"/>
                <w:sz w:val="20"/>
                <w:szCs w:val="20"/>
              </w:rPr>
            </w:pPr>
          </w:p>
        </w:tc>
        <w:tc>
          <w:tcPr>
            <w:tcW w:w="555" w:type="dxa"/>
            <w:vMerge w:val="continue"/>
          </w:tcPr>
          <w:p w14:paraId="2011A1C5">
            <w:pPr>
              <w:spacing w:line="240" w:lineRule="atLeast"/>
              <w:jc w:val="left"/>
              <w:rPr>
                <w:rFonts w:ascii="仿宋_GB2312" w:hAnsi="仿宋_GB2312" w:eastAsia="仿宋_GB2312" w:cs="仿宋_GB2312"/>
                <w:sz w:val="20"/>
                <w:szCs w:val="20"/>
              </w:rPr>
            </w:pPr>
          </w:p>
        </w:tc>
        <w:tc>
          <w:tcPr>
            <w:tcW w:w="600" w:type="dxa"/>
            <w:vAlign w:val="center"/>
          </w:tcPr>
          <w:p w14:paraId="7ABE866A">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588661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1D9A67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064AF0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080" w:type="dxa"/>
            <w:vAlign w:val="center"/>
          </w:tcPr>
          <w:p w14:paraId="2E91AB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30" w:type="dxa"/>
            <w:vAlign w:val="center"/>
          </w:tcPr>
          <w:p w14:paraId="5EA9F22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4E781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05" w:type="dxa"/>
            <w:vAlign w:val="center"/>
          </w:tcPr>
          <w:p w14:paraId="5B13143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565B856">
            <w:pPr>
              <w:spacing w:line="240" w:lineRule="atLeast"/>
              <w:jc w:val="left"/>
              <w:rPr>
                <w:rFonts w:ascii="仿宋_GB2312" w:hAnsi="仿宋_GB2312" w:eastAsia="仿宋_GB2312" w:cs="仿宋_GB2312"/>
                <w:sz w:val="20"/>
                <w:szCs w:val="20"/>
              </w:rPr>
            </w:pPr>
          </w:p>
        </w:tc>
      </w:tr>
      <w:tr w14:paraId="4342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F034C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w:t>
            </w:r>
          </w:p>
        </w:tc>
        <w:tc>
          <w:tcPr>
            <w:tcW w:w="555" w:type="dxa"/>
            <w:vAlign w:val="center"/>
          </w:tcPr>
          <w:p w14:paraId="622F5A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E2593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6A269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67832C5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对未经批准，违法转让、出租、抵押以划拨方式取得的国有土地使用权行为的处罚</w:t>
            </w:r>
          </w:p>
        </w:tc>
        <w:tc>
          <w:tcPr>
            <w:tcW w:w="645" w:type="dxa"/>
            <w:vAlign w:val="center"/>
          </w:tcPr>
          <w:p w14:paraId="3E34C732">
            <w:pPr>
              <w:snapToGrid w:val="0"/>
              <w:spacing w:line="240" w:lineRule="atLeast"/>
              <w:jc w:val="center"/>
              <w:rPr>
                <w:rFonts w:ascii="仿宋_GB2312" w:hAnsi="仿宋_GB2312" w:eastAsia="仿宋_GB2312" w:cs="仿宋_GB2312"/>
                <w:sz w:val="20"/>
                <w:szCs w:val="20"/>
              </w:rPr>
            </w:pPr>
          </w:p>
        </w:tc>
        <w:tc>
          <w:tcPr>
            <w:tcW w:w="585" w:type="dxa"/>
            <w:vAlign w:val="center"/>
          </w:tcPr>
          <w:p w14:paraId="26B277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2BF5F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080" w:type="dxa"/>
            <w:vAlign w:val="center"/>
          </w:tcPr>
          <w:p w14:paraId="6B7D4A3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37B3D72C">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城市房地产管理法》第四十条：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6A29C68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第六十七条：违反本法第四十条第一款的规定转让房地产的，由县级以上人民政府土地管理部门责令缴纳土地使用权出让金，没收违法所得，可以并处罚款。</w:t>
            </w:r>
          </w:p>
          <w:p w14:paraId="20B35EEC">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中华人民共和国土地管理法实施条例》（1998年国务院令第256号发布，2021年国务院令第743号第三次修订）第五十四条：依照《土地管理法》第七十四条的规定处以罚款的，罚款额为违法所得的10%以上50%以下。</w:t>
            </w:r>
          </w:p>
          <w:p w14:paraId="5C3E06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行政法规】《中华人民共和国城镇国有土地使用权出让和转让暂行条例》（1990年国务院令第55号令发布，2020年修订）第四十六条：对未经批准擅自转让、出租、抵押划拨土地使用权的单位和个人，市、县人民政府土地管理部门应当没收其非法收入，并根据情节处以罚款。</w:t>
            </w:r>
          </w:p>
        </w:tc>
        <w:tc>
          <w:tcPr>
            <w:tcW w:w="3330" w:type="dxa"/>
            <w:vAlign w:val="center"/>
          </w:tcPr>
          <w:p w14:paraId="747A2ADB">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0653350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3B1650A">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5B9D69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CA881FE">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CF3F8F8">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DEC4A5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59934B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05" w:type="dxa"/>
            <w:vAlign w:val="center"/>
          </w:tcPr>
          <w:p w14:paraId="0D7DB53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8D36B3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82286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C4E36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596A4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8C1F2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C0C43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E5F8E6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D753A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BFE0A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54F91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279AF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2BA1A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4FC7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A26F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3F294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C6FD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E509A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AAA24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4C01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C6BADBD">
            <w:pPr>
              <w:snapToGrid w:val="0"/>
              <w:spacing w:line="240" w:lineRule="atLeast"/>
              <w:jc w:val="center"/>
              <w:rPr>
                <w:rFonts w:ascii="仿宋_GB2312" w:hAnsi="仿宋_GB2312" w:eastAsia="仿宋_GB2312" w:cs="仿宋_GB2312"/>
                <w:sz w:val="20"/>
                <w:szCs w:val="20"/>
              </w:rPr>
            </w:pPr>
          </w:p>
        </w:tc>
      </w:tr>
    </w:tbl>
    <w:p w14:paraId="0CC39B76"/>
    <w:p w14:paraId="49F844A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480"/>
        <w:gridCol w:w="3300"/>
        <w:gridCol w:w="10235"/>
        <w:gridCol w:w="330"/>
      </w:tblGrid>
      <w:tr w14:paraId="5701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B6E5E83">
            <w:pPr>
              <w:snapToGrid w:val="0"/>
              <w:spacing w:line="240" w:lineRule="atLeast"/>
              <w:jc w:val="left"/>
              <w:rPr>
                <w:rFonts w:asciiTheme="majorEastAsia" w:hAnsiTheme="majorEastAsia" w:eastAsiaTheme="majorEastAsia" w:cstheme="majorEastAsia"/>
                <w:spacing w:val="-23"/>
                <w:sz w:val="20"/>
                <w:szCs w:val="20"/>
              </w:rPr>
            </w:pPr>
          </w:p>
          <w:p w14:paraId="1AE4DC2C">
            <w:pPr>
              <w:snapToGrid w:val="0"/>
              <w:spacing w:line="240" w:lineRule="atLeast"/>
              <w:jc w:val="left"/>
              <w:rPr>
                <w:rFonts w:asciiTheme="majorEastAsia" w:hAnsiTheme="majorEastAsia" w:eastAsiaTheme="majorEastAsia" w:cstheme="majorEastAsia"/>
                <w:spacing w:val="-23"/>
                <w:sz w:val="20"/>
                <w:szCs w:val="20"/>
              </w:rPr>
            </w:pPr>
          </w:p>
          <w:p w14:paraId="6C9F4FDF">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EF56779">
            <w:pPr>
              <w:spacing w:line="240" w:lineRule="atLeast"/>
              <w:rPr>
                <w:rFonts w:asciiTheme="majorEastAsia" w:hAnsiTheme="majorEastAsia" w:eastAsiaTheme="majorEastAsia" w:cstheme="majorEastAsia"/>
                <w:spacing w:val="-20"/>
                <w:sz w:val="20"/>
                <w:szCs w:val="20"/>
              </w:rPr>
            </w:pPr>
          </w:p>
          <w:p w14:paraId="414CB7D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39" w:type="dxa"/>
            <w:gridSpan w:val="5"/>
            <w:vAlign w:val="center"/>
          </w:tcPr>
          <w:p w14:paraId="708305D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535" w:type="dxa"/>
            <w:gridSpan w:val="2"/>
            <w:vAlign w:val="center"/>
          </w:tcPr>
          <w:p w14:paraId="1A44AA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AF6C47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08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4BB559">
            <w:pPr>
              <w:spacing w:line="240" w:lineRule="atLeast"/>
              <w:jc w:val="left"/>
              <w:rPr>
                <w:rFonts w:ascii="仿宋_GB2312" w:hAnsi="仿宋_GB2312" w:eastAsia="仿宋_GB2312" w:cs="仿宋_GB2312"/>
                <w:sz w:val="20"/>
                <w:szCs w:val="20"/>
              </w:rPr>
            </w:pPr>
          </w:p>
        </w:tc>
        <w:tc>
          <w:tcPr>
            <w:tcW w:w="555" w:type="dxa"/>
            <w:vMerge w:val="continue"/>
          </w:tcPr>
          <w:p w14:paraId="09BC8608">
            <w:pPr>
              <w:spacing w:line="240" w:lineRule="atLeast"/>
              <w:jc w:val="left"/>
              <w:rPr>
                <w:rFonts w:ascii="仿宋_GB2312" w:hAnsi="仿宋_GB2312" w:eastAsia="仿宋_GB2312" w:cs="仿宋_GB2312"/>
                <w:sz w:val="20"/>
                <w:szCs w:val="20"/>
              </w:rPr>
            </w:pPr>
          </w:p>
        </w:tc>
        <w:tc>
          <w:tcPr>
            <w:tcW w:w="600" w:type="dxa"/>
            <w:vAlign w:val="center"/>
          </w:tcPr>
          <w:p w14:paraId="69A5EE47">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BAB05A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705815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728C139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80" w:type="dxa"/>
            <w:vAlign w:val="center"/>
          </w:tcPr>
          <w:p w14:paraId="37DF10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00" w:type="dxa"/>
            <w:vAlign w:val="center"/>
          </w:tcPr>
          <w:p w14:paraId="230D80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04C12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1DF9E45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058B05B">
            <w:pPr>
              <w:spacing w:line="240" w:lineRule="atLeast"/>
              <w:jc w:val="left"/>
              <w:rPr>
                <w:rFonts w:ascii="仿宋_GB2312" w:hAnsi="仿宋_GB2312" w:eastAsia="仿宋_GB2312" w:cs="仿宋_GB2312"/>
                <w:sz w:val="20"/>
                <w:szCs w:val="20"/>
              </w:rPr>
            </w:pPr>
          </w:p>
        </w:tc>
      </w:tr>
      <w:tr w14:paraId="03B4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644EA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w:t>
            </w:r>
          </w:p>
        </w:tc>
        <w:tc>
          <w:tcPr>
            <w:tcW w:w="555" w:type="dxa"/>
            <w:vAlign w:val="center"/>
          </w:tcPr>
          <w:p w14:paraId="1A8428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02FC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FBC5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6F5725B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对擅自转让房地产开发项目行为的处罚</w:t>
            </w:r>
          </w:p>
        </w:tc>
        <w:tc>
          <w:tcPr>
            <w:tcW w:w="645" w:type="dxa"/>
            <w:vAlign w:val="center"/>
          </w:tcPr>
          <w:p w14:paraId="54E251A1">
            <w:pPr>
              <w:snapToGrid w:val="0"/>
              <w:spacing w:line="240" w:lineRule="atLeast"/>
              <w:jc w:val="center"/>
              <w:rPr>
                <w:rFonts w:ascii="仿宋_GB2312" w:hAnsi="仿宋_GB2312" w:eastAsia="仿宋_GB2312" w:cs="仿宋_GB2312"/>
                <w:sz w:val="20"/>
                <w:szCs w:val="20"/>
              </w:rPr>
            </w:pPr>
          </w:p>
        </w:tc>
        <w:tc>
          <w:tcPr>
            <w:tcW w:w="585" w:type="dxa"/>
            <w:vAlign w:val="center"/>
          </w:tcPr>
          <w:p w14:paraId="7741AA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B6537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80" w:type="dxa"/>
            <w:vAlign w:val="center"/>
          </w:tcPr>
          <w:p w14:paraId="1419B0B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4A617675">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行政法规】《城市房地产开发经营管理条例》（1998年国务院令第248号发布，2020年国务院令第726号修订）第三十五条：违反本条例规定，擅自转让房地产开发项目的，由县级以上人民政府负责土地管理工作的部门责令停止违法行为，没收违法所得，可以并处违法所得5倍以下的罚款。</w:t>
            </w:r>
          </w:p>
          <w:p w14:paraId="62B0CF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3300" w:type="dxa"/>
            <w:vAlign w:val="center"/>
          </w:tcPr>
          <w:p w14:paraId="42941FC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DCEB121">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C52CE3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56AA29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2738741">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89574B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3B8B55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07784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235" w:type="dxa"/>
            <w:vAlign w:val="center"/>
          </w:tcPr>
          <w:p w14:paraId="4118012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073C65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7FB04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2C08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B6A48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C85B3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9DD35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4E1EC2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3A8C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D72AC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1A14B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1D7B1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DB939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706A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B0AEE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423C8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FA00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3BFCF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18395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E9EB2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FF92629">
            <w:pPr>
              <w:snapToGrid w:val="0"/>
              <w:spacing w:line="240" w:lineRule="atLeast"/>
              <w:jc w:val="center"/>
              <w:rPr>
                <w:rFonts w:ascii="仿宋_GB2312" w:hAnsi="仿宋_GB2312" w:eastAsia="仿宋_GB2312" w:cs="仿宋_GB2312"/>
                <w:sz w:val="20"/>
                <w:szCs w:val="20"/>
              </w:rPr>
            </w:pPr>
          </w:p>
        </w:tc>
      </w:tr>
    </w:tbl>
    <w:p w14:paraId="7A7B49B0"/>
    <w:p w14:paraId="7FE850E9"/>
    <w:p w14:paraId="31CE01D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69"/>
        <w:gridCol w:w="645"/>
        <w:gridCol w:w="615"/>
        <w:gridCol w:w="1065"/>
        <w:gridCol w:w="4290"/>
        <w:gridCol w:w="3720"/>
        <w:gridCol w:w="9770"/>
        <w:gridCol w:w="330"/>
      </w:tblGrid>
      <w:tr w14:paraId="2717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4660A8">
            <w:pPr>
              <w:snapToGrid w:val="0"/>
              <w:spacing w:line="240" w:lineRule="atLeast"/>
              <w:jc w:val="left"/>
              <w:rPr>
                <w:rFonts w:asciiTheme="majorEastAsia" w:hAnsiTheme="majorEastAsia" w:eastAsiaTheme="majorEastAsia" w:cstheme="majorEastAsia"/>
                <w:spacing w:val="-23"/>
                <w:sz w:val="20"/>
                <w:szCs w:val="20"/>
              </w:rPr>
            </w:pPr>
          </w:p>
          <w:p w14:paraId="5997292A">
            <w:pPr>
              <w:snapToGrid w:val="0"/>
              <w:spacing w:line="240" w:lineRule="atLeast"/>
              <w:jc w:val="left"/>
              <w:rPr>
                <w:rFonts w:asciiTheme="majorEastAsia" w:hAnsiTheme="majorEastAsia" w:eastAsiaTheme="majorEastAsia" w:cstheme="majorEastAsia"/>
                <w:spacing w:val="-23"/>
                <w:sz w:val="20"/>
                <w:szCs w:val="20"/>
              </w:rPr>
            </w:pPr>
          </w:p>
          <w:p w14:paraId="059CFB9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4AE0BAD">
            <w:pPr>
              <w:spacing w:line="240" w:lineRule="atLeast"/>
              <w:rPr>
                <w:rFonts w:asciiTheme="majorEastAsia" w:hAnsiTheme="majorEastAsia" w:eastAsiaTheme="majorEastAsia" w:cstheme="majorEastAsia"/>
                <w:spacing w:val="-20"/>
                <w:sz w:val="20"/>
                <w:szCs w:val="20"/>
              </w:rPr>
            </w:pPr>
          </w:p>
          <w:p w14:paraId="6355B1F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84" w:type="dxa"/>
            <w:gridSpan w:val="5"/>
            <w:vAlign w:val="center"/>
          </w:tcPr>
          <w:p w14:paraId="1CCD720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90" w:type="dxa"/>
            <w:gridSpan w:val="2"/>
            <w:vAlign w:val="center"/>
          </w:tcPr>
          <w:p w14:paraId="607588C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CADB4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688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8B3816">
            <w:pPr>
              <w:spacing w:line="240" w:lineRule="atLeast"/>
              <w:jc w:val="left"/>
              <w:rPr>
                <w:rFonts w:ascii="仿宋_GB2312" w:hAnsi="仿宋_GB2312" w:eastAsia="仿宋_GB2312" w:cs="仿宋_GB2312"/>
                <w:sz w:val="20"/>
                <w:szCs w:val="20"/>
              </w:rPr>
            </w:pPr>
          </w:p>
        </w:tc>
        <w:tc>
          <w:tcPr>
            <w:tcW w:w="555" w:type="dxa"/>
            <w:vMerge w:val="continue"/>
          </w:tcPr>
          <w:p w14:paraId="08891DAE">
            <w:pPr>
              <w:spacing w:line="240" w:lineRule="atLeast"/>
              <w:jc w:val="left"/>
              <w:rPr>
                <w:rFonts w:ascii="仿宋_GB2312" w:hAnsi="仿宋_GB2312" w:eastAsia="仿宋_GB2312" w:cs="仿宋_GB2312"/>
                <w:sz w:val="20"/>
                <w:szCs w:val="20"/>
              </w:rPr>
            </w:pPr>
          </w:p>
        </w:tc>
        <w:tc>
          <w:tcPr>
            <w:tcW w:w="769" w:type="dxa"/>
            <w:vAlign w:val="center"/>
          </w:tcPr>
          <w:p w14:paraId="77B7040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7725BC0">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5047AA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65" w:type="dxa"/>
            <w:vAlign w:val="center"/>
          </w:tcPr>
          <w:p w14:paraId="3E2C7A2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290" w:type="dxa"/>
            <w:vAlign w:val="center"/>
          </w:tcPr>
          <w:p w14:paraId="442A9D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20" w:type="dxa"/>
            <w:vAlign w:val="center"/>
          </w:tcPr>
          <w:p w14:paraId="5406A7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37F26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770" w:type="dxa"/>
            <w:vAlign w:val="center"/>
          </w:tcPr>
          <w:p w14:paraId="634C55C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1DA4CA6">
            <w:pPr>
              <w:spacing w:line="240" w:lineRule="atLeast"/>
              <w:jc w:val="left"/>
              <w:rPr>
                <w:rFonts w:ascii="仿宋_GB2312" w:hAnsi="仿宋_GB2312" w:eastAsia="仿宋_GB2312" w:cs="仿宋_GB2312"/>
                <w:sz w:val="20"/>
                <w:szCs w:val="20"/>
              </w:rPr>
            </w:pPr>
          </w:p>
        </w:tc>
      </w:tr>
      <w:tr w14:paraId="1692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495D8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w:t>
            </w:r>
          </w:p>
        </w:tc>
        <w:tc>
          <w:tcPr>
            <w:tcW w:w="555" w:type="dxa"/>
            <w:vAlign w:val="center"/>
          </w:tcPr>
          <w:p w14:paraId="642D48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C2EBD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62E4F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69" w:type="dxa"/>
            <w:vAlign w:val="center"/>
          </w:tcPr>
          <w:p w14:paraId="0DF43D4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对违法占用耕地建窑、建坟或者擅自在耕地上建房、挖砂、采石、采矿、取土等，破坏种植条件行为中涉及自然资源主管部门职责的处罚</w:t>
            </w:r>
          </w:p>
        </w:tc>
        <w:tc>
          <w:tcPr>
            <w:tcW w:w="645" w:type="dxa"/>
            <w:vAlign w:val="center"/>
          </w:tcPr>
          <w:p w14:paraId="550C8A47">
            <w:pPr>
              <w:snapToGrid w:val="0"/>
              <w:spacing w:line="240" w:lineRule="atLeast"/>
              <w:jc w:val="center"/>
              <w:rPr>
                <w:rFonts w:ascii="仿宋_GB2312" w:hAnsi="仿宋_GB2312" w:eastAsia="仿宋_GB2312" w:cs="仿宋_GB2312"/>
                <w:sz w:val="20"/>
                <w:szCs w:val="20"/>
              </w:rPr>
            </w:pPr>
          </w:p>
        </w:tc>
        <w:tc>
          <w:tcPr>
            <w:tcW w:w="615" w:type="dxa"/>
            <w:vAlign w:val="center"/>
          </w:tcPr>
          <w:p w14:paraId="263651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65" w:type="dxa"/>
            <w:vAlign w:val="center"/>
          </w:tcPr>
          <w:p w14:paraId="66BA9C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290" w:type="dxa"/>
            <w:vAlign w:val="center"/>
          </w:tcPr>
          <w:p w14:paraId="641AFEA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五条：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5AA93E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五条：依照《土地管理法》第七十五条的规定处以罚款的，罚款额为耕地开垦费的5倍以上10倍以下；破坏黑土地等优质耕地的，从重处罚。</w:t>
            </w:r>
          </w:p>
        </w:tc>
        <w:tc>
          <w:tcPr>
            <w:tcW w:w="3720" w:type="dxa"/>
            <w:vAlign w:val="center"/>
          </w:tcPr>
          <w:p w14:paraId="3A91399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3294200">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912084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9B1E17E">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381DFC0">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47894FB">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24CAF07">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8AD043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770" w:type="dxa"/>
            <w:vAlign w:val="center"/>
          </w:tcPr>
          <w:p w14:paraId="146F7B1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FB24C9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02AAA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E388F3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FAF9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CB54C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6BDD9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32D498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AEE7C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82545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B353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DB31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BEC5A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4EA6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7A23E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317B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DBF0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B74CF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D7AE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E0F08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4180219">
            <w:pPr>
              <w:snapToGrid w:val="0"/>
              <w:spacing w:line="240" w:lineRule="atLeast"/>
              <w:jc w:val="center"/>
              <w:rPr>
                <w:rFonts w:ascii="仿宋_GB2312" w:hAnsi="仿宋_GB2312" w:eastAsia="仿宋_GB2312" w:cs="仿宋_GB2312"/>
                <w:sz w:val="20"/>
                <w:szCs w:val="20"/>
              </w:rPr>
            </w:pPr>
          </w:p>
        </w:tc>
      </w:tr>
    </w:tbl>
    <w:p w14:paraId="34E8093C"/>
    <w:p w14:paraId="2B20E85C"/>
    <w:p w14:paraId="629F6FB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000"/>
        <w:gridCol w:w="3870"/>
        <w:gridCol w:w="10145"/>
        <w:gridCol w:w="330"/>
      </w:tblGrid>
      <w:tr w14:paraId="4D9D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2C1A11">
            <w:pPr>
              <w:snapToGrid w:val="0"/>
              <w:spacing w:line="240" w:lineRule="atLeast"/>
              <w:jc w:val="left"/>
              <w:rPr>
                <w:rFonts w:asciiTheme="majorEastAsia" w:hAnsiTheme="majorEastAsia" w:eastAsiaTheme="majorEastAsia" w:cstheme="majorEastAsia"/>
                <w:spacing w:val="-23"/>
                <w:sz w:val="20"/>
                <w:szCs w:val="20"/>
              </w:rPr>
            </w:pPr>
          </w:p>
          <w:p w14:paraId="5BA2A92C">
            <w:pPr>
              <w:snapToGrid w:val="0"/>
              <w:spacing w:line="240" w:lineRule="atLeast"/>
              <w:jc w:val="left"/>
              <w:rPr>
                <w:rFonts w:asciiTheme="majorEastAsia" w:hAnsiTheme="majorEastAsia" w:eastAsiaTheme="majorEastAsia" w:cstheme="majorEastAsia"/>
                <w:spacing w:val="-23"/>
                <w:sz w:val="20"/>
                <w:szCs w:val="20"/>
              </w:rPr>
            </w:pPr>
          </w:p>
          <w:p w14:paraId="47EA0C1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7F9B439">
            <w:pPr>
              <w:spacing w:line="240" w:lineRule="atLeast"/>
              <w:rPr>
                <w:rFonts w:asciiTheme="majorEastAsia" w:hAnsiTheme="majorEastAsia" w:eastAsiaTheme="majorEastAsia" w:cstheme="majorEastAsia"/>
                <w:spacing w:val="-20"/>
                <w:sz w:val="20"/>
                <w:szCs w:val="20"/>
              </w:rPr>
            </w:pPr>
          </w:p>
          <w:p w14:paraId="2D54E72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59" w:type="dxa"/>
            <w:gridSpan w:val="5"/>
            <w:vAlign w:val="center"/>
          </w:tcPr>
          <w:p w14:paraId="78559D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15" w:type="dxa"/>
            <w:gridSpan w:val="2"/>
            <w:vAlign w:val="center"/>
          </w:tcPr>
          <w:p w14:paraId="302FDC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88D847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90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B397B7">
            <w:pPr>
              <w:spacing w:line="240" w:lineRule="atLeast"/>
              <w:jc w:val="left"/>
              <w:rPr>
                <w:rFonts w:ascii="仿宋_GB2312" w:hAnsi="仿宋_GB2312" w:eastAsia="仿宋_GB2312" w:cs="仿宋_GB2312"/>
                <w:sz w:val="20"/>
                <w:szCs w:val="20"/>
              </w:rPr>
            </w:pPr>
          </w:p>
        </w:tc>
        <w:tc>
          <w:tcPr>
            <w:tcW w:w="555" w:type="dxa"/>
            <w:vMerge w:val="continue"/>
          </w:tcPr>
          <w:p w14:paraId="35144F45">
            <w:pPr>
              <w:spacing w:line="240" w:lineRule="atLeast"/>
              <w:jc w:val="left"/>
              <w:rPr>
                <w:rFonts w:ascii="仿宋_GB2312" w:hAnsi="仿宋_GB2312" w:eastAsia="仿宋_GB2312" w:cs="仿宋_GB2312"/>
                <w:sz w:val="20"/>
                <w:szCs w:val="20"/>
              </w:rPr>
            </w:pPr>
          </w:p>
        </w:tc>
        <w:tc>
          <w:tcPr>
            <w:tcW w:w="600" w:type="dxa"/>
            <w:vAlign w:val="center"/>
          </w:tcPr>
          <w:p w14:paraId="52FB3FE6">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7A2214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7AD6E3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51B085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00" w:type="dxa"/>
            <w:vAlign w:val="center"/>
          </w:tcPr>
          <w:p w14:paraId="5EA25F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70" w:type="dxa"/>
            <w:vAlign w:val="center"/>
          </w:tcPr>
          <w:p w14:paraId="3073D7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4453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145" w:type="dxa"/>
            <w:vAlign w:val="center"/>
          </w:tcPr>
          <w:p w14:paraId="1A6C1AE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0A359E4">
            <w:pPr>
              <w:spacing w:line="240" w:lineRule="atLeast"/>
              <w:jc w:val="left"/>
              <w:rPr>
                <w:rFonts w:ascii="仿宋_GB2312" w:hAnsi="仿宋_GB2312" w:eastAsia="仿宋_GB2312" w:cs="仿宋_GB2312"/>
                <w:sz w:val="20"/>
                <w:szCs w:val="20"/>
              </w:rPr>
            </w:pPr>
          </w:p>
        </w:tc>
      </w:tr>
      <w:tr w14:paraId="3617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BB897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w:t>
            </w:r>
          </w:p>
        </w:tc>
        <w:tc>
          <w:tcPr>
            <w:tcW w:w="555" w:type="dxa"/>
            <w:vAlign w:val="center"/>
          </w:tcPr>
          <w:p w14:paraId="759FA3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92F11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DA29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B7A2B7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对拒不履行土地复垦义务行为的处罚</w:t>
            </w:r>
          </w:p>
        </w:tc>
        <w:tc>
          <w:tcPr>
            <w:tcW w:w="645" w:type="dxa"/>
            <w:vAlign w:val="center"/>
          </w:tcPr>
          <w:p w14:paraId="79792993">
            <w:pPr>
              <w:snapToGrid w:val="0"/>
              <w:spacing w:line="240" w:lineRule="atLeast"/>
              <w:jc w:val="center"/>
              <w:rPr>
                <w:rFonts w:ascii="仿宋_GB2312" w:hAnsi="仿宋_GB2312" w:eastAsia="仿宋_GB2312" w:cs="仿宋_GB2312"/>
                <w:sz w:val="20"/>
                <w:szCs w:val="20"/>
              </w:rPr>
            </w:pPr>
          </w:p>
        </w:tc>
        <w:tc>
          <w:tcPr>
            <w:tcW w:w="585" w:type="dxa"/>
            <w:vAlign w:val="center"/>
          </w:tcPr>
          <w:p w14:paraId="4E9471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6C1CE3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00" w:type="dxa"/>
            <w:vAlign w:val="center"/>
          </w:tcPr>
          <w:p w14:paraId="6A84CD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380FB5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p w14:paraId="369FDF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临时用地期满之日起一年内未完成复垦或者未恢复种植条件的，由县级以上人民政府自然资源主管部门责令限期改正，依照《土地管理法》第七十六条的规定处罚，并由县级以上人民政府自然资源主管部门会同农业农村主管部门代为完成复垦或者恢复种植条件。</w:t>
            </w:r>
          </w:p>
        </w:tc>
        <w:tc>
          <w:tcPr>
            <w:tcW w:w="3870" w:type="dxa"/>
            <w:vAlign w:val="center"/>
          </w:tcPr>
          <w:p w14:paraId="201C10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06FFE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8B811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1E0FB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0AB6C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9BB38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A6AC6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1E7D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145" w:type="dxa"/>
            <w:vAlign w:val="center"/>
          </w:tcPr>
          <w:p w14:paraId="724B10F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ADD4EF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6F92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F1B8F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A73CB8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C9E10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F7FB9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30370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56A00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D0114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2D7B0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185A5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02D9E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BEFA4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5E813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F3C7B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3DE3C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8A6C0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4870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8D96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86EA6BB">
            <w:pPr>
              <w:snapToGrid w:val="0"/>
              <w:spacing w:line="240" w:lineRule="atLeast"/>
              <w:jc w:val="center"/>
              <w:rPr>
                <w:rFonts w:ascii="仿宋_GB2312" w:hAnsi="仿宋_GB2312" w:eastAsia="仿宋_GB2312" w:cs="仿宋_GB2312"/>
                <w:sz w:val="20"/>
                <w:szCs w:val="20"/>
              </w:rPr>
            </w:pPr>
          </w:p>
        </w:tc>
      </w:tr>
    </w:tbl>
    <w:p w14:paraId="04B2D1DB"/>
    <w:p w14:paraId="5902346F"/>
    <w:p w14:paraId="246D7BD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000"/>
        <w:gridCol w:w="3780"/>
        <w:gridCol w:w="10235"/>
        <w:gridCol w:w="330"/>
      </w:tblGrid>
      <w:tr w14:paraId="7319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A812A5">
            <w:pPr>
              <w:snapToGrid w:val="0"/>
              <w:spacing w:line="240" w:lineRule="atLeast"/>
              <w:jc w:val="left"/>
              <w:rPr>
                <w:rFonts w:asciiTheme="majorEastAsia" w:hAnsiTheme="majorEastAsia" w:eastAsiaTheme="majorEastAsia" w:cstheme="majorEastAsia"/>
                <w:spacing w:val="-23"/>
                <w:sz w:val="20"/>
                <w:szCs w:val="20"/>
              </w:rPr>
            </w:pPr>
          </w:p>
          <w:p w14:paraId="7206C790">
            <w:pPr>
              <w:snapToGrid w:val="0"/>
              <w:spacing w:line="240" w:lineRule="atLeast"/>
              <w:jc w:val="left"/>
              <w:rPr>
                <w:rFonts w:asciiTheme="majorEastAsia" w:hAnsiTheme="majorEastAsia" w:eastAsiaTheme="majorEastAsia" w:cstheme="majorEastAsia"/>
                <w:spacing w:val="-23"/>
                <w:sz w:val="20"/>
                <w:szCs w:val="20"/>
              </w:rPr>
            </w:pPr>
          </w:p>
          <w:p w14:paraId="3D86683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6581D1A">
            <w:pPr>
              <w:spacing w:line="240" w:lineRule="atLeast"/>
              <w:rPr>
                <w:rFonts w:asciiTheme="majorEastAsia" w:hAnsiTheme="majorEastAsia" w:eastAsiaTheme="majorEastAsia" w:cstheme="majorEastAsia"/>
                <w:spacing w:val="-20"/>
                <w:sz w:val="20"/>
                <w:szCs w:val="20"/>
              </w:rPr>
            </w:pPr>
          </w:p>
          <w:p w14:paraId="58F8F6D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59" w:type="dxa"/>
            <w:gridSpan w:val="5"/>
            <w:vAlign w:val="center"/>
          </w:tcPr>
          <w:p w14:paraId="15DE57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15" w:type="dxa"/>
            <w:gridSpan w:val="2"/>
            <w:vAlign w:val="center"/>
          </w:tcPr>
          <w:p w14:paraId="3BB662E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DCC566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DE5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9038DA">
            <w:pPr>
              <w:spacing w:line="240" w:lineRule="atLeast"/>
              <w:jc w:val="left"/>
              <w:rPr>
                <w:rFonts w:ascii="仿宋_GB2312" w:hAnsi="仿宋_GB2312" w:eastAsia="仿宋_GB2312" w:cs="仿宋_GB2312"/>
                <w:sz w:val="20"/>
                <w:szCs w:val="20"/>
              </w:rPr>
            </w:pPr>
          </w:p>
        </w:tc>
        <w:tc>
          <w:tcPr>
            <w:tcW w:w="555" w:type="dxa"/>
            <w:vMerge w:val="continue"/>
          </w:tcPr>
          <w:p w14:paraId="338929C3">
            <w:pPr>
              <w:spacing w:line="240" w:lineRule="atLeast"/>
              <w:jc w:val="left"/>
              <w:rPr>
                <w:rFonts w:ascii="仿宋_GB2312" w:hAnsi="仿宋_GB2312" w:eastAsia="仿宋_GB2312" w:cs="仿宋_GB2312"/>
                <w:sz w:val="20"/>
                <w:szCs w:val="20"/>
              </w:rPr>
            </w:pPr>
          </w:p>
        </w:tc>
        <w:tc>
          <w:tcPr>
            <w:tcW w:w="600" w:type="dxa"/>
            <w:vAlign w:val="center"/>
          </w:tcPr>
          <w:p w14:paraId="6700A562">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52BD00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26DBB5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3435D8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00" w:type="dxa"/>
            <w:vAlign w:val="center"/>
          </w:tcPr>
          <w:p w14:paraId="3EBB23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80" w:type="dxa"/>
            <w:vAlign w:val="center"/>
          </w:tcPr>
          <w:p w14:paraId="1FD9326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7EF2BC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7EFA829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4A30617">
            <w:pPr>
              <w:spacing w:line="240" w:lineRule="atLeast"/>
              <w:jc w:val="left"/>
              <w:rPr>
                <w:rFonts w:ascii="仿宋_GB2312" w:hAnsi="仿宋_GB2312" w:eastAsia="仿宋_GB2312" w:cs="仿宋_GB2312"/>
                <w:sz w:val="20"/>
                <w:szCs w:val="20"/>
              </w:rPr>
            </w:pPr>
          </w:p>
        </w:tc>
      </w:tr>
      <w:tr w14:paraId="1038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0A020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23</w:t>
            </w:r>
          </w:p>
        </w:tc>
        <w:tc>
          <w:tcPr>
            <w:tcW w:w="555" w:type="dxa"/>
            <w:vAlign w:val="center"/>
          </w:tcPr>
          <w:p w14:paraId="033777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615D4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9E36A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E27148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对土地复垦义务人未按照规定补充编制土地复垦方案行为的处罚</w:t>
            </w:r>
          </w:p>
        </w:tc>
        <w:tc>
          <w:tcPr>
            <w:tcW w:w="645" w:type="dxa"/>
            <w:vAlign w:val="center"/>
          </w:tcPr>
          <w:p w14:paraId="29AA1733">
            <w:pPr>
              <w:snapToGrid w:val="0"/>
              <w:spacing w:line="240" w:lineRule="atLeast"/>
              <w:jc w:val="center"/>
              <w:rPr>
                <w:rFonts w:ascii="仿宋_GB2312" w:hAnsi="仿宋_GB2312" w:eastAsia="仿宋_GB2312" w:cs="仿宋_GB2312"/>
                <w:sz w:val="20"/>
                <w:szCs w:val="20"/>
              </w:rPr>
            </w:pPr>
          </w:p>
        </w:tc>
        <w:tc>
          <w:tcPr>
            <w:tcW w:w="585" w:type="dxa"/>
            <w:vAlign w:val="center"/>
          </w:tcPr>
          <w:p w14:paraId="00BF2C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5F4B6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00" w:type="dxa"/>
            <w:vAlign w:val="center"/>
          </w:tcPr>
          <w:p w14:paraId="4A917F9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7690B7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土地复垦条例》（2011年国务院第592号令）第三十七条：本条例施行前已经办理建设用地手续或者领取采矿许可证，本条例施行后继续从事生产建设活动造成土地损毁的土地复垦义务人未按照规定补充编制土地复垦方案的，由县级以上地方人民政府国土资源主管部门责令限期改正；逾期不改正的，处10万元以上20万元以下的罚款。</w:t>
            </w:r>
          </w:p>
        </w:tc>
        <w:tc>
          <w:tcPr>
            <w:tcW w:w="3780" w:type="dxa"/>
            <w:vAlign w:val="center"/>
          </w:tcPr>
          <w:p w14:paraId="6524D99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72D304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A779A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52EF82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2036A7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F202A4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DADED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DF49D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235" w:type="dxa"/>
            <w:vAlign w:val="center"/>
          </w:tcPr>
          <w:p w14:paraId="12AAB94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E6B151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E8441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D7A48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91C98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A5A6B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E5F43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62310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92F76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CE7E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DD0C1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1C36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92612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7B3B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4B0F5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A54E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6FD2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23823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5E669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11D7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069605B">
            <w:pPr>
              <w:snapToGrid w:val="0"/>
              <w:spacing w:line="240" w:lineRule="atLeast"/>
              <w:jc w:val="center"/>
              <w:rPr>
                <w:rFonts w:ascii="仿宋_GB2312" w:hAnsi="仿宋_GB2312" w:eastAsia="仿宋_GB2312" w:cs="仿宋_GB2312"/>
                <w:sz w:val="20"/>
                <w:szCs w:val="20"/>
              </w:rPr>
            </w:pPr>
          </w:p>
        </w:tc>
      </w:tr>
    </w:tbl>
    <w:p w14:paraId="14AB458E"/>
    <w:p w14:paraId="7DF37B83"/>
    <w:p w14:paraId="0F7A053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3970"/>
        <w:gridCol w:w="3870"/>
        <w:gridCol w:w="10175"/>
        <w:gridCol w:w="330"/>
      </w:tblGrid>
      <w:tr w14:paraId="59C7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778991">
            <w:pPr>
              <w:snapToGrid w:val="0"/>
              <w:spacing w:line="240" w:lineRule="atLeast"/>
              <w:jc w:val="left"/>
              <w:rPr>
                <w:rFonts w:asciiTheme="majorEastAsia" w:hAnsiTheme="majorEastAsia" w:eastAsiaTheme="majorEastAsia" w:cstheme="majorEastAsia"/>
                <w:spacing w:val="-23"/>
                <w:sz w:val="20"/>
                <w:szCs w:val="20"/>
              </w:rPr>
            </w:pPr>
          </w:p>
          <w:p w14:paraId="78B83A65">
            <w:pPr>
              <w:snapToGrid w:val="0"/>
              <w:spacing w:line="240" w:lineRule="atLeast"/>
              <w:jc w:val="left"/>
              <w:rPr>
                <w:rFonts w:asciiTheme="majorEastAsia" w:hAnsiTheme="majorEastAsia" w:eastAsiaTheme="majorEastAsia" w:cstheme="majorEastAsia"/>
                <w:spacing w:val="-23"/>
                <w:sz w:val="20"/>
                <w:szCs w:val="20"/>
              </w:rPr>
            </w:pPr>
          </w:p>
          <w:p w14:paraId="1AA7780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1CA45FC">
            <w:pPr>
              <w:spacing w:line="240" w:lineRule="atLeast"/>
              <w:rPr>
                <w:rFonts w:asciiTheme="majorEastAsia" w:hAnsiTheme="majorEastAsia" w:eastAsiaTheme="majorEastAsia" w:cstheme="majorEastAsia"/>
                <w:spacing w:val="-20"/>
                <w:sz w:val="20"/>
                <w:szCs w:val="20"/>
              </w:rPr>
            </w:pPr>
          </w:p>
          <w:p w14:paraId="1259171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29" w:type="dxa"/>
            <w:gridSpan w:val="5"/>
            <w:vAlign w:val="center"/>
          </w:tcPr>
          <w:p w14:paraId="0EE2FA4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45" w:type="dxa"/>
            <w:gridSpan w:val="2"/>
            <w:vAlign w:val="center"/>
          </w:tcPr>
          <w:p w14:paraId="473E90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B8293C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73B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7A4F56">
            <w:pPr>
              <w:spacing w:line="240" w:lineRule="atLeast"/>
              <w:jc w:val="left"/>
              <w:rPr>
                <w:rFonts w:ascii="仿宋_GB2312" w:hAnsi="仿宋_GB2312" w:eastAsia="仿宋_GB2312" w:cs="仿宋_GB2312"/>
                <w:sz w:val="20"/>
                <w:szCs w:val="20"/>
              </w:rPr>
            </w:pPr>
          </w:p>
        </w:tc>
        <w:tc>
          <w:tcPr>
            <w:tcW w:w="555" w:type="dxa"/>
            <w:vMerge w:val="continue"/>
          </w:tcPr>
          <w:p w14:paraId="724ECE76">
            <w:pPr>
              <w:spacing w:line="240" w:lineRule="atLeast"/>
              <w:jc w:val="left"/>
              <w:rPr>
                <w:rFonts w:ascii="仿宋_GB2312" w:hAnsi="仿宋_GB2312" w:eastAsia="仿宋_GB2312" w:cs="仿宋_GB2312"/>
                <w:sz w:val="20"/>
                <w:szCs w:val="20"/>
              </w:rPr>
            </w:pPr>
          </w:p>
        </w:tc>
        <w:tc>
          <w:tcPr>
            <w:tcW w:w="600" w:type="dxa"/>
            <w:vAlign w:val="center"/>
          </w:tcPr>
          <w:p w14:paraId="33CED61B">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50F877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E71A8C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BA6FF2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3970" w:type="dxa"/>
            <w:vAlign w:val="center"/>
          </w:tcPr>
          <w:p w14:paraId="1EF15C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70" w:type="dxa"/>
            <w:vAlign w:val="center"/>
          </w:tcPr>
          <w:p w14:paraId="582ED4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EFB7C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175" w:type="dxa"/>
            <w:vAlign w:val="center"/>
          </w:tcPr>
          <w:p w14:paraId="6A66C8C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51E1F38">
            <w:pPr>
              <w:spacing w:line="240" w:lineRule="atLeast"/>
              <w:jc w:val="left"/>
              <w:rPr>
                <w:rFonts w:ascii="仿宋_GB2312" w:hAnsi="仿宋_GB2312" w:eastAsia="仿宋_GB2312" w:cs="仿宋_GB2312"/>
                <w:sz w:val="20"/>
                <w:szCs w:val="20"/>
              </w:rPr>
            </w:pPr>
          </w:p>
        </w:tc>
      </w:tr>
      <w:tr w14:paraId="0E56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D5435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24</w:t>
            </w:r>
          </w:p>
        </w:tc>
        <w:tc>
          <w:tcPr>
            <w:tcW w:w="555" w:type="dxa"/>
            <w:vAlign w:val="center"/>
          </w:tcPr>
          <w:p w14:paraId="2E49D8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49B2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E4EE8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491A38B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对土地复垦义务人未按照规定将土地复垦费用列入生产成本或者建设项目总投资行为的处罚</w:t>
            </w:r>
          </w:p>
        </w:tc>
        <w:tc>
          <w:tcPr>
            <w:tcW w:w="645" w:type="dxa"/>
            <w:vAlign w:val="center"/>
          </w:tcPr>
          <w:p w14:paraId="79CC009D">
            <w:pPr>
              <w:snapToGrid w:val="0"/>
              <w:spacing w:line="240" w:lineRule="atLeast"/>
              <w:jc w:val="center"/>
              <w:rPr>
                <w:rFonts w:ascii="仿宋_GB2312" w:hAnsi="仿宋_GB2312" w:eastAsia="仿宋_GB2312" w:cs="仿宋_GB2312"/>
                <w:sz w:val="20"/>
                <w:szCs w:val="20"/>
              </w:rPr>
            </w:pPr>
          </w:p>
        </w:tc>
        <w:tc>
          <w:tcPr>
            <w:tcW w:w="585" w:type="dxa"/>
            <w:vAlign w:val="center"/>
          </w:tcPr>
          <w:p w14:paraId="21DC18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6CCD52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3970" w:type="dxa"/>
            <w:vAlign w:val="center"/>
          </w:tcPr>
          <w:p w14:paraId="7D2C68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三十八条：土地复垦义务人未按照规定将土地复垦费用列入生产成本或者建设项目总投资的，由县级以上地方人民政府国土资源主管部门责令限期改正；逾期不改正的，处10万元以上50万元以下的罚款。</w:t>
            </w:r>
          </w:p>
        </w:tc>
        <w:tc>
          <w:tcPr>
            <w:tcW w:w="3870" w:type="dxa"/>
            <w:vAlign w:val="center"/>
          </w:tcPr>
          <w:p w14:paraId="397B324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64247E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605DA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70AF7D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94A6F7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4F5ACB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349FE4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DC62A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175" w:type="dxa"/>
            <w:vAlign w:val="center"/>
          </w:tcPr>
          <w:p w14:paraId="2EE5315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17D00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9A07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CA4F4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78D41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1BA0E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1EBEF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586DCA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5869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4C64C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2F2BB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C72F4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9E0DD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60CD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051A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F3A14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64AD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BFB82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48E4C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7474C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CA85787">
            <w:pPr>
              <w:snapToGrid w:val="0"/>
              <w:spacing w:line="240" w:lineRule="atLeast"/>
              <w:jc w:val="center"/>
              <w:rPr>
                <w:rFonts w:ascii="仿宋_GB2312" w:hAnsi="仿宋_GB2312" w:eastAsia="仿宋_GB2312" w:cs="仿宋_GB2312"/>
                <w:sz w:val="20"/>
                <w:szCs w:val="20"/>
              </w:rPr>
            </w:pPr>
          </w:p>
        </w:tc>
      </w:tr>
    </w:tbl>
    <w:p w14:paraId="0979C00E"/>
    <w:p w14:paraId="79263BC5"/>
    <w:p w14:paraId="39C3E59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690"/>
        <w:gridCol w:w="3675"/>
        <w:gridCol w:w="9650"/>
        <w:gridCol w:w="330"/>
      </w:tblGrid>
      <w:tr w14:paraId="378C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D0949E">
            <w:pPr>
              <w:snapToGrid w:val="0"/>
              <w:spacing w:line="240" w:lineRule="atLeast"/>
              <w:jc w:val="left"/>
              <w:rPr>
                <w:rFonts w:asciiTheme="majorEastAsia" w:hAnsiTheme="majorEastAsia" w:eastAsiaTheme="majorEastAsia" w:cstheme="majorEastAsia"/>
                <w:spacing w:val="-23"/>
                <w:sz w:val="20"/>
                <w:szCs w:val="20"/>
              </w:rPr>
            </w:pPr>
          </w:p>
          <w:p w14:paraId="1DBE4DBB">
            <w:pPr>
              <w:snapToGrid w:val="0"/>
              <w:spacing w:line="240" w:lineRule="atLeast"/>
              <w:jc w:val="left"/>
              <w:rPr>
                <w:rFonts w:asciiTheme="majorEastAsia" w:hAnsiTheme="majorEastAsia" w:eastAsiaTheme="majorEastAsia" w:cstheme="majorEastAsia"/>
                <w:spacing w:val="-23"/>
                <w:sz w:val="20"/>
                <w:szCs w:val="20"/>
              </w:rPr>
            </w:pPr>
          </w:p>
          <w:p w14:paraId="2E41B79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8B1E8C1">
            <w:pPr>
              <w:spacing w:line="240" w:lineRule="atLeast"/>
              <w:rPr>
                <w:rFonts w:asciiTheme="majorEastAsia" w:hAnsiTheme="majorEastAsia" w:eastAsiaTheme="majorEastAsia" w:cstheme="majorEastAsia"/>
                <w:spacing w:val="-20"/>
                <w:sz w:val="20"/>
                <w:szCs w:val="20"/>
              </w:rPr>
            </w:pPr>
          </w:p>
          <w:p w14:paraId="1F7978C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549" w:type="dxa"/>
            <w:gridSpan w:val="5"/>
            <w:vAlign w:val="center"/>
          </w:tcPr>
          <w:p w14:paraId="4BA1B3D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325" w:type="dxa"/>
            <w:gridSpan w:val="2"/>
            <w:vAlign w:val="center"/>
          </w:tcPr>
          <w:p w14:paraId="22ACA5A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2C5262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638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3ECE4D">
            <w:pPr>
              <w:spacing w:line="240" w:lineRule="atLeast"/>
              <w:jc w:val="left"/>
              <w:rPr>
                <w:rFonts w:ascii="仿宋_GB2312" w:hAnsi="仿宋_GB2312" w:eastAsia="仿宋_GB2312" w:cs="仿宋_GB2312"/>
                <w:sz w:val="20"/>
                <w:szCs w:val="20"/>
              </w:rPr>
            </w:pPr>
          </w:p>
        </w:tc>
        <w:tc>
          <w:tcPr>
            <w:tcW w:w="555" w:type="dxa"/>
            <w:vMerge w:val="continue"/>
          </w:tcPr>
          <w:p w14:paraId="773084CD">
            <w:pPr>
              <w:spacing w:line="240" w:lineRule="atLeast"/>
              <w:jc w:val="left"/>
              <w:rPr>
                <w:rFonts w:ascii="仿宋_GB2312" w:hAnsi="仿宋_GB2312" w:eastAsia="仿宋_GB2312" w:cs="仿宋_GB2312"/>
                <w:sz w:val="20"/>
                <w:szCs w:val="20"/>
              </w:rPr>
            </w:pPr>
          </w:p>
        </w:tc>
        <w:tc>
          <w:tcPr>
            <w:tcW w:w="600" w:type="dxa"/>
            <w:vAlign w:val="center"/>
          </w:tcPr>
          <w:p w14:paraId="235B13FC">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ED9023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FCBA71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2B5D78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90" w:type="dxa"/>
            <w:vAlign w:val="center"/>
          </w:tcPr>
          <w:p w14:paraId="3FCB1E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75" w:type="dxa"/>
            <w:vAlign w:val="center"/>
          </w:tcPr>
          <w:p w14:paraId="3D871D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D979D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50" w:type="dxa"/>
            <w:vAlign w:val="center"/>
          </w:tcPr>
          <w:p w14:paraId="597974D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11F02C9">
            <w:pPr>
              <w:spacing w:line="240" w:lineRule="atLeast"/>
              <w:jc w:val="left"/>
              <w:rPr>
                <w:rFonts w:ascii="仿宋_GB2312" w:hAnsi="仿宋_GB2312" w:eastAsia="仿宋_GB2312" w:cs="仿宋_GB2312"/>
                <w:sz w:val="20"/>
                <w:szCs w:val="20"/>
              </w:rPr>
            </w:pPr>
          </w:p>
        </w:tc>
      </w:tr>
      <w:tr w14:paraId="356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1C423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25</w:t>
            </w:r>
          </w:p>
        </w:tc>
        <w:tc>
          <w:tcPr>
            <w:tcW w:w="555" w:type="dxa"/>
            <w:vAlign w:val="center"/>
          </w:tcPr>
          <w:p w14:paraId="309D41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A6C8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1D8DD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39E9094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对土地复垦义务人未按照规定对拟损毁的耕地、林地、牧草地进行表土剥离行为的处罚</w:t>
            </w:r>
          </w:p>
        </w:tc>
        <w:tc>
          <w:tcPr>
            <w:tcW w:w="645" w:type="dxa"/>
            <w:vAlign w:val="center"/>
          </w:tcPr>
          <w:p w14:paraId="64EFFD96">
            <w:pPr>
              <w:snapToGrid w:val="0"/>
              <w:spacing w:line="240" w:lineRule="atLeast"/>
              <w:jc w:val="center"/>
              <w:rPr>
                <w:rFonts w:ascii="仿宋_GB2312" w:hAnsi="仿宋_GB2312" w:eastAsia="仿宋_GB2312" w:cs="仿宋_GB2312"/>
                <w:sz w:val="20"/>
                <w:szCs w:val="20"/>
              </w:rPr>
            </w:pPr>
          </w:p>
        </w:tc>
        <w:tc>
          <w:tcPr>
            <w:tcW w:w="585" w:type="dxa"/>
            <w:vAlign w:val="center"/>
          </w:tcPr>
          <w:p w14:paraId="708C24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95C5F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90" w:type="dxa"/>
            <w:vAlign w:val="center"/>
          </w:tcPr>
          <w:p w14:paraId="3C5F93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三十九条：土地复垦义务人未按照规定对拟损毁的耕地、林地、牧草地进行表土剥离，由县级以上地方人民政府国土资源主管部门责令限期改正；逾期不改正的，按照应当进行表土剥离的土地面积处每公顷1万元的罚款。</w:t>
            </w:r>
          </w:p>
        </w:tc>
        <w:tc>
          <w:tcPr>
            <w:tcW w:w="3675" w:type="dxa"/>
            <w:vAlign w:val="center"/>
          </w:tcPr>
          <w:p w14:paraId="706A6BA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AF7953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7840F8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3FC36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375261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C4D4E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B25BB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1F6DD6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50" w:type="dxa"/>
            <w:vAlign w:val="center"/>
          </w:tcPr>
          <w:p w14:paraId="4C16698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F27A5E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D8273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FB6AED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98F10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81EC6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AB3D0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A13CA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EF341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D57D0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78D7E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A633D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EB8FF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BD3C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4CDD7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21C41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7774E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29BDD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41A4E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6CF2B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6E72509">
            <w:pPr>
              <w:snapToGrid w:val="0"/>
              <w:spacing w:line="240" w:lineRule="atLeast"/>
              <w:jc w:val="center"/>
              <w:rPr>
                <w:rFonts w:ascii="仿宋_GB2312" w:hAnsi="仿宋_GB2312" w:eastAsia="仿宋_GB2312" w:cs="仿宋_GB2312"/>
                <w:sz w:val="20"/>
                <w:szCs w:val="20"/>
              </w:rPr>
            </w:pPr>
          </w:p>
        </w:tc>
      </w:tr>
    </w:tbl>
    <w:p w14:paraId="69746383"/>
    <w:p w14:paraId="42AE94C4"/>
    <w:p w14:paraId="1D271E6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30"/>
        <w:gridCol w:w="600"/>
        <w:gridCol w:w="1020"/>
        <w:gridCol w:w="4365"/>
        <w:gridCol w:w="3885"/>
        <w:gridCol w:w="9380"/>
        <w:gridCol w:w="330"/>
      </w:tblGrid>
      <w:tr w14:paraId="2FFB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9155CBE">
            <w:pPr>
              <w:snapToGrid w:val="0"/>
              <w:spacing w:line="240" w:lineRule="atLeast"/>
              <w:jc w:val="left"/>
              <w:rPr>
                <w:rFonts w:asciiTheme="majorEastAsia" w:hAnsiTheme="majorEastAsia" w:eastAsiaTheme="majorEastAsia" w:cstheme="majorEastAsia"/>
                <w:spacing w:val="-23"/>
                <w:sz w:val="20"/>
                <w:szCs w:val="20"/>
              </w:rPr>
            </w:pPr>
          </w:p>
          <w:p w14:paraId="6731F6FE">
            <w:pPr>
              <w:snapToGrid w:val="0"/>
              <w:spacing w:line="240" w:lineRule="atLeast"/>
              <w:jc w:val="left"/>
              <w:rPr>
                <w:rFonts w:asciiTheme="majorEastAsia" w:hAnsiTheme="majorEastAsia" w:eastAsiaTheme="majorEastAsia" w:cstheme="majorEastAsia"/>
                <w:spacing w:val="-23"/>
                <w:sz w:val="20"/>
                <w:szCs w:val="20"/>
              </w:rPr>
            </w:pPr>
          </w:p>
          <w:p w14:paraId="5F1E0BF4">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5F9D0E7">
            <w:pPr>
              <w:spacing w:line="240" w:lineRule="atLeast"/>
              <w:rPr>
                <w:rFonts w:asciiTheme="majorEastAsia" w:hAnsiTheme="majorEastAsia" w:eastAsiaTheme="majorEastAsia" w:cstheme="majorEastAsia"/>
                <w:spacing w:val="-20"/>
                <w:sz w:val="20"/>
                <w:szCs w:val="20"/>
              </w:rPr>
            </w:pPr>
          </w:p>
          <w:p w14:paraId="430CC09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609" w:type="dxa"/>
            <w:gridSpan w:val="5"/>
            <w:vAlign w:val="center"/>
          </w:tcPr>
          <w:p w14:paraId="2D0008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265" w:type="dxa"/>
            <w:gridSpan w:val="2"/>
            <w:vAlign w:val="center"/>
          </w:tcPr>
          <w:p w14:paraId="1FAEA1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D18530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F2C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2BABAC">
            <w:pPr>
              <w:spacing w:line="240" w:lineRule="atLeast"/>
              <w:jc w:val="left"/>
              <w:rPr>
                <w:rFonts w:ascii="仿宋_GB2312" w:hAnsi="仿宋_GB2312" w:eastAsia="仿宋_GB2312" w:cs="仿宋_GB2312"/>
                <w:sz w:val="20"/>
                <w:szCs w:val="20"/>
              </w:rPr>
            </w:pPr>
          </w:p>
        </w:tc>
        <w:tc>
          <w:tcPr>
            <w:tcW w:w="555" w:type="dxa"/>
            <w:vMerge w:val="continue"/>
          </w:tcPr>
          <w:p w14:paraId="37EBDC47">
            <w:pPr>
              <w:spacing w:line="240" w:lineRule="atLeast"/>
              <w:jc w:val="left"/>
              <w:rPr>
                <w:rFonts w:ascii="仿宋_GB2312" w:hAnsi="仿宋_GB2312" w:eastAsia="仿宋_GB2312" w:cs="仿宋_GB2312"/>
                <w:sz w:val="20"/>
                <w:szCs w:val="20"/>
              </w:rPr>
            </w:pPr>
          </w:p>
        </w:tc>
        <w:tc>
          <w:tcPr>
            <w:tcW w:w="994" w:type="dxa"/>
            <w:vAlign w:val="center"/>
          </w:tcPr>
          <w:p w14:paraId="3C68C1E7">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30" w:type="dxa"/>
            <w:vAlign w:val="center"/>
          </w:tcPr>
          <w:p w14:paraId="059285B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5787D33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78A95ED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65" w:type="dxa"/>
            <w:vAlign w:val="center"/>
          </w:tcPr>
          <w:p w14:paraId="78DFD7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85" w:type="dxa"/>
            <w:vAlign w:val="center"/>
          </w:tcPr>
          <w:p w14:paraId="3383EA3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51AC4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380" w:type="dxa"/>
            <w:vAlign w:val="center"/>
          </w:tcPr>
          <w:p w14:paraId="584CE5B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3B02AC7">
            <w:pPr>
              <w:spacing w:line="240" w:lineRule="atLeast"/>
              <w:jc w:val="left"/>
              <w:rPr>
                <w:rFonts w:ascii="仿宋_GB2312" w:hAnsi="仿宋_GB2312" w:eastAsia="仿宋_GB2312" w:cs="仿宋_GB2312"/>
                <w:sz w:val="20"/>
                <w:szCs w:val="20"/>
              </w:rPr>
            </w:pPr>
          </w:p>
        </w:tc>
      </w:tr>
      <w:tr w14:paraId="18AB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ABB81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26</w:t>
            </w:r>
          </w:p>
        </w:tc>
        <w:tc>
          <w:tcPr>
            <w:tcW w:w="555" w:type="dxa"/>
            <w:vAlign w:val="center"/>
          </w:tcPr>
          <w:p w14:paraId="373D29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8D44B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F3340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75C53D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对土地复垦义务人未按照规定报告土地损毁情况、土地复垦费用使用情况或者土地复垦工程实施情况行为的处罚</w:t>
            </w:r>
          </w:p>
        </w:tc>
        <w:tc>
          <w:tcPr>
            <w:tcW w:w="630" w:type="dxa"/>
            <w:vAlign w:val="center"/>
          </w:tcPr>
          <w:p w14:paraId="408DD2CF">
            <w:pPr>
              <w:snapToGrid w:val="0"/>
              <w:spacing w:line="240" w:lineRule="atLeast"/>
              <w:jc w:val="center"/>
              <w:rPr>
                <w:rFonts w:ascii="仿宋_GB2312" w:hAnsi="仿宋_GB2312" w:eastAsia="仿宋_GB2312" w:cs="仿宋_GB2312"/>
                <w:sz w:val="20"/>
                <w:szCs w:val="20"/>
              </w:rPr>
            </w:pPr>
          </w:p>
        </w:tc>
        <w:tc>
          <w:tcPr>
            <w:tcW w:w="600" w:type="dxa"/>
            <w:vAlign w:val="center"/>
          </w:tcPr>
          <w:p w14:paraId="248AF6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4F3EBE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65" w:type="dxa"/>
            <w:vAlign w:val="center"/>
          </w:tcPr>
          <w:p w14:paraId="7814CF1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四十一条：土地复垦义务人未按照规定报告土地损毁情况、土地复垦费用使用情况或者土地复垦工程实施情况的，由县级以上地方人民政府国土资源主管部门责令限期改正；逾期不改正的，处2万元以上5万元以下的罚款。</w:t>
            </w:r>
          </w:p>
        </w:tc>
        <w:tc>
          <w:tcPr>
            <w:tcW w:w="3885" w:type="dxa"/>
            <w:vAlign w:val="center"/>
          </w:tcPr>
          <w:p w14:paraId="1FC919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F2FCB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664288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3CB549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FAD08D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5B2B83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14443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C3144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380" w:type="dxa"/>
            <w:vAlign w:val="center"/>
          </w:tcPr>
          <w:p w14:paraId="17A9496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3FA2F2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4F9F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01E1A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DA371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CB9DE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ACC9C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B67619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6A031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9169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0E3CA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278B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AFA6A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AF9A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082F0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A75BB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EAF6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52FBB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1351B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BC3A08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823035">
            <w:pPr>
              <w:snapToGrid w:val="0"/>
              <w:spacing w:line="240" w:lineRule="atLeast"/>
              <w:jc w:val="center"/>
              <w:rPr>
                <w:rFonts w:ascii="仿宋_GB2312" w:hAnsi="仿宋_GB2312" w:eastAsia="仿宋_GB2312" w:cs="仿宋_GB2312"/>
                <w:sz w:val="20"/>
                <w:szCs w:val="20"/>
              </w:rPr>
            </w:pPr>
          </w:p>
        </w:tc>
      </w:tr>
    </w:tbl>
    <w:p w14:paraId="1F29A759"/>
    <w:p w14:paraId="0FE7F0C8"/>
    <w:p w14:paraId="3902E89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510"/>
        <w:gridCol w:w="3585"/>
        <w:gridCol w:w="9920"/>
        <w:gridCol w:w="330"/>
      </w:tblGrid>
      <w:tr w14:paraId="348E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FBE22ED">
            <w:pPr>
              <w:snapToGrid w:val="0"/>
              <w:spacing w:line="240" w:lineRule="atLeast"/>
              <w:jc w:val="left"/>
              <w:rPr>
                <w:rFonts w:asciiTheme="majorEastAsia" w:hAnsiTheme="majorEastAsia" w:eastAsiaTheme="majorEastAsia" w:cstheme="majorEastAsia"/>
                <w:spacing w:val="-23"/>
                <w:sz w:val="20"/>
                <w:szCs w:val="20"/>
              </w:rPr>
            </w:pPr>
          </w:p>
          <w:p w14:paraId="04048675">
            <w:pPr>
              <w:snapToGrid w:val="0"/>
              <w:spacing w:line="240" w:lineRule="atLeast"/>
              <w:jc w:val="left"/>
              <w:rPr>
                <w:rFonts w:asciiTheme="majorEastAsia" w:hAnsiTheme="majorEastAsia" w:eastAsiaTheme="majorEastAsia" w:cstheme="majorEastAsia"/>
                <w:spacing w:val="-23"/>
                <w:sz w:val="20"/>
                <w:szCs w:val="20"/>
              </w:rPr>
            </w:pPr>
          </w:p>
          <w:p w14:paraId="7932B0C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24C1E8B">
            <w:pPr>
              <w:spacing w:line="240" w:lineRule="atLeast"/>
              <w:rPr>
                <w:rFonts w:asciiTheme="majorEastAsia" w:hAnsiTheme="majorEastAsia" w:eastAsiaTheme="majorEastAsia" w:cstheme="majorEastAsia"/>
                <w:spacing w:val="-20"/>
                <w:sz w:val="20"/>
                <w:szCs w:val="20"/>
              </w:rPr>
            </w:pPr>
          </w:p>
          <w:p w14:paraId="273C3FE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69" w:type="dxa"/>
            <w:gridSpan w:val="5"/>
            <w:vAlign w:val="center"/>
          </w:tcPr>
          <w:p w14:paraId="1582496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505" w:type="dxa"/>
            <w:gridSpan w:val="2"/>
            <w:vAlign w:val="center"/>
          </w:tcPr>
          <w:p w14:paraId="31B7B96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4164FB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AF6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B0E6B2">
            <w:pPr>
              <w:spacing w:line="240" w:lineRule="atLeast"/>
              <w:jc w:val="left"/>
              <w:rPr>
                <w:rFonts w:ascii="仿宋_GB2312" w:hAnsi="仿宋_GB2312" w:eastAsia="仿宋_GB2312" w:cs="仿宋_GB2312"/>
                <w:sz w:val="20"/>
                <w:szCs w:val="20"/>
              </w:rPr>
            </w:pPr>
          </w:p>
        </w:tc>
        <w:tc>
          <w:tcPr>
            <w:tcW w:w="555" w:type="dxa"/>
            <w:vMerge w:val="continue"/>
          </w:tcPr>
          <w:p w14:paraId="32B06E54">
            <w:pPr>
              <w:spacing w:line="240" w:lineRule="atLeast"/>
              <w:jc w:val="left"/>
              <w:rPr>
                <w:rFonts w:ascii="仿宋_GB2312" w:hAnsi="仿宋_GB2312" w:eastAsia="仿宋_GB2312" w:cs="仿宋_GB2312"/>
                <w:sz w:val="20"/>
                <w:szCs w:val="20"/>
              </w:rPr>
            </w:pPr>
          </w:p>
        </w:tc>
        <w:tc>
          <w:tcPr>
            <w:tcW w:w="600" w:type="dxa"/>
            <w:vAlign w:val="center"/>
          </w:tcPr>
          <w:p w14:paraId="2DD63C8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DE9908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316A78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820007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510" w:type="dxa"/>
            <w:vAlign w:val="center"/>
          </w:tcPr>
          <w:p w14:paraId="162CA3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2EFFE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FB0EB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920" w:type="dxa"/>
            <w:vAlign w:val="center"/>
          </w:tcPr>
          <w:p w14:paraId="7059EE4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C9A54A1">
            <w:pPr>
              <w:spacing w:line="240" w:lineRule="atLeast"/>
              <w:jc w:val="left"/>
              <w:rPr>
                <w:rFonts w:ascii="仿宋_GB2312" w:hAnsi="仿宋_GB2312" w:eastAsia="仿宋_GB2312" w:cs="仿宋_GB2312"/>
                <w:sz w:val="20"/>
                <w:szCs w:val="20"/>
              </w:rPr>
            </w:pPr>
          </w:p>
        </w:tc>
      </w:tr>
      <w:tr w14:paraId="59B5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AF256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27</w:t>
            </w:r>
          </w:p>
        </w:tc>
        <w:tc>
          <w:tcPr>
            <w:tcW w:w="555" w:type="dxa"/>
            <w:vAlign w:val="center"/>
          </w:tcPr>
          <w:p w14:paraId="5FCA9A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A8BB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ED65D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39D972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对土地复垦义务人不依法缴纳土地复垦费行为的处罚</w:t>
            </w:r>
          </w:p>
        </w:tc>
        <w:tc>
          <w:tcPr>
            <w:tcW w:w="645" w:type="dxa"/>
            <w:vAlign w:val="center"/>
          </w:tcPr>
          <w:p w14:paraId="4AF28FAB">
            <w:pPr>
              <w:snapToGrid w:val="0"/>
              <w:spacing w:line="240" w:lineRule="atLeast"/>
              <w:jc w:val="center"/>
              <w:rPr>
                <w:rFonts w:ascii="仿宋_GB2312" w:hAnsi="仿宋_GB2312" w:eastAsia="仿宋_GB2312" w:cs="仿宋_GB2312"/>
                <w:sz w:val="20"/>
                <w:szCs w:val="20"/>
              </w:rPr>
            </w:pPr>
          </w:p>
        </w:tc>
        <w:tc>
          <w:tcPr>
            <w:tcW w:w="585" w:type="dxa"/>
            <w:vAlign w:val="center"/>
          </w:tcPr>
          <w:p w14:paraId="0116A9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FBD33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510" w:type="dxa"/>
            <w:vAlign w:val="center"/>
          </w:tcPr>
          <w:p w14:paraId="0A2C21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四十二条：土地复垦义务人依照本条例规定应当缴纳土地复垦费而不缴纳的，由县级以上地方人民政府国土资源主管部门责令限期缴纳；逾期不缴纳的，处应缴纳土地复垦费1倍以上2倍以下的罚款，土地复垦义务人为矿山企业的，由颁发采矿许可证的机关吊销采矿许可证。</w:t>
            </w:r>
          </w:p>
        </w:tc>
        <w:tc>
          <w:tcPr>
            <w:tcW w:w="3585" w:type="dxa"/>
            <w:vAlign w:val="center"/>
          </w:tcPr>
          <w:p w14:paraId="588740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3EE24F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8C0FBB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4EDC97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64C6CC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C96E3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44EB47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E28D85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920" w:type="dxa"/>
            <w:vAlign w:val="center"/>
          </w:tcPr>
          <w:p w14:paraId="0F760B7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5430F0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DA2B6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C22D8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C02C4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755CA3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4C32F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AEA92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E575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2BB53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89391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F7737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9078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BF9A9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A776E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55AC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7C7B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34F4B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1AC41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FF9F6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A452861">
            <w:pPr>
              <w:snapToGrid w:val="0"/>
              <w:spacing w:line="240" w:lineRule="atLeast"/>
              <w:jc w:val="center"/>
              <w:rPr>
                <w:rFonts w:ascii="仿宋_GB2312" w:hAnsi="仿宋_GB2312" w:eastAsia="仿宋_GB2312" w:cs="仿宋_GB2312"/>
                <w:sz w:val="20"/>
                <w:szCs w:val="20"/>
              </w:rPr>
            </w:pPr>
          </w:p>
        </w:tc>
      </w:tr>
    </w:tbl>
    <w:p w14:paraId="61287968"/>
    <w:p w14:paraId="1ED78279"/>
    <w:p w14:paraId="608D771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1"/>
        <w:gridCol w:w="631"/>
        <w:gridCol w:w="858"/>
        <w:gridCol w:w="600"/>
        <w:gridCol w:w="630"/>
        <w:gridCol w:w="1020"/>
        <w:gridCol w:w="4077"/>
        <w:gridCol w:w="3555"/>
        <w:gridCol w:w="10058"/>
        <w:gridCol w:w="330"/>
      </w:tblGrid>
      <w:tr w14:paraId="4915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611" w:type="dxa"/>
            <w:vMerge w:val="restart"/>
            <w:vAlign w:val="center"/>
          </w:tcPr>
          <w:p w14:paraId="7ABA0DE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631" w:type="dxa"/>
            <w:vMerge w:val="restart"/>
            <w:vAlign w:val="center"/>
          </w:tcPr>
          <w:p w14:paraId="328C7A9F">
            <w:pPr>
              <w:spacing w:line="240" w:lineRule="atLeast"/>
              <w:rPr>
                <w:rFonts w:asciiTheme="majorEastAsia" w:hAnsiTheme="majorEastAsia" w:eastAsiaTheme="majorEastAsia" w:cstheme="majorEastAsia"/>
                <w:spacing w:val="-20"/>
                <w:sz w:val="20"/>
                <w:szCs w:val="20"/>
              </w:rPr>
            </w:pPr>
          </w:p>
          <w:p w14:paraId="2E8424E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w:t>
            </w:r>
          </w:p>
          <w:p w14:paraId="34B9EB1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分类</w:t>
            </w:r>
          </w:p>
        </w:tc>
        <w:tc>
          <w:tcPr>
            <w:tcW w:w="7185" w:type="dxa"/>
            <w:gridSpan w:val="5"/>
            <w:vAlign w:val="center"/>
          </w:tcPr>
          <w:p w14:paraId="365735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613" w:type="dxa"/>
            <w:gridSpan w:val="2"/>
            <w:vAlign w:val="center"/>
          </w:tcPr>
          <w:p w14:paraId="35BE05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EA89CB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1D4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611" w:type="dxa"/>
            <w:vMerge w:val="continue"/>
          </w:tcPr>
          <w:p w14:paraId="03B0CC31">
            <w:pPr>
              <w:spacing w:line="240" w:lineRule="atLeast"/>
              <w:jc w:val="left"/>
              <w:rPr>
                <w:rFonts w:ascii="仿宋_GB2312" w:hAnsi="仿宋_GB2312" w:eastAsia="仿宋_GB2312" w:cs="仿宋_GB2312"/>
                <w:sz w:val="20"/>
                <w:szCs w:val="20"/>
              </w:rPr>
            </w:pPr>
          </w:p>
        </w:tc>
        <w:tc>
          <w:tcPr>
            <w:tcW w:w="631" w:type="dxa"/>
            <w:vMerge w:val="continue"/>
          </w:tcPr>
          <w:p w14:paraId="0567139F">
            <w:pPr>
              <w:spacing w:line="240" w:lineRule="atLeast"/>
              <w:jc w:val="left"/>
              <w:rPr>
                <w:rFonts w:ascii="仿宋_GB2312" w:hAnsi="仿宋_GB2312" w:eastAsia="仿宋_GB2312" w:cs="仿宋_GB2312"/>
                <w:sz w:val="20"/>
                <w:szCs w:val="20"/>
              </w:rPr>
            </w:pPr>
          </w:p>
        </w:tc>
        <w:tc>
          <w:tcPr>
            <w:tcW w:w="858" w:type="dxa"/>
            <w:vAlign w:val="center"/>
          </w:tcPr>
          <w:p w14:paraId="2CFBE79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00" w:type="dxa"/>
            <w:vAlign w:val="center"/>
          </w:tcPr>
          <w:p w14:paraId="576AF18A">
            <w:pPr>
              <w:adjustRightInd w:val="0"/>
              <w:snapToGrid w:val="0"/>
              <w:spacing w:line="240" w:lineRule="exact"/>
              <w:ind w:firstLine="158" w:firstLineChars="100"/>
              <w:rPr>
                <w:rFonts w:asciiTheme="minorEastAsia" w:hAnsiTheme="minorEastAsia" w:cstheme="minorEastAsia"/>
                <w:spacing w:val="-11"/>
                <w:sz w:val="18"/>
                <w:szCs w:val="18"/>
              </w:rPr>
            </w:pPr>
            <w:r>
              <w:rPr>
                <w:rFonts w:hint="eastAsia" w:asciiTheme="minorEastAsia" w:hAnsiTheme="minorEastAsia" w:cstheme="minorEastAsia"/>
                <w:spacing w:val="-11"/>
                <w:sz w:val="18"/>
                <w:szCs w:val="18"/>
              </w:rPr>
              <w:t>子项</w:t>
            </w:r>
          </w:p>
          <w:p w14:paraId="70FF27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名 称</w:t>
            </w:r>
          </w:p>
        </w:tc>
        <w:tc>
          <w:tcPr>
            <w:tcW w:w="630" w:type="dxa"/>
            <w:vAlign w:val="center"/>
          </w:tcPr>
          <w:p w14:paraId="093AE52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w:t>
            </w:r>
          </w:p>
          <w:p w14:paraId="2EDBDD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主体</w:t>
            </w:r>
          </w:p>
        </w:tc>
        <w:tc>
          <w:tcPr>
            <w:tcW w:w="1020" w:type="dxa"/>
            <w:vAlign w:val="center"/>
          </w:tcPr>
          <w:p w14:paraId="16EF80C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77" w:type="dxa"/>
            <w:vAlign w:val="center"/>
          </w:tcPr>
          <w:p w14:paraId="7C05C0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55" w:type="dxa"/>
            <w:vAlign w:val="center"/>
          </w:tcPr>
          <w:p w14:paraId="56C15F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8A998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058" w:type="dxa"/>
            <w:vAlign w:val="center"/>
          </w:tcPr>
          <w:p w14:paraId="11EF33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B2A69A3">
            <w:pPr>
              <w:spacing w:line="240" w:lineRule="atLeast"/>
              <w:jc w:val="left"/>
              <w:rPr>
                <w:rFonts w:ascii="仿宋_GB2312" w:hAnsi="仿宋_GB2312" w:eastAsia="仿宋_GB2312" w:cs="仿宋_GB2312"/>
                <w:sz w:val="20"/>
                <w:szCs w:val="20"/>
              </w:rPr>
            </w:pPr>
          </w:p>
        </w:tc>
      </w:tr>
      <w:tr w14:paraId="780F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2" w:hRule="atLeast"/>
        </w:trPr>
        <w:tc>
          <w:tcPr>
            <w:tcW w:w="611" w:type="dxa"/>
            <w:vAlign w:val="center"/>
          </w:tcPr>
          <w:p w14:paraId="7339EA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28</w:t>
            </w:r>
          </w:p>
        </w:tc>
        <w:tc>
          <w:tcPr>
            <w:tcW w:w="631" w:type="dxa"/>
            <w:vAlign w:val="center"/>
          </w:tcPr>
          <w:p w14:paraId="183AF4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行政处罚</w:t>
            </w:r>
          </w:p>
        </w:tc>
        <w:tc>
          <w:tcPr>
            <w:tcW w:w="858" w:type="dxa"/>
            <w:vAlign w:val="center"/>
          </w:tcPr>
          <w:p w14:paraId="51E1A11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对土地复垦义务人拒绝、阻碍自然资源主管部门监督检查或者在接受监督检查时弄虚作假行为的处罚</w:t>
            </w:r>
          </w:p>
        </w:tc>
        <w:tc>
          <w:tcPr>
            <w:tcW w:w="600" w:type="dxa"/>
            <w:vAlign w:val="center"/>
          </w:tcPr>
          <w:p w14:paraId="5C396E12">
            <w:pPr>
              <w:snapToGrid w:val="0"/>
              <w:spacing w:line="240" w:lineRule="atLeast"/>
              <w:jc w:val="center"/>
              <w:rPr>
                <w:rFonts w:ascii="仿宋_GB2312" w:hAnsi="仿宋_GB2312" w:eastAsia="仿宋_GB2312" w:cs="仿宋_GB2312"/>
                <w:sz w:val="20"/>
                <w:szCs w:val="20"/>
              </w:rPr>
            </w:pPr>
          </w:p>
        </w:tc>
        <w:tc>
          <w:tcPr>
            <w:tcW w:w="630" w:type="dxa"/>
            <w:vAlign w:val="center"/>
          </w:tcPr>
          <w:p w14:paraId="290B65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671306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77" w:type="dxa"/>
            <w:vAlign w:val="center"/>
          </w:tcPr>
          <w:p w14:paraId="3475DA9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土地复垦条例》（2011年国务院第592号令）第四十三条：土地复垦义务人拒绝、阻碍国土资源主管部门监督检查，或者在接受监督检查时弄虚作假的，由国土资源主管部门责令改正，处2万元以上5万元以下的罚款；有关责任人员构成违反治安管理行为的，由公安机关依法予以治安管理处罚；有关责任人员构成犯罪的，依法追究刑事责任。</w:t>
            </w:r>
          </w:p>
          <w:p w14:paraId="635E0D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破坏土地复垦工程、设施和设备，构成违反治安管理行为的，由公安机关依法予以治安管理处罚；构成犯罪的，依法追究刑事责任。</w:t>
            </w:r>
          </w:p>
        </w:tc>
        <w:tc>
          <w:tcPr>
            <w:tcW w:w="3555" w:type="dxa"/>
            <w:vAlign w:val="center"/>
          </w:tcPr>
          <w:p w14:paraId="424E64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BB27E9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29EB2D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F350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CA479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3CFFAF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4C50A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67985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058" w:type="dxa"/>
            <w:vAlign w:val="center"/>
          </w:tcPr>
          <w:p w14:paraId="0D145E9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AF04AD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F56BF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3FBFE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5EF2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B9635F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55693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106876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48C70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FD8CB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61F22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7222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AD7A6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D692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B5AF3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B6273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36DE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915F9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6869C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59EF4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1B6077E">
            <w:pPr>
              <w:snapToGrid w:val="0"/>
              <w:spacing w:line="240" w:lineRule="atLeast"/>
              <w:jc w:val="center"/>
              <w:rPr>
                <w:rFonts w:ascii="仿宋_GB2312" w:hAnsi="仿宋_GB2312" w:eastAsia="仿宋_GB2312" w:cs="仿宋_GB2312"/>
                <w:sz w:val="20"/>
                <w:szCs w:val="20"/>
              </w:rPr>
            </w:pPr>
          </w:p>
        </w:tc>
      </w:tr>
    </w:tbl>
    <w:p w14:paraId="54E29461"/>
    <w:p w14:paraId="5307E7E3"/>
    <w:p w14:paraId="645B7C6A"/>
    <w:p w14:paraId="36AA0BB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735"/>
        <w:gridCol w:w="4050"/>
        <w:gridCol w:w="9230"/>
        <w:gridCol w:w="330"/>
      </w:tblGrid>
      <w:tr w14:paraId="0423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A294FE">
            <w:pPr>
              <w:snapToGrid w:val="0"/>
              <w:spacing w:line="240" w:lineRule="atLeast"/>
              <w:jc w:val="left"/>
              <w:rPr>
                <w:rFonts w:asciiTheme="majorEastAsia" w:hAnsiTheme="majorEastAsia" w:eastAsiaTheme="majorEastAsia" w:cstheme="majorEastAsia"/>
                <w:spacing w:val="-23"/>
                <w:sz w:val="20"/>
                <w:szCs w:val="20"/>
              </w:rPr>
            </w:pPr>
          </w:p>
          <w:p w14:paraId="7A25D04D">
            <w:pPr>
              <w:snapToGrid w:val="0"/>
              <w:spacing w:line="240" w:lineRule="atLeast"/>
              <w:jc w:val="left"/>
              <w:rPr>
                <w:rFonts w:asciiTheme="majorEastAsia" w:hAnsiTheme="majorEastAsia" w:eastAsiaTheme="majorEastAsia" w:cstheme="majorEastAsia"/>
                <w:spacing w:val="-23"/>
                <w:sz w:val="20"/>
                <w:szCs w:val="20"/>
              </w:rPr>
            </w:pPr>
          </w:p>
          <w:p w14:paraId="1F0F543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BC9F7CA">
            <w:pPr>
              <w:spacing w:line="240" w:lineRule="atLeast"/>
              <w:rPr>
                <w:rFonts w:asciiTheme="majorEastAsia" w:hAnsiTheme="majorEastAsia" w:eastAsiaTheme="majorEastAsia" w:cstheme="majorEastAsia"/>
                <w:spacing w:val="-20"/>
                <w:sz w:val="20"/>
                <w:szCs w:val="20"/>
              </w:rPr>
            </w:pPr>
          </w:p>
          <w:p w14:paraId="043F118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594" w:type="dxa"/>
            <w:gridSpan w:val="5"/>
            <w:vAlign w:val="center"/>
          </w:tcPr>
          <w:p w14:paraId="6281C9F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280" w:type="dxa"/>
            <w:gridSpan w:val="2"/>
            <w:vAlign w:val="center"/>
          </w:tcPr>
          <w:p w14:paraId="703020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B287FB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2C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A76FC05">
            <w:pPr>
              <w:spacing w:line="240" w:lineRule="atLeast"/>
              <w:jc w:val="left"/>
              <w:rPr>
                <w:rFonts w:ascii="仿宋_GB2312" w:hAnsi="仿宋_GB2312" w:eastAsia="仿宋_GB2312" w:cs="仿宋_GB2312"/>
                <w:sz w:val="20"/>
                <w:szCs w:val="20"/>
              </w:rPr>
            </w:pPr>
          </w:p>
        </w:tc>
        <w:tc>
          <w:tcPr>
            <w:tcW w:w="555" w:type="dxa"/>
            <w:vMerge w:val="continue"/>
          </w:tcPr>
          <w:p w14:paraId="02768E05">
            <w:pPr>
              <w:spacing w:line="240" w:lineRule="atLeast"/>
              <w:jc w:val="left"/>
              <w:rPr>
                <w:rFonts w:ascii="仿宋_GB2312" w:hAnsi="仿宋_GB2312" w:eastAsia="仿宋_GB2312" w:cs="仿宋_GB2312"/>
                <w:sz w:val="20"/>
                <w:szCs w:val="20"/>
              </w:rPr>
            </w:pPr>
          </w:p>
        </w:tc>
        <w:tc>
          <w:tcPr>
            <w:tcW w:w="600" w:type="dxa"/>
            <w:vAlign w:val="center"/>
          </w:tcPr>
          <w:p w14:paraId="20FD1588">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CD748F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A94842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76CC072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35" w:type="dxa"/>
            <w:vAlign w:val="center"/>
          </w:tcPr>
          <w:p w14:paraId="551E53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050" w:type="dxa"/>
            <w:vAlign w:val="center"/>
          </w:tcPr>
          <w:p w14:paraId="4306CB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79CEB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230" w:type="dxa"/>
            <w:vAlign w:val="center"/>
          </w:tcPr>
          <w:p w14:paraId="2CA1DEA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B5FFD2B">
            <w:pPr>
              <w:spacing w:line="240" w:lineRule="atLeast"/>
              <w:jc w:val="left"/>
              <w:rPr>
                <w:rFonts w:ascii="仿宋_GB2312" w:hAnsi="仿宋_GB2312" w:eastAsia="仿宋_GB2312" w:cs="仿宋_GB2312"/>
                <w:sz w:val="20"/>
                <w:szCs w:val="20"/>
              </w:rPr>
            </w:pPr>
          </w:p>
        </w:tc>
      </w:tr>
      <w:tr w14:paraId="2AF4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B0443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29</w:t>
            </w:r>
          </w:p>
        </w:tc>
        <w:tc>
          <w:tcPr>
            <w:tcW w:w="555" w:type="dxa"/>
            <w:vAlign w:val="center"/>
          </w:tcPr>
          <w:p w14:paraId="609051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9CDBC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03524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F9D96A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对在国土空间规划确定的禁止开垦的范围内从事土地开发活动的处罚</w:t>
            </w:r>
          </w:p>
        </w:tc>
        <w:tc>
          <w:tcPr>
            <w:tcW w:w="645" w:type="dxa"/>
            <w:vAlign w:val="center"/>
          </w:tcPr>
          <w:p w14:paraId="309B5269">
            <w:pPr>
              <w:snapToGrid w:val="0"/>
              <w:spacing w:line="240" w:lineRule="atLeast"/>
              <w:jc w:val="center"/>
              <w:rPr>
                <w:rFonts w:ascii="仿宋_GB2312" w:hAnsi="仿宋_GB2312" w:eastAsia="仿宋_GB2312" w:cs="仿宋_GB2312"/>
                <w:sz w:val="20"/>
                <w:szCs w:val="20"/>
              </w:rPr>
            </w:pPr>
          </w:p>
        </w:tc>
        <w:tc>
          <w:tcPr>
            <w:tcW w:w="585" w:type="dxa"/>
            <w:vAlign w:val="center"/>
          </w:tcPr>
          <w:p w14:paraId="6940BF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0C8B5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35" w:type="dxa"/>
            <w:vAlign w:val="center"/>
          </w:tcPr>
          <w:p w14:paraId="5660F55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5E5A647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4BD5D7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4050" w:type="dxa"/>
            <w:vAlign w:val="center"/>
          </w:tcPr>
          <w:p w14:paraId="39303A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B23BED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8F725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6A5DA8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57A2B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854837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0AE95B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1F3875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230" w:type="dxa"/>
            <w:vAlign w:val="center"/>
          </w:tcPr>
          <w:p w14:paraId="0A0C41A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AF84DF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8A25E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85D15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6778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818C2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C5F553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C3344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D91A1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0072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3AE1E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AAD68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38322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0E0E7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78D3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FA50B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CD58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546D3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60330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F2339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36C38C">
            <w:pPr>
              <w:snapToGrid w:val="0"/>
              <w:spacing w:line="240" w:lineRule="atLeast"/>
              <w:jc w:val="center"/>
              <w:rPr>
                <w:rFonts w:ascii="仿宋_GB2312" w:hAnsi="仿宋_GB2312" w:eastAsia="仿宋_GB2312" w:cs="仿宋_GB2312"/>
                <w:sz w:val="20"/>
                <w:szCs w:val="20"/>
              </w:rPr>
            </w:pPr>
          </w:p>
        </w:tc>
      </w:tr>
    </w:tbl>
    <w:p w14:paraId="1AF0215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44"/>
        <w:gridCol w:w="615"/>
        <w:gridCol w:w="660"/>
        <w:gridCol w:w="1020"/>
        <w:gridCol w:w="4845"/>
        <w:gridCol w:w="3720"/>
        <w:gridCol w:w="9170"/>
        <w:gridCol w:w="330"/>
      </w:tblGrid>
      <w:tr w14:paraId="2CBF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E75DF0D">
            <w:pPr>
              <w:snapToGrid w:val="0"/>
              <w:spacing w:line="240" w:lineRule="atLeast"/>
              <w:jc w:val="left"/>
              <w:rPr>
                <w:rFonts w:asciiTheme="majorEastAsia" w:hAnsiTheme="majorEastAsia" w:eastAsiaTheme="majorEastAsia" w:cstheme="majorEastAsia"/>
                <w:spacing w:val="-23"/>
                <w:sz w:val="20"/>
                <w:szCs w:val="20"/>
              </w:rPr>
            </w:pPr>
          </w:p>
          <w:p w14:paraId="433C16FD">
            <w:pPr>
              <w:snapToGrid w:val="0"/>
              <w:spacing w:line="240" w:lineRule="atLeast"/>
              <w:jc w:val="left"/>
              <w:rPr>
                <w:rFonts w:asciiTheme="majorEastAsia" w:hAnsiTheme="majorEastAsia" w:eastAsiaTheme="majorEastAsia" w:cstheme="majorEastAsia"/>
                <w:spacing w:val="-23"/>
                <w:sz w:val="20"/>
                <w:szCs w:val="20"/>
              </w:rPr>
            </w:pPr>
          </w:p>
          <w:p w14:paraId="7E3ADB7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6622BD4">
            <w:pPr>
              <w:spacing w:line="240" w:lineRule="atLeast"/>
              <w:rPr>
                <w:rFonts w:asciiTheme="majorEastAsia" w:hAnsiTheme="majorEastAsia" w:eastAsiaTheme="majorEastAsia" w:cstheme="majorEastAsia"/>
                <w:spacing w:val="-20"/>
                <w:sz w:val="20"/>
                <w:szCs w:val="20"/>
              </w:rPr>
            </w:pPr>
          </w:p>
          <w:p w14:paraId="109CD33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84" w:type="dxa"/>
            <w:gridSpan w:val="5"/>
            <w:vAlign w:val="center"/>
          </w:tcPr>
          <w:p w14:paraId="73B4687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890" w:type="dxa"/>
            <w:gridSpan w:val="2"/>
            <w:vAlign w:val="center"/>
          </w:tcPr>
          <w:p w14:paraId="2F48EC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8BAFA5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0B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4B11A2E">
            <w:pPr>
              <w:spacing w:line="240" w:lineRule="atLeast"/>
              <w:jc w:val="left"/>
              <w:rPr>
                <w:rFonts w:ascii="仿宋_GB2312" w:hAnsi="仿宋_GB2312" w:eastAsia="仿宋_GB2312" w:cs="仿宋_GB2312"/>
                <w:sz w:val="20"/>
                <w:szCs w:val="20"/>
              </w:rPr>
            </w:pPr>
          </w:p>
        </w:tc>
        <w:tc>
          <w:tcPr>
            <w:tcW w:w="555" w:type="dxa"/>
            <w:vMerge w:val="continue"/>
          </w:tcPr>
          <w:p w14:paraId="2790EF8D">
            <w:pPr>
              <w:spacing w:line="240" w:lineRule="atLeast"/>
              <w:jc w:val="left"/>
              <w:rPr>
                <w:rFonts w:ascii="仿宋_GB2312" w:hAnsi="仿宋_GB2312" w:eastAsia="仿宋_GB2312" w:cs="仿宋_GB2312"/>
                <w:sz w:val="20"/>
                <w:szCs w:val="20"/>
              </w:rPr>
            </w:pPr>
          </w:p>
        </w:tc>
        <w:tc>
          <w:tcPr>
            <w:tcW w:w="844" w:type="dxa"/>
            <w:vAlign w:val="center"/>
          </w:tcPr>
          <w:p w14:paraId="5A57562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9CA171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6AFE1F3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05D837C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78C0BBD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45" w:type="dxa"/>
            <w:vAlign w:val="center"/>
          </w:tcPr>
          <w:p w14:paraId="3AF95E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20" w:type="dxa"/>
            <w:vAlign w:val="center"/>
          </w:tcPr>
          <w:p w14:paraId="136AE4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09518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70" w:type="dxa"/>
            <w:vAlign w:val="center"/>
          </w:tcPr>
          <w:p w14:paraId="65DD170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07CBD61">
            <w:pPr>
              <w:spacing w:line="240" w:lineRule="atLeast"/>
              <w:jc w:val="left"/>
              <w:rPr>
                <w:rFonts w:ascii="仿宋_GB2312" w:hAnsi="仿宋_GB2312" w:eastAsia="仿宋_GB2312" w:cs="仿宋_GB2312"/>
                <w:sz w:val="20"/>
                <w:szCs w:val="20"/>
              </w:rPr>
            </w:pPr>
          </w:p>
        </w:tc>
      </w:tr>
      <w:tr w14:paraId="3E52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A0018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30</w:t>
            </w:r>
          </w:p>
        </w:tc>
        <w:tc>
          <w:tcPr>
            <w:tcW w:w="555" w:type="dxa"/>
            <w:vAlign w:val="center"/>
          </w:tcPr>
          <w:p w14:paraId="50418F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5C988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7B0FD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44" w:type="dxa"/>
            <w:vAlign w:val="center"/>
          </w:tcPr>
          <w:p w14:paraId="72AEED9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对在国土空间规划确定的开垦的范围内，未经批准擅自开发土地行为的处罚</w:t>
            </w:r>
          </w:p>
        </w:tc>
        <w:tc>
          <w:tcPr>
            <w:tcW w:w="615" w:type="dxa"/>
            <w:vAlign w:val="center"/>
          </w:tcPr>
          <w:p w14:paraId="71579B52">
            <w:pPr>
              <w:snapToGrid w:val="0"/>
              <w:spacing w:line="240" w:lineRule="atLeast"/>
              <w:jc w:val="center"/>
              <w:rPr>
                <w:rFonts w:ascii="仿宋_GB2312" w:hAnsi="仿宋_GB2312" w:eastAsia="仿宋_GB2312" w:cs="仿宋_GB2312"/>
                <w:sz w:val="20"/>
                <w:szCs w:val="20"/>
              </w:rPr>
            </w:pPr>
          </w:p>
        </w:tc>
        <w:tc>
          <w:tcPr>
            <w:tcW w:w="660" w:type="dxa"/>
            <w:vAlign w:val="center"/>
          </w:tcPr>
          <w:p w14:paraId="2F72BA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5B3A1E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45" w:type="dxa"/>
            <w:vAlign w:val="center"/>
          </w:tcPr>
          <w:p w14:paraId="3A0BD4D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4D0A5D1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3695A6D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p w14:paraId="04204F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实施〈中华人民共和国土地管理法〉办法》（2001年广西壮族自治区第九届人民代表大会常务委员会第二十五次会议通过施行，2019年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一）一次性开发不超过50公顷的，由县（市）人民政府批准；（二）一次性开发超过50公顷的，由设区的市人民政府批准。</w:t>
            </w:r>
          </w:p>
          <w:p w14:paraId="626416B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五条：违反本办法第三十条规定，在土地利用总体规划确定的土地开垦区内，未经批准擅自开发土地的，由县级以上人民政府自然资源行政主管部门责令其限期办理报批手续；逾期不办理的，责令其停止开发，可以并处非法开发土地每平方米1元以上3元以下的罚款。</w:t>
            </w:r>
          </w:p>
        </w:tc>
        <w:tc>
          <w:tcPr>
            <w:tcW w:w="3720" w:type="dxa"/>
            <w:vAlign w:val="center"/>
          </w:tcPr>
          <w:p w14:paraId="3E6BB02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857856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258983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900F19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88542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B80E72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279F4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63083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70" w:type="dxa"/>
            <w:vAlign w:val="center"/>
          </w:tcPr>
          <w:p w14:paraId="6C21B49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E9AD11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12B49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0604A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F819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6B9631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582F4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67BBC4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361C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B93D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F8A77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53C1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538A3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F0C74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F5C52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7BABE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8820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DE778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0D4D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06878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1A5D621">
            <w:pPr>
              <w:snapToGrid w:val="0"/>
              <w:spacing w:line="240" w:lineRule="atLeast"/>
              <w:jc w:val="center"/>
              <w:rPr>
                <w:rFonts w:ascii="仿宋_GB2312" w:hAnsi="仿宋_GB2312" w:eastAsia="仿宋_GB2312" w:cs="仿宋_GB2312"/>
                <w:sz w:val="20"/>
                <w:szCs w:val="20"/>
              </w:rPr>
            </w:pPr>
          </w:p>
        </w:tc>
      </w:tr>
    </w:tbl>
    <w:p w14:paraId="131F467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39"/>
        <w:gridCol w:w="630"/>
        <w:gridCol w:w="705"/>
        <w:gridCol w:w="1035"/>
        <w:gridCol w:w="4110"/>
        <w:gridCol w:w="4170"/>
        <w:gridCol w:w="9485"/>
        <w:gridCol w:w="330"/>
      </w:tblGrid>
      <w:tr w14:paraId="1AA2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512231A">
            <w:pPr>
              <w:snapToGrid w:val="0"/>
              <w:spacing w:line="240" w:lineRule="atLeast"/>
              <w:jc w:val="left"/>
              <w:rPr>
                <w:rFonts w:asciiTheme="majorEastAsia" w:hAnsiTheme="majorEastAsia" w:eastAsiaTheme="majorEastAsia" w:cstheme="majorEastAsia"/>
                <w:spacing w:val="-23"/>
                <w:sz w:val="20"/>
                <w:szCs w:val="20"/>
              </w:rPr>
            </w:pPr>
          </w:p>
          <w:p w14:paraId="1271BB83">
            <w:pPr>
              <w:snapToGrid w:val="0"/>
              <w:spacing w:line="240" w:lineRule="atLeast"/>
              <w:jc w:val="left"/>
              <w:rPr>
                <w:rFonts w:asciiTheme="majorEastAsia" w:hAnsiTheme="majorEastAsia" w:eastAsiaTheme="majorEastAsia" w:cstheme="majorEastAsia"/>
                <w:spacing w:val="-23"/>
                <w:sz w:val="20"/>
                <w:szCs w:val="20"/>
              </w:rPr>
            </w:pPr>
          </w:p>
          <w:p w14:paraId="056056E5">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5C9EE37">
            <w:pPr>
              <w:spacing w:line="240" w:lineRule="atLeast"/>
              <w:rPr>
                <w:rFonts w:asciiTheme="majorEastAsia" w:hAnsiTheme="majorEastAsia" w:eastAsiaTheme="majorEastAsia" w:cstheme="majorEastAsia"/>
                <w:spacing w:val="-20"/>
                <w:sz w:val="20"/>
                <w:szCs w:val="20"/>
              </w:rPr>
            </w:pPr>
          </w:p>
          <w:p w14:paraId="1FC6024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219" w:type="dxa"/>
            <w:gridSpan w:val="5"/>
            <w:vAlign w:val="center"/>
          </w:tcPr>
          <w:p w14:paraId="4D2F5E3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655" w:type="dxa"/>
            <w:gridSpan w:val="2"/>
            <w:vAlign w:val="center"/>
          </w:tcPr>
          <w:p w14:paraId="247D5FF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6A28B3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51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85B6152">
            <w:pPr>
              <w:spacing w:line="240" w:lineRule="atLeast"/>
              <w:jc w:val="left"/>
              <w:rPr>
                <w:rFonts w:ascii="仿宋_GB2312" w:hAnsi="仿宋_GB2312" w:eastAsia="仿宋_GB2312" w:cs="仿宋_GB2312"/>
                <w:sz w:val="20"/>
                <w:szCs w:val="20"/>
              </w:rPr>
            </w:pPr>
          </w:p>
        </w:tc>
        <w:tc>
          <w:tcPr>
            <w:tcW w:w="555" w:type="dxa"/>
            <w:vMerge w:val="continue"/>
          </w:tcPr>
          <w:p w14:paraId="52F65F44">
            <w:pPr>
              <w:spacing w:line="240" w:lineRule="atLeast"/>
              <w:jc w:val="left"/>
              <w:rPr>
                <w:rFonts w:ascii="仿宋_GB2312" w:hAnsi="仿宋_GB2312" w:eastAsia="仿宋_GB2312" w:cs="仿宋_GB2312"/>
                <w:sz w:val="20"/>
                <w:szCs w:val="20"/>
              </w:rPr>
            </w:pPr>
          </w:p>
        </w:tc>
        <w:tc>
          <w:tcPr>
            <w:tcW w:w="739" w:type="dxa"/>
            <w:vAlign w:val="center"/>
          </w:tcPr>
          <w:p w14:paraId="4F86F35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D3D58D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30" w:type="dxa"/>
            <w:vAlign w:val="center"/>
          </w:tcPr>
          <w:p w14:paraId="68D1E25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705" w:type="dxa"/>
            <w:vAlign w:val="center"/>
          </w:tcPr>
          <w:p w14:paraId="2DED043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35" w:type="dxa"/>
            <w:vAlign w:val="center"/>
          </w:tcPr>
          <w:p w14:paraId="7F11934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110" w:type="dxa"/>
            <w:vAlign w:val="center"/>
          </w:tcPr>
          <w:p w14:paraId="479CAD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70" w:type="dxa"/>
            <w:vAlign w:val="center"/>
          </w:tcPr>
          <w:p w14:paraId="31AAB5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B3AAC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85" w:type="dxa"/>
            <w:vAlign w:val="center"/>
          </w:tcPr>
          <w:p w14:paraId="46A0ECF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AE9C5C3">
            <w:pPr>
              <w:spacing w:line="240" w:lineRule="atLeast"/>
              <w:jc w:val="left"/>
              <w:rPr>
                <w:rFonts w:ascii="仿宋_GB2312" w:hAnsi="仿宋_GB2312" w:eastAsia="仿宋_GB2312" w:cs="仿宋_GB2312"/>
                <w:sz w:val="20"/>
                <w:szCs w:val="20"/>
              </w:rPr>
            </w:pPr>
          </w:p>
        </w:tc>
      </w:tr>
      <w:tr w14:paraId="07B6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3B434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31</w:t>
            </w:r>
          </w:p>
        </w:tc>
        <w:tc>
          <w:tcPr>
            <w:tcW w:w="555" w:type="dxa"/>
            <w:vAlign w:val="center"/>
          </w:tcPr>
          <w:p w14:paraId="6952FB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FDD99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1F339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39" w:type="dxa"/>
            <w:vAlign w:val="center"/>
          </w:tcPr>
          <w:p w14:paraId="3C549BF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对在土地利用总体规划制定前已建的不符合土地利用总体规划确定用途的建筑物、构筑物重建、扩建行为的处罚</w:t>
            </w:r>
          </w:p>
        </w:tc>
        <w:tc>
          <w:tcPr>
            <w:tcW w:w="630" w:type="dxa"/>
            <w:vAlign w:val="center"/>
          </w:tcPr>
          <w:p w14:paraId="51609CBA">
            <w:pPr>
              <w:snapToGrid w:val="0"/>
              <w:spacing w:line="240" w:lineRule="atLeast"/>
              <w:jc w:val="center"/>
              <w:rPr>
                <w:rFonts w:ascii="仿宋_GB2312" w:hAnsi="仿宋_GB2312" w:eastAsia="仿宋_GB2312" w:cs="仿宋_GB2312"/>
                <w:sz w:val="20"/>
                <w:szCs w:val="20"/>
              </w:rPr>
            </w:pPr>
          </w:p>
        </w:tc>
        <w:tc>
          <w:tcPr>
            <w:tcW w:w="705" w:type="dxa"/>
            <w:vAlign w:val="center"/>
          </w:tcPr>
          <w:p w14:paraId="08F7C1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35" w:type="dxa"/>
            <w:vAlign w:val="center"/>
          </w:tcPr>
          <w:p w14:paraId="2E1879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110" w:type="dxa"/>
            <w:vAlign w:val="center"/>
          </w:tcPr>
          <w:p w14:paraId="76176D2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1.【法律】《中华人民共和国土地管理法》第六十五条：在土地利用总体规划制定前已建的不符合土地利用总体规划确定的用途的建筑物、构筑物，不得重建、扩建。</w:t>
            </w:r>
          </w:p>
          <w:p w14:paraId="308852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2.【行政法规】《中华人民共和国土地管理法实施条例》（1998年国务院令第256号公布，2021年国务院令第743号第三次修订）第五十三条： 违反《土地管理法》第六十五条的规定，对建筑物、构筑物进行重建、扩建的，由县级以上人民政府自然资源主管部门责令限期拆除；逾期不拆除的，由作出行政决定的机关依法申请人民法院强制执行。</w:t>
            </w:r>
          </w:p>
        </w:tc>
        <w:tc>
          <w:tcPr>
            <w:tcW w:w="4170" w:type="dxa"/>
            <w:vAlign w:val="center"/>
          </w:tcPr>
          <w:p w14:paraId="59C5F1B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4A72FC2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247D94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EADF4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4A218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AF0767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B959A8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2771A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85" w:type="dxa"/>
            <w:vAlign w:val="center"/>
          </w:tcPr>
          <w:p w14:paraId="734781B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D906B5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F7863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9C12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B9E5DB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9DEB3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7F1931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BED374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4C369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DEB67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B55B4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0719B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569D6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CB4E5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23F42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F90D6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ED7D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D1B0F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F89FF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724D5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E4D082D">
            <w:pPr>
              <w:snapToGrid w:val="0"/>
              <w:spacing w:line="240" w:lineRule="atLeast"/>
              <w:jc w:val="center"/>
              <w:rPr>
                <w:rFonts w:ascii="仿宋_GB2312" w:hAnsi="仿宋_GB2312" w:eastAsia="仿宋_GB2312" w:cs="仿宋_GB2312"/>
                <w:sz w:val="20"/>
                <w:szCs w:val="20"/>
              </w:rPr>
            </w:pPr>
          </w:p>
        </w:tc>
      </w:tr>
    </w:tbl>
    <w:p w14:paraId="1DF55DC0"/>
    <w:p w14:paraId="41E09CFF"/>
    <w:p w14:paraId="0B25E0B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300"/>
        <w:gridCol w:w="3885"/>
        <w:gridCol w:w="9830"/>
        <w:gridCol w:w="330"/>
      </w:tblGrid>
      <w:tr w14:paraId="7158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7716E59">
            <w:pPr>
              <w:snapToGrid w:val="0"/>
              <w:spacing w:line="240" w:lineRule="atLeast"/>
              <w:jc w:val="left"/>
              <w:rPr>
                <w:rFonts w:asciiTheme="majorEastAsia" w:hAnsiTheme="majorEastAsia" w:eastAsiaTheme="majorEastAsia" w:cstheme="majorEastAsia"/>
                <w:spacing w:val="-23"/>
                <w:sz w:val="20"/>
                <w:szCs w:val="20"/>
              </w:rPr>
            </w:pPr>
          </w:p>
          <w:p w14:paraId="744785FA">
            <w:pPr>
              <w:snapToGrid w:val="0"/>
              <w:spacing w:line="240" w:lineRule="atLeast"/>
              <w:jc w:val="left"/>
              <w:rPr>
                <w:rFonts w:asciiTheme="majorEastAsia" w:hAnsiTheme="majorEastAsia" w:eastAsiaTheme="majorEastAsia" w:cstheme="majorEastAsia"/>
                <w:spacing w:val="-23"/>
                <w:sz w:val="20"/>
                <w:szCs w:val="20"/>
              </w:rPr>
            </w:pPr>
          </w:p>
          <w:p w14:paraId="2A5BF8BB">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58FF345">
            <w:pPr>
              <w:spacing w:line="240" w:lineRule="atLeast"/>
              <w:rPr>
                <w:rFonts w:asciiTheme="majorEastAsia" w:hAnsiTheme="majorEastAsia" w:eastAsiaTheme="majorEastAsia" w:cstheme="majorEastAsia"/>
                <w:spacing w:val="-20"/>
                <w:sz w:val="20"/>
                <w:szCs w:val="20"/>
              </w:rPr>
            </w:pPr>
          </w:p>
          <w:p w14:paraId="3843AC5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159" w:type="dxa"/>
            <w:gridSpan w:val="5"/>
            <w:vAlign w:val="center"/>
          </w:tcPr>
          <w:p w14:paraId="4B0519A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715" w:type="dxa"/>
            <w:gridSpan w:val="2"/>
            <w:vAlign w:val="center"/>
          </w:tcPr>
          <w:p w14:paraId="6CBDAE7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F9C467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BE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2202A1C">
            <w:pPr>
              <w:spacing w:line="240" w:lineRule="atLeast"/>
              <w:jc w:val="left"/>
              <w:rPr>
                <w:rFonts w:ascii="仿宋_GB2312" w:hAnsi="仿宋_GB2312" w:eastAsia="仿宋_GB2312" w:cs="仿宋_GB2312"/>
                <w:sz w:val="20"/>
                <w:szCs w:val="20"/>
              </w:rPr>
            </w:pPr>
          </w:p>
        </w:tc>
        <w:tc>
          <w:tcPr>
            <w:tcW w:w="555" w:type="dxa"/>
            <w:vMerge w:val="continue"/>
          </w:tcPr>
          <w:p w14:paraId="6F6083C4">
            <w:pPr>
              <w:spacing w:line="240" w:lineRule="atLeast"/>
              <w:jc w:val="left"/>
              <w:rPr>
                <w:rFonts w:ascii="仿宋_GB2312" w:hAnsi="仿宋_GB2312" w:eastAsia="仿宋_GB2312" w:cs="仿宋_GB2312"/>
                <w:sz w:val="20"/>
                <w:szCs w:val="20"/>
              </w:rPr>
            </w:pPr>
          </w:p>
        </w:tc>
        <w:tc>
          <w:tcPr>
            <w:tcW w:w="600" w:type="dxa"/>
            <w:vAlign w:val="center"/>
          </w:tcPr>
          <w:p w14:paraId="28E9430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2F3BF8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EF790D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32F2714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00" w:type="dxa"/>
            <w:vAlign w:val="center"/>
          </w:tcPr>
          <w:p w14:paraId="289F6C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85" w:type="dxa"/>
            <w:vAlign w:val="center"/>
          </w:tcPr>
          <w:p w14:paraId="1EB5BC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361C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830" w:type="dxa"/>
            <w:vAlign w:val="center"/>
          </w:tcPr>
          <w:p w14:paraId="0BC89AD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8E5C544">
            <w:pPr>
              <w:spacing w:line="240" w:lineRule="atLeast"/>
              <w:jc w:val="left"/>
              <w:rPr>
                <w:rFonts w:ascii="仿宋_GB2312" w:hAnsi="仿宋_GB2312" w:eastAsia="仿宋_GB2312" w:cs="仿宋_GB2312"/>
                <w:sz w:val="20"/>
                <w:szCs w:val="20"/>
              </w:rPr>
            </w:pPr>
          </w:p>
        </w:tc>
      </w:tr>
      <w:tr w14:paraId="1A1D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60AB6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32</w:t>
            </w:r>
          </w:p>
        </w:tc>
        <w:tc>
          <w:tcPr>
            <w:tcW w:w="555" w:type="dxa"/>
            <w:vAlign w:val="center"/>
          </w:tcPr>
          <w:p w14:paraId="4E8EDE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884FD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21A16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4526F7F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对超过批准的数量占用土地行为的处罚</w:t>
            </w:r>
          </w:p>
        </w:tc>
        <w:tc>
          <w:tcPr>
            <w:tcW w:w="645" w:type="dxa"/>
            <w:vAlign w:val="center"/>
          </w:tcPr>
          <w:p w14:paraId="23394E81">
            <w:pPr>
              <w:snapToGrid w:val="0"/>
              <w:spacing w:line="240" w:lineRule="atLeast"/>
              <w:jc w:val="center"/>
              <w:rPr>
                <w:rFonts w:ascii="仿宋_GB2312" w:hAnsi="仿宋_GB2312" w:eastAsia="仿宋_GB2312" w:cs="仿宋_GB2312"/>
                <w:sz w:val="20"/>
                <w:szCs w:val="20"/>
              </w:rPr>
            </w:pPr>
          </w:p>
        </w:tc>
        <w:tc>
          <w:tcPr>
            <w:tcW w:w="585" w:type="dxa"/>
            <w:vAlign w:val="center"/>
          </w:tcPr>
          <w:p w14:paraId="30789A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9FD6C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00" w:type="dxa"/>
            <w:vAlign w:val="center"/>
          </w:tcPr>
          <w:p w14:paraId="5F68559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1.【法律】《中华人民共和国土地管理法》第七十七条第二款 ：超过批准的数量占用土地，多占的土地以非法占用土地论处。</w:t>
            </w:r>
          </w:p>
          <w:p w14:paraId="3F0E510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513AB94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885" w:type="dxa"/>
            <w:vAlign w:val="center"/>
          </w:tcPr>
          <w:p w14:paraId="28DD8AA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5ED066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4C85AB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AFF3BE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75BBFD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7BBB85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EAAB65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0CF6B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830" w:type="dxa"/>
            <w:vAlign w:val="center"/>
          </w:tcPr>
          <w:p w14:paraId="6196F0B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D3233C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7C5DB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4AD8A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3997F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92C5A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E3F23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937DDF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61B6F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9A84C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34758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72B6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4BC3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36C1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7B842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6C1B7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231F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89EE6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377C0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03F5B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B0B7D57">
            <w:pPr>
              <w:snapToGrid w:val="0"/>
              <w:spacing w:line="240" w:lineRule="atLeast"/>
              <w:jc w:val="center"/>
              <w:rPr>
                <w:rFonts w:ascii="仿宋_GB2312" w:hAnsi="仿宋_GB2312" w:eastAsia="仿宋_GB2312" w:cs="仿宋_GB2312"/>
                <w:sz w:val="20"/>
                <w:szCs w:val="20"/>
              </w:rPr>
            </w:pPr>
          </w:p>
        </w:tc>
      </w:tr>
    </w:tbl>
    <w:p w14:paraId="44328FB5"/>
    <w:p w14:paraId="67EF1D73"/>
    <w:p w14:paraId="19F2FF5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645"/>
        <w:gridCol w:w="660"/>
        <w:gridCol w:w="945"/>
        <w:gridCol w:w="4395"/>
        <w:gridCol w:w="3765"/>
        <w:gridCol w:w="9635"/>
        <w:gridCol w:w="330"/>
      </w:tblGrid>
      <w:tr w14:paraId="2081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5417C2F">
            <w:pPr>
              <w:snapToGrid w:val="0"/>
              <w:spacing w:line="240" w:lineRule="atLeast"/>
              <w:jc w:val="left"/>
              <w:rPr>
                <w:rFonts w:asciiTheme="majorEastAsia" w:hAnsiTheme="majorEastAsia" w:eastAsiaTheme="majorEastAsia" w:cstheme="majorEastAsia"/>
                <w:spacing w:val="-23"/>
                <w:sz w:val="20"/>
                <w:szCs w:val="20"/>
              </w:rPr>
            </w:pPr>
          </w:p>
          <w:p w14:paraId="04A7C34B">
            <w:pPr>
              <w:snapToGrid w:val="0"/>
              <w:spacing w:line="240" w:lineRule="atLeast"/>
              <w:jc w:val="left"/>
              <w:rPr>
                <w:rFonts w:asciiTheme="majorEastAsia" w:hAnsiTheme="majorEastAsia" w:eastAsiaTheme="majorEastAsia" w:cstheme="majorEastAsia"/>
                <w:spacing w:val="-23"/>
                <w:sz w:val="20"/>
                <w:szCs w:val="20"/>
              </w:rPr>
            </w:pPr>
          </w:p>
          <w:p w14:paraId="77928DD1">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D2653A3">
            <w:pPr>
              <w:spacing w:line="240" w:lineRule="atLeast"/>
              <w:rPr>
                <w:rFonts w:asciiTheme="majorEastAsia" w:hAnsiTheme="majorEastAsia" w:eastAsiaTheme="majorEastAsia" w:cstheme="majorEastAsia"/>
                <w:spacing w:val="-20"/>
                <w:sz w:val="20"/>
                <w:szCs w:val="20"/>
              </w:rPr>
            </w:pPr>
          </w:p>
          <w:p w14:paraId="1423B26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474" w:type="dxa"/>
            <w:gridSpan w:val="5"/>
            <w:vAlign w:val="center"/>
          </w:tcPr>
          <w:p w14:paraId="0319853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00" w:type="dxa"/>
            <w:gridSpan w:val="2"/>
            <w:vAlign w:val="center"/>
          </w:tcPr>
          <w:p w14:paraId="00D106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CD3A58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4D2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9DDAB6">
            <w:pPr>
              <w:spacing w:line="240" w:lineRule="atLeast"/>
              <w:jc w:val="left"/>
              <w:rPr>
                <w:rFonts w:ascii="仿宋_GB2312" w:hAnsi="仿宋_GB2312" w:eastAsia="仿宋_GB2312" w:cs="仿宋_GB2312"/>
                <w:sz w:val="20"/>
                <w:szCs w:val="20"/>
              </w:rPr>
            </w:pPr>
          </w:p>
        </w:tc>
        <w:tc>
          <w:tcPr>
            <w:tcW w:w="555" w:type="dxa"/>
            <w:vMerge w:val="continue"/>
          </w:tcPr>
          <w:p w14:paraId="3C4E53DD">
            <w:pPr>
              <w:spacing w:line="240" w:lineRule="atLeast"/>
              <w:jc w:val="left"/>
              <w:rPr>
                <w:rFonts w:ascii="仿宋_GB2312" w:hAnsi="仿宋_GB2312" w:eastAsia="仿宋_GB2312" w:cs="仿宋_GB2312"/>
                <w:sz w:val="20"/>
                <w:szCs w:val="20"/>
              </w:rPr>
            </w:pPr>
          </w:p>
        </w:tc>
        <w:tc>
          <w:tcPr>
            <w:tcW w:w="829" w:type="dxa"/>
            <w:vAlign w:val="center"/>
          </w:tcPr>
          <w:p w14:paraId="3962D1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284AB0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5C096B4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1AEEA44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45" w:type="dxa"/>
            <w:vAlign w:val="center"/>
          </w:tcPr>
          <w:p w14:paraId="172C3C3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95" w:type="dxa"/>
            <w:vAlign w:val="center"/>
          </w:tcPr>
          <w:p w14:paraId="3B09A7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65" w:type="dxa"/>
            <w:vAlign w:val="center"/>
          </w:tcPr>
          <w:p w14:paraId="30F4A5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DACB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35" w:type="dxa"/>
            <w:vAlign w:val="center"/>
          </w:tcPr>
          <w:p w14:paraId="388772D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0E82415">
            <w:pPr>
              <w:spacing w:line="240" w:lineRule="atLeast"/>
              <w:jc w:val="left"/>
              <w:rPr>
                <w:rFonts w:ascii="仿宋_GB2312" w:hAnsi="仿宋_GB2312" w:eastAsia="仿宋_GB2312" w:cs="仿宋_GB2312"/>
                <w:sz w:val="20"/>
                <w:szCs w:val="20"/>
              </w:rPr>
            </w:pPr>
          </w:p>
        </w:tc>
      </w:tr>
      <w:tr w14:paraId="0951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974E9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33</w:t>
            </w:r>
          </w:p>
        </w:tc>
        <w:tc>
          <w:tcPr>
            <w:tcW w:w="555" w:type="dxa"/>
            <w:vAlign w:val="center"/>
          </w:tcPr>
          <w:p w14:paraId="3AE43D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CFB34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88AB1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1A5C81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对未经批准或者采取欺骗手段骗取批准，非法占用土地行为的处罚</w:t>
            </w:r>
          </w:p>
        </w:tc>
        <w:tc>
          <w:tcPr>
            <w:tcW w:w="645" w:type="dxa"/>
            <w:vAlign w:val="center"/>
          </w:tcPr>
          <w:p w14:paraId="15130926">
            <w:pPr>
              <w:snapToGrid w:val="0"/>
              <w:spacing w:line="240" w:lineRule="atLeast"/>
              <w:jc w:val="center"/>
              <w:rPr>
                <w:rFonts w:ascii="仿宋_GB2312" w:hAnsi="仿宋_GB2312" w:eastAsia="仿宋_GB2312" w:cs="仿宋_GB2312"/>
                <w:sz w:val="20"/>
                <w:szCs w:val="20"/>
              </w:rPr>
            </w:pPr>
          </w:p>
        </w:tc>
        <w:tc>
          <w:tcPr>
            <w:tcW w:w="660" w:type="dxa"/>
            <w:vAlign w:val="center"/>
          </w:tcPr>
          <w:p w14:paraId="0651E2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45" w:type="dxa"/>
            <w:vAlign w:val="center"/>
          </w:tcPr>
          <w:p w14:paraId="674C2B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95" w:type="dxa"/>
            <w:vAlign w:val="center"/>
          </w:tcPr>
          <w:p w14:paraId="47ACE80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第一款：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69E4325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43A006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765" w:type="dxa"/>
            <w:vAlign w:val="center"/>
          </w:tcPr>
          <w:p w14:paraId="43E28E5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21CFD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37F7B9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C90C16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E2D65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795E9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31330D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5B5A3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35" w:type="dxa"/>
            <w:vAlign w:val="center"/>
          </w:tcPr>
          <w:p w14:paraId="09A4771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1D0F37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92A01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A5E903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6C142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3D07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28F80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DE8571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5B72D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B4D3E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CE3C6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0113A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2CDCD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29F2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EE343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F5EE9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294C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D32C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4D7B9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9967C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27E5BC5">
            <w:pPr>
              <w:snapToGrid w:val="0"/>
              <w:spacing w:line="240" w:lineRule="atLeast"/>
              <w:jc w:val="center"/>
              <w:rPr>
                <w:rFonts w:ascii="仿宋_GB2312" w:hAnsi="仿宋_GB2312" w:eastAsia="仿宋_GB2312" w:cs="仿宋_GB2312"/>
                <w:sz w:val="20"/>
                <w:szCs w:val="20"/>
              </w:rPr>
            </w:pPr>
          </w:p>
        </w:tc>
      </w:tr>
    </w:tbl>
    <w:p w14:paraId="4FC193AD"/>
    <w:p w14:paraId="57EEFC89"/>
    <w:p w14:paraId="25335FF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69"/>
        <w:gridCol w:w="615"/>
        <w:gridCol w:w="585"/>
        <w:gridCol w:w="1065"/>
        <w:gridCol w:w="4410"/>
        <w:gridCol w:w="3975"/>
        <w:gridCol w:w="9455"/>
        <w:gridCol w:w="330"/>
      </w:tblGrid>
      <w:tr w14:paraId="744D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CCFCDD7">
            <w:pPr>
              <w:snapToGrid w:val="0"/>
              <w:spacing w:line="240" w:lineRule="atLeast"/>
              <w:jc w:val="left"/>
              <w:rPr>
                <w:rFonts w:asciiTheme="majorEastAsia" w:hAnsiTheme="majorEastAsia" w:eastAsiaTheme="majorEastAsia" w:cstheme="majorEastAsia"/>
                <w:spacing w:val="-23"/>
                <w:sz w:val="20"/>
                <w:szCs w:val="20"/>
              </w:rPr>
            </w:pPr>
          </w:p>
          <w:p w14:paraId="162561F8">
            <w:pPr>
              <w:snapToGrid w:val="0"/>
              <w:spacing w:line="240" w:lineRule="atLeast"/>
              <w:jc w:val="left"/>
              <w:rPr>
                <w:rFonts w:asciiTheme="majorEastAsia" w:hAnsiTheme="majorEastAsia" w:eastAsiaTheme="majorEastAsia" w:cstheme="majorEastAsia"/>
                <w:spacing w:val="-23"/>
                <w:sz w:val="20"/>
                <w:szCs w:val="20"/>
              </w:rPr>
            </w:pPr>
          </w:p>
          <w:p w14:paraId="223DFB2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F218E78">
            <w:pPr>
              <w:spacing w:line="240" w:lineRule="atLeast"/>
              <w:rPr>
                <w:rFonts w:asciiTheme="majorEastAsia" w:hAnsiTheme="majorEastAsia" w:eastAsiaTheme="majorEastAsia" w:cstheme="majorEastAsia"/>
                <w:spacing w:val="-20"/>
                <w:sz w:val="20"/>
                <w:szCs w:val="20"/>
              </w:rPr>
            </w:pPr>
          </w:p>
          <w:p w14:paraId="2D54138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444" w:type="dxa"/>
            <w:gridSpan w:val="5"/>
            <w:vAlign w:val="center"/>
          </w:tcPr>
          <w:p w14:paraId="5DE380E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30" w:type="dxa"/>
            <w:gridSpan w:val="2"/>
            <w:vAlign w:val="center"/>
          </w:tcPr>
          <w:p w14:paraId="28E3B8A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203FEC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D32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44CF028">
            <w:pPr>
              <w:spacing w:line="240" w:lineRule="atLeast"/>
              <w:jc w:val="left"/>
              <w:rPr>
                <w:rFonts w:ascii="仿宋_GB2312" w:hAnsi="仿宋_GB2312" w:eastAsia="仿宋_GB2312" w:cs="仿宋_GB2312"/>
                <w:sz w:val="20"/>
                <w:szCs w:val="20"/>
              </w:rPr>
            </w:pPr>
          </w:p>
        </w:tc>
        <w:tc>
          <w:tcPr>
            <w:tcW w:w="555" w:type="dxa"/>
            <w:vMerge w:val="continue"/>
          </w:tcPr>
          <w:p w14:paraId="2F864383">
            <w:pPr>
              <w:spacing w:line="240" w:lineRule="atLeast"/>
              <w:jc w:val="left"/>
              <w:rPr>
                <w:rFonts w:ascii="仿宋_GB2312" w:hAnsi="仿宋_GB2312" w:eastAsia="仿宋_GB2312" w:cs="仿宋_GB2312"/>
                <w:sz w:val="20"/>
                <w:szCs w:val="20"/>
              </w:rPr>
            </w:pPr>
          </w:p>
        </w:tc>
        <w:tc>
          <w:tcPr>
            <w:tcW w:w="769" w:type="dxa"/>
            <w:vAlign w:val="center"/>
          </w:tcPr>
          <w:p w14:paraId="6A520D9E">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4C4FD7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1A6AF89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11188B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65" w:type="dxa"/>
            <w:vAlign w:val="center"/>
          </w:tcPr>
          <w:p w14:paraId="06B00D8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10" w:type="dxa"/>
            <w:vAlign w:val="center"/>
          </w:tcPr>
          <w:p w14:paraId="5A968A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975" w:type="dxa"/>
            <w:vAlign w:val="center"/>
          </w:tcPr>
          <w:p w14:paraId="5501CA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663D6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55" w:type="dxa"/>
            <w:vAlign w:val="center"/>
          </w:tcPr>
          <w:p w14:paraId="11CB066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8F60979">
            <w:pPr>
              <w:spacing w:line="240" w:lineRule="atLeast"/>
              <w:jc w:val="left"/>
              <w:rPr>
                <w:rFonts w:ascii="仿宋_GB2312" w:hAnsi="仿宋_GB2312" w:eastAsia="仿宋_GB2312" w:cs="仿宋_GB2312"/>
                <w:sz w:val="20"/>
                <w:szCs w:val="20"/>
              </w:rPr>
            </w:pPr>
          </w:p>
        </w:tc>
      </w:tr>
      <w:tr w14:paraId="1DED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720F8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34</w:t>
            </w:r>
          </w:p>
        </w:tc>
        <w:tc>
          <w:tcPr>
            <w:tcW w:w="555" w:type="dxa"/>
            <w:vAlign w:val="center"/>
          </w:tcPr>
          <w:p w14:paraId="77610A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F004C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088CA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69" w:type="dxa"/>
            <w:vAlign w:val="center"/>
          </w:tcPr>
          <w:p w14:paraId="618BF03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对有关当事人拒不归还非法批准、使用的土地行为的处罚</w:t>
            </w:r>
          </w:p>
        </w:tc>
        <w:tc>
          <w:tcPr>
            <w:tcW w:w="615" w:type="dxa"/>
            <w:vAlign w:val="center"/>
          </w:tcPr>
          <w:p w14:paraId="6CBA548B">
            <w:pPr>
              <w:snapToGrid w:val="0"/>
              <w:spacing w:line="240" w:lineRule="atLeast"/>
              <w:jc w:val="center"/>
              <w:rPr>
                <w:rFonts w:ascii="仿宋_GB2312" w:hAnsi="仿宋_GB2312" w:eastAsia="仿宋_GB2312" w:cs="仿宋_GB2312"/>
                <w:sz w:val="20"/>
                <w:szCs w:val="20"/>
              </w:rPr>
            </w:pPr>
          </w:p>
        </w:tc>
        <w:tc>
          <w:tcPr>
            <w:tcW w:w="585" w:type="dxa"/>
            <w:vAlign w:val="center"/>
          </w:tcPr>
          <w:p w14:paraId="55C9D1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65" w:type="dxa"/>
            <w:vAlign w:val="center"/>
          </w:tcPr>
          <w:p w14:paraId="6331AD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10" w:type="dxa"/>
            <w:vAlign w:val="center"/>
          </w:tcPr>
          <w:p w14:paraId="134F467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14:paraId="2C6A84B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非法批准征收、使用土地，对当事人造成损失的，依法应当承担赔偿责任。</w:t>
            </w:r>
          </w:p>
          <w:p w14:paraId="45B0DB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4405D5F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超过批准的数量占用土地，多占的土地以非法占用土地论处。</w:t>
            </w:r>
          </w:p>
          <w:p w14:paraId="5240CC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40FAA5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975" w:type="dxa"/>
            <w:vAlign w:val="center"/>
          </w:tcPr>
          <w:p w14:paraId="7FD6E64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E1B90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CDD9FA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0AF1A9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072BE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0DFAFB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2C321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BD8AE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55" w:type="dxa"/>
            <w:vAlign w:val="center"/>
          </w:tcPr>
          <w:p w14:paraId="59A6141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383F32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6060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115AED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C18D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745A9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543163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C559E6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DF457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C8ED8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74BB2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A988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46C27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7766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72470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AC095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36FB6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74CF7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E501C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C24C8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71FF7FF">
            <w:pPr>
              <w:snapToGrid w:val="0"/>
              <w:spacing w:line="240" w:lineRule="atLeast"/>
              <w:jc w:val="center"/>
              <w:rPr>
                <w:rFonts w:ascii="仿宋_GB2312" w:hAnsi="仿宋_GB2312" w:eastAsia="仿宋_GB2312" w:cs="仿宋_GB2312"/>
                <w:sz w:val="20"/>
                <w:szCs w:val="20"/>
              </w:rPr>
            </w:pPr>
          </w:p>
        </w:tc>
      </w:tr>
    </w:tbl>
    <w:p w14:paraId="4D844ECA"/>
    <w:p w14:paraId="251B648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54"/>
        <w:gridCol w:w="645"/>
        <w:gridCol w:w="660"/>
        <w:gridCol w:w="960"/>
        <w:gridCol w:w="5100"/>
        <w:gridCol w:w="3450"/>
        <w:gridCol w:w="9305"/>
        <w:gridCol w:w="330"/>
      </w:tblGrid>
      <w:tr w14:paraId="11E8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1C230E3">
            <w:pPr>
              <w:snapToGrid w:val="0"/>
              <w:spacing w:line="240" w:lineRule="atLeast"/>
              <w:jc w:val="left"/>
              <w:rPr>
                <w:rFonts w:asciiTheme="majorEastAsia" w:hAnsiTheme="majorEastAsia" w:eastAsiaTheme="majorEastAsia" w:cstheme="majorEastAsia"/>
                <w:spacing w:val="-23"/>
                <w:sz w:val="20"/>
                <w:szCs w:val="20"/>
              </w:rPr>
            </w:pPr>
          </w:p>
          <w:p w14:paraId="2FB43F89">
            <w:pPr>
              <w:snapToGrid w:val="0"/>
              <w:spacing w:line="240" w:lineRule="atLeast"/>
              <w:jc w:val="left"/>
              <w:rPr>
                <w:rFonts w:asciiTheme="majorEastAsia" w:hAnsiTheme="majorEastAsia" w:eastAsiaTheme="majorEastAsia" w:cstheme="majorEastAsia"/>
                <w:spacing w:val="-23"/>
                <w:sz w:val="20"/>
                <w:szCs w:val="20"/>
              </w:rPr>
            </w:pPr>
          </w:p>
          <w:p w14:paraId="5409C9D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F172880">
            <w:pPr>
              <w:spacing w:line="240" w:lineRule="atLeast"/>
              <w:rPr>
                <w:rFonts w:asciiTheme="majorEastAsia" w:hAnsiTheme="majorEastAsia" w:eastAsiaTheme="majorEastAsia" w:cstheme="majorEastAsia"/>
                <w:spacing w:val="-20"/>
                <w:sz w:val="20"/>
                <w:szCs w:val="20"/>
              </w:rPr>
            </w:pPr>
          </w:p>
          <w:p w14:paraId="08B468B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119" w:type="dxa"/>
            <w:gridSpan w:val="5"/>
            <w:vAlign w:val="center"/>
          </w:tcPr>
          <w:p w14:paraId="77747A9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755" w:type="dxa"/>
            <w:gridSpan w:val="2"/>
            <w:vAlign w:val="center"/>
          </w:tcPr>
          <w:p w14:paraId="10C19F1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45FFE1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31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20FA7B">
            <w:pPr>
              <w:spacing w:line="240" w:lineRule="atLeast"/>
              <w:jc w:val="left"/>
              <w:rPr>
                <w:rFonts w:ascii="仿宋_GB2312" w:hAnsi="仿宋_GB2312" w:eastAsia="仿宋_GB2312" w:cs="仿宋_GB2312"/>
                <w:sz w:val="20"/>
                <w:szCs w:val="20"/>
              </w:rPr>
            </w:pPr>
          </w:p>
        </w:tc>
        <w:tc>
          <w:tcPr>
            <w:tcW w:w="555" w:type="dxa"/>
            <w:vMerge w:val="continue"/>
          </w:tcPr>
          <w:p w14:paraId="59FDCF25">
            <w:pPr>
              <w:spacing w:line="240" w:lineRule="atLeast"/>
              <w:jc w:val="left"/>
              <w:rPr>
                <w:rFonts w:ascii="仿宋_GB2312" w:hAnsi="仿宋_GB2312" w:eastAsia="仿宋_GB2312" w:cs="仿宋_GB2312"/>
                <w:sz w:val="20"/>
                <w:szCs w:val="20"/>
              </w:rPr>
            </w:pPr>
          </w:p>
        </w:tc>
        <w:tc>
          <w:tcPr>
            <w:tcW w:w="754" w:type="dxa"/>
            <w:vAlign w:val="center"/>
          </w:tcPr>
          <w:p w14:paraId="7EC79EC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1568A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0F3B07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0EF5789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6A78261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100" w:type="dxa"/>
            <w:vAlign w:val="center"/>
          </w:tcPr>
          <w:p w14:paraId="3D3309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6B7084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71210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305" w:type="dxa"/>
            <w:vAlign w:val="center"/>
          </w:tcPr>
          <w:p w14:paraId="23B8E8A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DA66360">
            <w:pPr>
              <w:spacing w:line="240" w:lineRule="atLeast"/>
              <w:jc w:val="left"/>
              <w:rPr>
                <w:rFonts w:ascii="仿宋_GB2312" w:hAnsi="仿宋_GB2312" w:eastAsia="仿宋_GB2312" w:cs="仿宋_GB2312"/>
                <w:sz w:val="20"/>
                <w:szCs w:val="20"/>
              </w:rPr>
            </w:pPr>
          </w:p>
        </w:tc>
      </w:tr>
      <w:tr w14:paraId="4E15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DE01E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35</w:t>
            </w:r>
          </w:p>
        </w:tc>
        <w:tc>
          <w:tcPr>
            <w:tcW w:w="555" w:type="dxa"/>
            <w:vAlign w:val="center"/>
          </w:tcPr>
          <w:p w14:paraId="4E6BB5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D1DA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E792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54" w:type="dxa"/>
            <w:vAlign w:val="center"/>
          </w:tcPr>
          <w:p w14:paraId="59E45D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对违规批准占用土地行为的处罚</w:t>
            </w:r>
          </w:p>
        </w:tc>
        <w:tc>
          <w:tcPr>
            <w:tcW w:w="645" w:type="dxa"/>
            <w:vAlign w:val="center"/>
          </w:tcPr>
          <w:p w14:paraId="45CCE106">
            <w:pPr>
              <w:snapToGrid w:val="0"/>
              <w:spacing w:line="240" w:lineRule="atLeast"/>
              <w:jc w:val="center"/>
              <w:rPr>
                <w:rFonts w:ascii="仿宋_GB2312" w:hAnsi="仿宋_GB2312" w:eastAsia="仿宋_GB2312" w:cs="仿宋_GB2312"/>
                <w:sz w:val="20"/>
                <w:szCs w:val="20"/>
              </w:rPr>
            </w:pPr>
          </w:p>
        </w:tc>
        <w:tc>
          <w:tcPr>
            <w:tcW w:w="660" w:type="dxa"/>
            <w:vAlign w:val="center"/>
          </w:tcPr>
          <w:p w14:paraId="25F2F9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6C36F4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100" w:type="dxa"/>
            <w:vAlign w:val="center"/>
          </w:tcPr>
          <w:p w14:paraId="2A3B6DC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14:paraId="2B332C4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非法批准征收、使用土地，对当事人造成损失的，依法应当承担赔偿责任。</w:t>
            </w:r>
          </w:p>
          <w:p w14:paraId="1C55997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2C60DB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超过批准的数量占用土地，多占的土地以非法占用土地论处。</w:t>
            </w:r>
          </w:p>
          <w:p w14:paraId="445A9EF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11BD651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p w14:paraId="1AFFDA7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14:paraId="5E64F7B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（一）未经批准或者采取欺骗手段骗取批准，非法占用基本农田的；</w:t>
            </w:r>
          </w:p>
          <w:p w14:paraId="6ADB4E7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（二）超过批准数量，非法占用基本农田的；</w:t>
            </w:r>
          </w:p>
          <w:p w14:paraId="2DC59A8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（三）非法批准占用基本农田的；</w:t>
            </w:r>
          </w:p>
          <w:p w14:paraId="1821AE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（四）买卖或者以其他形式非法转让基本农田的。</w:t>
            </w:r>
          </w:p>
        </w:tc>
        <w:tc>
          <w:tcPr>
            <w:tcW w:w="3450" w:type="dxa"/>
            <w:vAlign w:val="center"/>
          </w:tcPr>
          <w:p w14:paraId="63B1D3C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228CE7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73DA4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CA874A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1A3B4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FE99F1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8A725B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B59BA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305" w:type="dxa"/>
            <w:vAlign w:val="center"/>
          </w:tcPr>
          <w:p w14:paraId="7B37AD1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207E15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ACABC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98BC50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DA5A3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AA49E6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BF786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8A8DA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79BDE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828B3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E2477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B11F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12B9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C6D04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0FE7A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F0885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D31E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35713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4E58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373C1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4DD4C1">
            <w:pPr>
              <w:snapToGrid w:val="0"/>
              <w:spacing w:line="240" w:lineRule="atLeast"/>
              <w:jc w:val="center"/>
              <w:rPr>
                <w:rFonts w:ascii="仿宋_GB2312" w:hAnsi="仿宋_GB2312" w:eastAsia="仿宋_GB2312" w:cs="仿宋_GB2312"/>
                <w:sz w:val="20"/>
                <w:szCs w:val="20"/>
              </w:rPr>
            </w:pPr>
          </w:p>
        </w:tc>
      </w:tr>
    </w:tbl>
    <w:p w14:paraId="69C6003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75"/>
        <w:gridCol w:w="660"/>
        <w:gridCol w:w="1020"/>
        <w:gridCol w:w="4800"/>
        <w:gridCol w:w="3765"/>
        <w:gridCol w:w="9155"/>
        <w:gridCol w:w="330"/>
      </w:tblGrid>
      <w:tr w14:paraId="0F11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404CD5">
            <w:pPr>
              <w:snapToGrid w:val="0"/>
              <w:spacing w:line="240" w:lineRule="atLeast"/>
              <w:jc w:val="left"/>
              <w:rPr>
                <w:rFonts w:asciiTheme="majorEastAsia" w:hAnsiTheme="majorEastAsia" w:eastAsiaTheme="majorEastAsia" w:cstheme="majorEastAsia"/>
                <w:spacing w:val="-23"/>
                <w:sz w:val="20"/>
                <w:szCs w:val="20"/>
              </w:rPr>
            </w:pPr>
          </w:p>
          <w:p w14:paraId="799A5E40">
            <w:pPr>
              <w:snapToGrid w:val="0"/>
              <w:spacing w:line="240" w:lineRule="atLeast"/>
              <w:jc w:val="left"/>
              <w:rPr>
                <w:rFonts w:asciiTheme="majorEastAsia" w:hAnsiTheme="majorEastAsia" w:eastAsiaTheme="majorEastAsia" w:cstheme="majorEastAsia"/>
                <w:spacing w:val="-23"/>
                <w:sz w:val="20"/>
                <w:szCs w:val="20"/>
              </w:rPr>
            </w:pPr>
          </w:p>
          <w:p w14:paraId="64919DD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1806097">
            <w:pPr>
              <w:spacing w:line="240" w:lineRule="atLeast"/>
              <w:rPr>
                <w:rFonts w:asciiTheme="majorEastAsia" w:hAnsiTheme="majorEastAsia" w:eastAsiaTheme="majorEastAsia" w:cstheme="majorEastAsia"/>
                <w:spacing w:val="-20"/>
                <w:sz w:val="20"/>
                <w:szCs w:val="20"/>
              </w:rPr>
            </w:pPr>
          </w:p>
          <w:p w14:paraId="4A4A2C3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54" w:type="dxa"/>
            <w:gridSpan w:val="5"/>
            <w:vAlign w:val="center"/>
          </w:tcPr>
          <w:p w14:paraId="3A14F5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20" w:type="dxa"/>
            <w:gridSpan w:val="2"/>
            <w:vAlign w:val="center"/>
          </w:tcPr>
          <w:p w14:paraId="2EA5F2F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13EA77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ECB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B7034E7">
            <w:pPr>
              <w:spacing w:line="240" w:lineRule="atLeast"/>
              <w:jc w:val="left"/>
              <w:rPr>
                <w:rFonts w:ascii="仿宋_GB2312" w:hAnsi="仿宋_GB2312" w:eastAsia="仿宋_GB2312" w:cs="仿宋_GB2312"/>
                <w:sz w:val="20"/>
                <w:szCs w:val="20"/>
              </w:rPr>
            </w:pPr>
          </w:p>
        </w:tc>
        <w:tc>
          <w:tcPr>
            <w:tcW w:w="555" w:type="dxa"/>
            <w:vMerge w:val="continue"/>
          </w:tcPr>
          <w:p w14:paraId="33C7D349">
            <w:pPr>
              <w:spacing w:line="240" w:lineRule="atLeast"/>
              <w:jc w:val="left"/>
              <w:rPr>
                <w:rFonts w:ascii="仿宋_GB2312" w:hAnsi="仿宋_GB2312" w:eastAsia="仿宋_GB2312" w:cs="仿宋_GB2312"/>
                <w:sz w:val="20"/>
                <w:szCs w:val="20"/>
              </w:rPr>
            </w:pPr>
          </w:p>
        </w:tc>
        <w:tc>
          <w:tcPr>
            <w:tcW w:w="799" w:type="dxa"/>
            <w:vAlign w:val="center"/>
          </w:tcPr>
          <w:p w14:paraId="5D65A96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F704E0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75" w:type="dxa"/>
            <w:vAlign w:val="center"/>
          </w:tcPr>
          <w:p w14:paraId="606892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687312E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5F82C8EA">
            <w:pPr>
              <w:widowControl/>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00" w:type="dxa"/>
            <w:vAlign w:val="center"/>
          </w:tcPr>
          <w:p w14:paraId="7FA642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65" w:type="dxa"/>
            <w:vAlign w:val="center"/>
          </w:tcPr>
          <w:p w14:paraId="071F6C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0ECD98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087FA2B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73DDC00">
            <w:pPr>
              <w:spacing w:line="240" w:lineRule="atLeast"/>
              <w:jc w:val="left"/>
              <w:rPr>
                <w:rFonts w:ascii="仿宋_GB2312" w:hAnsi="仿宋_GB2312" w:eastAsia="仿宋_GB2312" w:cs="仿宋_GB2312"/>
                <w:sz w:val="20"/>
                <w:szCs w:val="20"/>
              </w:rPr>
            </w:pPr>
          </w:p>
        </w:tc>
      </w:tr>
      <w:tr w14:paraId="4158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C7BC3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36</w:t>
            </w:r>
          </w:p>
        </w:tc>
        <w:tc>
          <w:tcPr>
            <w:tcW w:w="555" w:type="dxa"/>
            <w:vAlign w:val="center"/>
          </w:tcPr>
          <w:p w14:paraId="110201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0B85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BA4B3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1F62B1F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对依法收回国有土地使用权当事人拒不交出土地的，临时使用土地期满拒不归还土地的，或者不按照批准的用途使用土地行为的处罚</w:t>
            </w:r>
          </w:p>
        </w:tc>
        <w:tc>
          <w:tcPr>
            <w:tcW w:w="675" w:type="dxa"/>
            <w:vAlign w:val="center"/>
          </w:tcPr>
          <w:p w14:paraId="1D70FE0C">
            <w:pPr>
              <w:snapToGrid w:val="0"/>
              <w:spacing w:line="240" w:lineRule="atLeast"/>
              <w:jc w:val="center"/>
              <w:rPr>
                <w:rFonts w:ascii="仿宋_GB2312" w:hAnsi="仿宋_GB2312" w:eastAsia="仿宋_GB2312" w:cs="仿宋_GB2312"/>
                <w:sz w:val="20"/>
                <w:szCs w:val="20"/>
              </w:rPr>
            </w:pPr>
          </w:p>
        </w:tc>
        <w:tc>
          <w:tcPr>
            <w:tcW w:w="660" w:type="dxa"/>
            <w:vAlign w:val="center"/>
          </w:tcPr>
          <w:p w14:paraId="44856B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5ECF37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00" w:type="dxa"/>
            <w:vAlign w:val="center"/>
          </w:tcPr>
          <w:p w14:paraId="42F9DB9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八十一条：依法收回国有土地使用权当事人拒不交出土地的，临时使用土地期满拒不归还的，或者不按照批准的用途使用国有土地的，由县级以上人民政府自然资源主管部门责令交还土地，处以罚款。</w:t>
            </w:r>
          </w:p>
          <w:p w14:paraId="7DBD6F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九条：依照《土地管理法》第八十一条的规定处以罚款的，罚款额为非法占用土地每平方米100元以上500元以下。</w:t>
            </w:r>
          </w:p>
        </w:tc>
        <w:tc>
          <w:tcPr>
            <w:tcW w:w="3765" w:type="dxa"/>
            <w:vAlign w:val="center"/>
          </w:tcPr>
          <w:p w14:paraId="21DA2CD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A1F98A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AAE174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5305B4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88C70D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CD2ED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768CE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19557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55" w:type="dxa"/>
            <w:vAlign w:val="center"/>
          </w:tcPr>
          <w:p w14:paraId="2CE5216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C22DB0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89B45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42258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7FE5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2A3DE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490AF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66E5A8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AAE7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B7AF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73BEC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016C5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27571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6114D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CFEEC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FD748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AF11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971CB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6823D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FFA23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C4C7AD1">
            <w:pPr>
              <w:snapToGrid w:val="0"/>
              <w:spacing w:line="240" w:lineRule="atLeast"/>
              <w:jc w:val="center"/>
              <w:rPr>
                <w:rFonts w:ascii="仿宋_GB2312" w:hAnsi="仿宋_GB2312" w:eastAsia="仿宋_GB2312" w:cs="仿宋_GB2312"/>
                <w:sz w:val="20"/>
                <w:szCs w:val="20"/>
              </w:rPr>
            </w:pPr>
          </w:p>
        </w:tc>
      </w:tr>
    </w:tbl>
    <w:p w14:paraId="1CBE624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630"/>
        <w:gridCol w:w="660"/>
        <w:gridCol w:w="1035"/>
        <w:gridCol w:w="4740"/>
        <w:gridCol w:w="3825"/>
        <w:gridCol w:w="9155"/>
        <w:gridCol w:w="330"/>
      </w:tblGrid>
      <w:tr w14:paraId="70FA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C26EAB">
            <w:pPr>
              <w:snapToGrid w:val="0"/>
              <w:spacing w:line="240" w:lineRule="atLeast"/>
              <w:jc w:val="left"/>
              <w:rPr>
                <w:rFonts w:asciiTheme="majorEastAsia" w:hAnsiTheme="majorEastAsia" w:eastAsiaTheme="majorEastAsia" w:cstheme="majorEastAsia"/>
                <w:spacing w:val="-23"/>
                <w:sz w:val="20"/>
                <w:szCs w:val="20"/>
              </w:rPr>
            </w:pPr>
          </w:p>
          <w:p w14:paraId="65E2AA02">
            <w:pPr>
              <w:snapToGrid w:val="0"/>
              <w:spacing w:line="240" w:lineRule="atLeast"/>
              <w:jc w:val="left"/>
              <w:rPr>
                <w:rFonts w:asciiTheme="majorEastAsia" w:hAnsiTheme="majorEastAsia" w:eastAsiaTheme="majorEastAsia" w:cstheme="majorEastAsia"/>
                <w:spacing w:val="-23"/>
                <w:sz w:val="20"/>
                <w:szCs w:val="20"/>
              </w:rPr>
            </w:pPr>
          </w:p>
          <w:p w14:paraId="0B5EC3B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8E2BA58">
            <w:pPr>
              <w:spacing w:line="240" w:lineRule="atLeast"/>
              <w:rPr>
                <w:rFonts w:asciiTheme="majorEastAsia" w:hAnsiTheme="majorEastAsia" w:eastAsiaTheme="majorEastAsia" w:cstheme="majorEastAsia"/>
                <w:spacing w:val="-20"/>
                <w:sz w:val="20"/>
                <w:szCs w:val="20"/>
              </w:rPr>
            </w:pPr>
          </w:p>
          <w:p w14:paraId="6EAE389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94" w:type="dxa"/>
            <w:gridSpan w:val="5"/>
            <w:vAlign w:val="center"/>
          </w:tcPr>
          <w:p w14:paraId="78B6737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80" w:type="dxa"/>
            <w:gridSpan w:val="2"/>
            <w:vAlign w:val="center"/>
          </w:tcPr>
          <w:p w14:paraId="3DEA3D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5ED0E0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D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35F223B">
            <w:pPr>
              <w:spacing w:line="240" w:lineRule="atLeast"/>
              <w:jc w:val="left"/>
              <w:rPr>
                <w:rFonts w:ascii="仿宋_GB2312" w:hAnsi="仿宋_GB2312" w:eastAsia="仿宋_GB2312" w:cs="仿宋_GB2312"/>
                <w:sz w:val="20"/>
                <w:szCs w:val="20"/>
              </w:rPr>
            </w:pPr>
          </w:p>
        </w:tc>
        <w:tc>
          <w:tcPr>
            <w:tcW w:w="555" w:type="dxa"/>
            <w:vMerge w:val="continue"/>
          </w:tcPr>
          <w:p w14:paraId="73531F9B">
            <w:pPr>
              <w:spacing w:line="240" w:lineRule="atLeast"/>
              <w:jc w:val="left"/>
              <w:rPr>
                <w:rFonts w:ascii="仿宋_GB2312" w:hAnsi="仿宋_GB2312" w:eastAsia="仿宋_GB2312" w:cs="仿宋_GB2312"/>
                <w:sz w:val="20"/>
                <w:szCs w:val="20"/>
              </w:rPr>
            </w:pPr>
          </w:p>
        </w:tc>
        <w:tc>
          <w:tcPr>
            <w:tcW w:w="829" w:type="dxa"/>
            <w:vAlign w:val="center"/>
          </w:tcPr>
          <w:p w14:paraId="7975387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4D118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30" w:type="dxa"/>
            <w:vAlign w:val="center"/>
          </w:tcPr>
          <w:p w14:paraId="1F394722">
            <w:pPr>
              <w:adjustRightInd w:val="0"/>
              <w:snapToGrid w:val="0"/>
              <w:spacing w:line="240" w:lineRule="exact"/>
              <w:jc w:val="center"/>
              <w:rPr>
                <w:rFonts w:asciiTheme="minorEastAsia" w:hAnsiTheme="minorEastAsia" w:cstheme="minorEastAsia"/>
                <w:spacing w:val="-11"/>
                <w:sz w:val="18"/>
                <w:szCs w:val="18"/>
              </w:rPr>
            </w:pPr>
            <w:r>
              <w:rPr>
                <w:rFonts w:hint="eastAsia" w:asciiTheme="minorEastAsia" w:hAnsiTheme="minorEastAsia" w:cstheme="minorEastAsia"/>
                <w:spacing w:val="-11"/>
                <w:sz w:val="18"/>
                <w:szCs w:val="18"/>
              </w:rPr>
              <w:t>子项</w:t>
            </w:r>
          </w:p>
          <w:p w14:paraId="35F68E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名 称</w:t>
            </w:r>
          </w:p>
        </w:tc>
        <w:tc>
          <w:tcPr>
            <w:tcW w:w="660" w:type="dxa"/>
            <w:vAlign w:val="center"/>
          </w:tcPr>
          <w:p w14:paraId="20CD702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35" w:type="dxa"/>
            <w:vAlign w:val="center"/>
          </w:tcPr>
          <w:p w14:paraId="2F5D1F2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40" w:type="dxa"/>
            <w:vAlign w:val="center"/>
          </w:tcPr>
          <w:p w14:paraId="1593B0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25" w:type="dxa"/>
            <w:vAlign w:val="center"/>
          </w:tcPr>
          <w:p w14:paraId="4951C4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81B28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3BD727F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A43551C">
            <w:pPr>
              <w:spacing w:line="240" w:lineRule="atLeast"/>
              <w:jc w:val="left"/>
              <w:rPr>
                <w:rFonts w:ascii="仿宋_GB2312" w:hAnsi="仿宋_GB2312" w:eastAsia="仿宋_GB2312" w:cs="仿宋_GB2312"/>
                <w:sz w:val="20"/>
                <w:szCs w:val="20"/>
              </w:rPr>
            </w:pPr>
          </w:p>
        </w:tc>
      </w:tr>
      <w:tr w14:paraId="5394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7A154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37</w:t>
            </w:r>
          </w:p>
        </w:tc>
        <w:tc>
          <w:tcPr>
            <w:tcW w:w="555" w:type="dxa"/>
            <w:vAlign w:val="center"/>
          </w:tcPr>
          <w:p w14:paraId="20C0BF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1C79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586E7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263045D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对擅自将农民集体所有的土地通过出让、转让使用权或者出租等方式用于非农业建设，或者违反《土地管理法》规定，将集体经营性建设用地通过出让、出租等方式交由单位或者个人使用行为的处罚</w:t>
            </w:r>
          </w:p>
        </w:tc>
        <w:tc>
          <w:tcPr>
            <w:tcW w:w="630" w:type="dxa"/>
            <w:vAlign w:val="center"/>
          </w:tcPr>
          <w:p w14:paraId="23303F88">
            <w:pPr>
              <w:snapToGrid w:val="0"/>
              <w:spacing w:line="240" w:lineRule="atLeast"/>
              <w:jc w:val="center"/>
              <w:rPr>
                <w:rFonts w:ascii="仿宋_GB2312" w:hAnsi="仿宋_GB2312" w:eastAsia="仿宋_GB2312" w:cs="仿宋_GB2312"/>
                <w:sz w:val="20"/>
                <w:szCs w:val="20"/>
              </w:rPr>
            </w:pPr>
          </w:p>
        </w:tc>
        <w:tc>
          <w:tcPr>
            <w:tcW w:w="660" w:type="dxa"/>
            <w:vAlign w:val="center"/>
          </w:tcPr>
          <w:p w14:paraId="5AF137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35" w:type="dxa"/>
            <w:vAlign w:val="center"/>
          </w:tcPr>
          <w:p w14:paraId="1F8B08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40" w:type="dxa"/>
            <w:vAlign w:val="center"/>
          </w:tcPr>
          <w:p w14:paraId="25E6C4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八十二条：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p w14:paraId="22712E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六十条：依照《土地管理法》第八十二条的规定处以罚款的，罚款额为违法所得的10%以上30%以下。</w:t>
            </w:r>
          </w:p>
        </w:tc>
        <w:tc>
          <w:tcPr>
            <w:tcW w:w="3825" w:type="dxa"/>
            <w:vAlign w:val="center"/>
          </w:tcPr>
          <w:p w14:paraId="53AFB98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1.立案阶段责任：接到举报或相关部门转送、巡查发现擅自将农民集体所有土地使用权出让、转让、出租用于非农业建设行为，及时予以审查，决定是否立案。下达《责令停止违法行为通知书》。</w:t>
            </w:r>
          </w:p>
          <w:p w14:paraId="70F80FB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7F3747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473884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ABB018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CA22E2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A2260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D8B51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55" w:type="dxa"/>
            <w:vAlign w:val="center"/>
          </w:tcPr>
          <w:p w14:paraId="47679F0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9B4698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C6D45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EF773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6248ED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B0272E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0FD2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4F0E50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51579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641BE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8711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46560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1DCE4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A52D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9818E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32DD2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7BC90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F2313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27418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53F56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52BDE83">
            <w:pPr>
              <w:snapToGrid w:val="0"/>
              <w:spacing w:line="240" w:lineRule="atLeast"/>
              <w:jc w:val="center"/>
              <w:rPr>
                <w:rFonts w:ascii="仿宋_GB2312" w:hAnsi="仿宋_GB2312" w:eastAsia="仿宋_GB2312" w:cs="仿宋_GB2312"/>
                <w:sz w:val="20"/>
                <w:szCs w:val="20"/>
              </w:rPr>
            </w:pPr>
          </w:p>
        </w:tc>
      </w:tr>
    </w:tbl>
    <w:p w14:paraId="35DD1527"/>
    <w:p w14:paraId="1AD81639"/>
    <w:p w14:paraId="7A6E96A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005"/>
        <w:gridCol w:w="3495"/>
        <w:gridCol w:w="9515"/>
        <w:gridCol w:w="330"/>
      </w:tblGrid>
      <w:tr w14:paraId="4E90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5DA7062">
            <w:pPr>
              <w:snapToGrid w:val="0"/>
              <w:spacing w:line="240" w:lineRule="atLeast"/>
              <w:jc w:val="left"/>
              <w:rPr>
                <w:rFonts w:asciiTheme="majorEastAsia" w:hAnsiTheme="majorEastAsia" w:eastAsiaTheme="majorEastAsia" w:cstheme="majorEastAsia"/>
                <w:spacing w:val="-23"/>
                <w:sz w:val="20"/>
                <w:szCs w:val="20"/>
              </w:rPr>
            </w:pPr>
          </w:p>
          <w:p w14:paraId="0AEA749D">
            <w:pPr>
              <w:snapToGrid w:val="0"/>
              <w:spacing w:line="240" w:lineRule="atLeast"/>
              <w:jc w:val="left"/>
              <w:rPr>
                <w:rFonts w:asciiTheme="majorEastAsia" w:hAnsiTheme="majorEastAsia" w:eastAsiaTheme="majorEastAsia" w:cstheme="majorEastAsia"/>
                <w:spacing w:val="-23"/>
                <w:sz w:val="20"/>
                <w:szCs w:val="20"/>
              </w:rPr>
            </w:pPr>
          </w:p>
          <w:p w14:paraId="394DA1B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CECE80A">
            <w:pPr>
              <w:spacing w:line="240" w:lineRule="atLeast"/>
              <w:rPr>
                <w:rFonts w:asciiTheme="majorEastAsia" w:hAnsiTheme="majorEastAsia" w:eastAsiaTheme="majorEastAsia" w:cstheme="majorEastAsia"/>
                <w:spacing w:val="-20"/>
                <w:sz w:val="20"/>
                <w:szCs w:val="20"/>
              </w:rPr>
            </w:pPr>
          </w:p>
          <w:p w14:paraId="5F21A95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64" w:type="dxa"/>
            <w:gridSpan w:val="5"/>
            <w:vAlign w:val="center"/>
          </w:tcPr>
          <w:p w14:paraId="3DEA9C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10" w:type="dxa"/>
            <w:gridSpan w:val="2"/>
            <w:vAlign w:val="center"/>
          </w:tcPr>
          <w:p w14:paraId="1C3E478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B59E02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885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2547991">
            <w:pPr>
              <w:spacing w:line="240" w:lineRule="atLeast"/>
              <w:jc w:val="left"/>
              <w:rPr>
                <w:rFonts w:ascii="仿宋_GB2312" w:hAnsi="仿宋_GB2312" w:eastAsia="仿宋_GB2312" w:cs="仿宋_GB2312"/>
                <w:sz w:val="20"/>
                <w:szCs w:val="20"/>
              </w:rPr>
            </w:pPr>
          </w:p>
        </w:tc>
        <w:tc>
          <w:tcPr>
            <w:tcW w:w="555" w:type="dxa"/>
            <w:vMerge w:val="continue"/>
          </w:tcPr>
          <w:p w14:paraId="5EA54423">
            <w:pPr>
              <w:spacing w:line="240" w:lineRule="atLeast"/>
              <w:jc w:val="left"/>
              <w:rPr>
                <w:rFonts w:ascii="仿宋_GB2312" w:hAnsi="仿宋_GB2312" w:eastAsia="仿宋_GB2312" w:cs="仿宋_GB2312"/>
                <w:sz w:val="20"/>
                <w:szCs w:val="20"/>
              </w:rPr>
            </w:pPr>
          </w:p>
        </w:tc>
        <w:tc>
          <w:tcPr>
            <w:tcW w:w="600" w:type="dxa"/>
            <w:vAlign w:val="center"/>
          </w:tcPr>
          <w:p w14:paraId="1E7AFB7E">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144059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CF43CC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F3C76B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005" w:type="dxa"/>
            <w:vAlign w:val="center"/>
          </w:tcPr>
          <w:p w14:paraId="18067E7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95" w:type="dxa"/>
            <w:vAlign w:val="center"/>
          </w:tcPr>
          <w:p w14:paraId="399632A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C585A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913B9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1AAD3A6">
            <w:pPr>
              <w:spacing w:line="240" w:lineRule="atLeast"/>
              <w:jc w:val="left"/>
              <w:rPr>
                <w:rFonts w:ascii="仿宋_GB2312" w:hAnsi="仿宋_GB2312" w:eastAsia="仿宋_GB2312" w:cs="仿宋_GB2312"/>
                <w:sz w:val="20"/>
                <w:szCs w:val="20"/>
              </w:rPr>
            </w:pPr>
          </w:p>
        </w:tc>
      </w:tr>
      <w:tr w14:paraId="47ED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2ED4D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38</w:t>
            </w:r>
          </w:p>
        </w:tc>
        <w:tc>
          <w:tcPr>
            <w:tcW w:w="555" w:type="dxa"/>
            <w:vAlign w:val="center"/>
          </w:tcPr>
          <w:p w14:paraId="4D2F40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272C5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23B2B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2AC1552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对临时用地期满之日起一年内未完成复垦或者未恢复种植条件行为的处罚</w:t>
            </w:r>
          </w:p>
        </w:tc>
        <w:tc>
          <w:tcPr>
            <w:tcW w:w="645" w:type="dxa"/>
            <w:vAlign w:val="center"/>
          </w:tcPr>
          <w:p w14:paraId="35B9A036">
            <w:pPr>
              <w:snapToGrid w:val="0"/>
              <w:spacing w:line="240" w:lineRule="atLeast"/>
              <w:jc w:val="center"/>
              <w:rPr>
                <w:rFonts w:ascii="仿宋_GB2312" w:hAnsi="仿宋_GB2312" w:eastAsia="仿宋_GB2312" w:cs="仿宋_GB2312"/>
                <w:sz w:val="20"/>
                <w:szCs w:val="20"/>
              </w:rPr>
            </w:pPr>
          </w:p>
        </w:tc>
        <w:tc>
          <w:tcPr>
            <w:tcW w:w="585" w:type="dxa"/>
            <w:vAlign w:val="center"/>
          </w:tcPr>
          <w:p w14:paraId="001E48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55B17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005" w:type="dxa"/>
            <w:vAlign w:val="center"/>
          </w:tcPr>
          <w:p w14:paraId="13B6F6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7903BB7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tc>
        <w:tc>
          <w:tcPr>
            <w:tcW w:w="3495" w:type="dxa"/>
            <w:vAlign w:val="center"/>
          </w:tcPr>
          <w:p w14:paraId="4A6AF8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A28071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779CA7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6EE04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35375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743284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39E47E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77DDF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38282C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05C88C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5815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18EC4A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DD3FFD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31854F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56F20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90F159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A731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E2CA2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127E5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D75C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78C59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59CE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3A1A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53554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2300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FFE13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DEBD0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15399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6E7864">
            <w:pPr>
              <w:snapToGrid w:val="0"/>
              <w:spacing w:line="240" w:lineRule="atLeast"/>
              <w:jc w:val="center"/>
              <w:rPr>
                <w:rFonts w:ascii="仿宋_GB2312" w:hAnsi="仿宋_GB2312" w:eastAsia="仿宋_GB2312" w:cs="仿宋_GB2312"/>
                <w:sz w:val="20"/>
                <w:szCs w:val="20"/>
              </w:rPr>
            </w:pPr>
          </w:p>
        </w:tc>
      </w:tr>
    </w:tbl>
    <w:p w14:paraId="64057AC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975"/>
        <w:gridCol w:w="3540"/>
        <w:gridCol w:w="9500"/>
        <w:gridCol w:w="330"/>
      </w:tblGrid>
      <w:tr w14:paraId="3772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B85C7D">
            <w:pPr>
              <w:snapToGrid w:val="0"/>
              <w:spacing w:line="240" w:lineRule="atLeast"/>
              <w:jc w:val="left"/>
              <w:rPr>
                <w:rFonts w:asciiTheme="majorEastAsia" w:hAnsiTheme="majorEastAsia" w:eastAsiaTheme="majorEastAsia" w:cstheme="majorEastAsia"/>
                <w:spacing w:val="-23"/>
                <w:sz w:val="20"/>
                <w:szCs w:val="20"/>
              </w:rPr>
            </w:pPr>
          </w:p>
          <w:p w14:paraId="6942AB5D">
            <w:pPr>
              <w:snapToGrid w:val="0"/>
              <w:spacing w:line="240" w:lineRule="atLeast"/>
              <w:jc w:val="left"/>
              <w:rPr>
                <w:rFonts w:asciiTheme="majorEastAsia" w:hAnsiTheme="majorEastAsia" w:eastAsiaTheme="majorEastAsia" w:cstheme="majorEastAsia"/>
                <w:spacing w:val="-23"/>
                <w:sz w:val="20"/>
                <w:szCs w:val="20"/>
              </w:rPr>
            </w:pPr>
          </w:p>
          <w:p w14:paraId="51F09511">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877378E">
            <w:pPr>
              <w:spacing w:line="240" w:lineRule="atLeast"/>
              <w:rPr>
                <w:rFonts w:asciiTheme="majorEastAsia" w:hAnsiTheme="majorEastAsia" w:eastAsiaTheme="majorEastAsia" w:cstheme="majorEastAsia"/>
                <w:spacing w:val="-20"/>
                <w:sz w:val="20"/>
                <w:szCs w:val="20"/>
              </w:rPr>
            </w:pPr>
          </w:p>
          <w:p w14:paraId="5D4AB5C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34" w:type="dxa"/>
            <w:gridSpan w:val="5"/>
            <w:vAlign w:val="center"/>
          </w:tcPr>
          <w:p w14:paraId="3C5099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40" w:type="dxa"/>
            <w:gridSpan w:val="2"/>
            <w:vAlign w:val="center"/>
          </w:tcPr>
          <w:p w14:paraId="61714C6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1F639D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77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AC32AD">
            <w:pPr>
              <w:spacing w:line="240" w:lineRule="atLeast"/>
              <w:jc w:val="left"/>
              <w:rPr>
                <w:rFonts w:ascii="仿宋_GB2312" w:hAnsi="仿宋_GB2312" w:eastAsia="仿宋_GB2312" w:cs="仿宋_GB2312"/>
                <w:sz w:val="20"/>
                <w:szCs w:val="20"/>
              </w:rPr>
            </w:pPr>
          </w:p>
        </w:tc>
        <w:tc>
          <w:tcPr>
            <w:tcW w:w="555" w:type="dxa"/>
            <w:vMerge w:val="continue"/>
          </w:tcPr>
          <w:p w14:paraId="5DBF98BF">
            <w:pPr>
              <w:spacing w:line="240" w:lineRule="atLeast"/>
              <w:jc w:val="left"/>
              <w:rPr>
                <w:rFonts w:ascii="仿宋_GB2312" w:hAnsi="仿宋_GB2312" w:eastAsia="仿宋_GB2312" w:cs="仿宋_GB2312"/>
                <w:sz w:val="20"/>
                <w:szCs w:val="20"/>
              </w:rPr>
            </w:pPr>
          </w:p>
        </w:tc>
        <w:tc>
          <w:tcPr>
            <w:tcW w:w="600" w:type="dxa"/>
            <w:vAlign w:val="center"/>
          </w:tcPr>
          <w:p w14:paraId="0997394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A71314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88D3E2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73B7F4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975" w:type="dxa"/>
            <w:vAlign w:val="center"/>
          </w:tcPr>
          <w:p w14:paraId="71B728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40" w:type="dxa"/>
            <w:vAlign w:val="center"/>
          </w:tcPr>
          <w:p w14:paraId="74F51F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986AE9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3C085CC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AAE10B1">
            <w:pPr>
              <w:spacing w:line="240" w:lineRule="atLeast"/>
              <w:jc w:val="left"/>
              <w:rPr>
                <w:rFonts w:ascii="仿宋_GB2312" w:hAnsi="仿宋_GB2312" w:eastAsia="仿宋_GB2312" w:cs="仿宋_GB2312"/>
                <w:sz w:val="20"/>
                <w:szCs w:val="20"/>
              </w:rPr>
            </w:pPr>
          </w:p>
        </w:tc>
      </w:tr>
      <w:tr w14:paraId="7FAD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7527C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39</w:t>
            </w:r>
          </w:p>
        </w:tc>
        <w:tc>
          <w:tcPr>
            <w:tcW w:w="555" w:type="dxa"/>
            <w:vAlign w:val="center"/>
          </w:tcPr>
          <w:p w14:paraId="150B13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939F3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805CB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3A9097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对在临时使用的土地上修建永久性建筑物、构筑物行为的处罚</w:t>
            </w:r>
          </w:p>
        </w:tc>
        <w:tc>
          <w:tcPr>
            <w:tcW w:w="645" w:type="dxa"/>
            <w:vAlign w:val="center"/>
          </w:tcPr>
          <w:p w14:paraId="1C8A3BC0">
            <w:pPr>
              <w:snapToGrid w:val="0"/>
              <w:spacing w:line="240" w:lineRule="atLeast"/>
              <w:jc w:val="center"/>
              <w:rPr>
                <w:rFonts w:ascii="仿宋_GB2312" w:hAnsi="仿宋_GB2312" w:eastAsia="仿宋_GB2312" w:cs="仿宋_GB2312"/>
                <w:sz w:val="20"/>
                <w:szCs w:val="20"/>
              </w:rPr>
            </w:pPr>
          </w:p>
        </w:tc>
        <w:tc>
          <w:tcPr>
            <w:tcW w:w="585" w:type="dxa"/>
            <w:vAlign w:val="center"/>
          </w:tcPr>
          <w:p w14:paraId="5C3CC6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FD2B9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975" w:type="dxa"/>
            <w:vAlign w:val="center"/>
          </w:tcPr>
          <w:p w14:paraId="063BEE3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14:paraId="22ADA04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临时使用土地的使用者应当按照临时使用土地合同约定的用途使用土地，并不得修建永久性建筑物。</w:t>
            </w:r>
          </w:p>
          <w:p w14:paraId="1E5B981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临时使用土地期限一般不超过二年。</w:t>
            </w:r>
          </w:p>
          <w:p w14:paraId="62E34A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二条：违反《土地管理法》第五十七条的规定，在临时使用的土地上修建永久性建筑物的，由县级以上人民政府自然资源主管部门责令限期拆除，按占用面积处土地复垦费5倍以上10倍以下的罚款；逾期不拆除的，由作出行政决定的机关依法申请人民法院强制执行。</w:t>
            </w:r>
          </w:p>
        </w:tc>
        <w:tc>
          <w:tcPr>
            <w:tcW w:w="3540" w:type="dxa"/>
            <w:vAlign w:val="center"/>
          </w:tcPr>
          <w:p w14:paraId="55134C4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698DA2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73662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B7892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EC8815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4373DB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6189A7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1884F8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44549A7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6FB2B3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D520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49AD6E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F06C3C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16C50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4F525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88048D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718A3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5D07C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B47B8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6819D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DE6DE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F0F1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52A9B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59E6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0BE3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EA55A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6C4F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8AE94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E10B48A">
            <w:pPr>
              <w:snapToGrid w:val="0"/>
              <w:spacing w:line="240" w:lineRule="atLeast"/>
              <w:jc w:val="center"/>
              <w:rPr>
                <w:rFonts w:ascii="仿宋_GB2312" w:hAnsi="仿宋_GB2312" w:eastAsia="仿宋_GB2312" w:cs="仿宋_GB2312"/>
                <w:sz w:val="20"/>
                <w:szCs w:val="20"/>
              </w:rPr>
            </w:pPr>
          </w:p>
        </w:tc>
      </w:tr>
    </w:tbl>
    <w:p w14:paraId="258A29D9"/>
    <w:p w14:paraId="060ED3B2"/>
    <w:p w14:paraId="3885461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570"/>
        <w:gridCol w:w="630"/>
        <w:gridCol w:w="975"/>
        <w:gridCol w:w="4815"/>
        <w:gridCol w:w="3585"/>
        <w:gridCol w:w="9470"/>
        <w:gridCol w:w="330"/>
      </w:tblGrid>
      <w:tr w14:paraId="6B92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E14B322">
            <w:pPr>
              <w:snapToGrid w:val="0"/>
              <w:spacing w:line="240" w:lineRule="atLeast"/>
              <w:jc w:val="left"/>
              <w:rPr>
                <w:rFonts w:asciiTheme="majorEastAsia" w:hAnsiTheme="majorEastAsia" w:eastAsiaTheme="majorEastAsia" w:cstheme="majorEastAsia"/>
                <w:spacing w:val="-23"/>
                <w:sz w:val="20"/>
                <w:szCs w:val="20"/>
              </w:rPr>
            </w:pPr>
          </w:p>
          <w:p w14:paraId="59BEDA36">
            <w:pPr>
              <w:snapToGrid w:val="0"/>
              <w:spacing w:line="240" w:lineRule="atLeast"/>
              <w:jc w:val="left"/>
              <w:rPr>
                <w:rFonts w:asciiTheme="majorEastAsia" w:hAnsiTheme="majorEastAsia" w:eastAsiaTheme="majorEastAsia" w:cstheme="majorEastAsia"/>
                <w:spacing w:val="-23"/>
                <w:sz w:val="20"/>
                <w:szCs w:val="20"/>
              </w:rPr>
            </w:pPr>
          </w:p>
          <w:p w14:paraId="711393C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59669D3">
            <w:pPr>
              <w:spacing w:line="240" w:lineRule="atLeast"/>
              <w:rPr>
                <w:rFonts w:asciiTheme="majorEastAsia" w:hAnsiTheme="majorEastAsia" w:eastAsiaTheme="majorEastAsia" w:cstheme="majorEastAsia"/>
                <w:spacing w:val="-20"/>
                <w:sz w:val="20"/>
                <w:szCs w:val="20"/>
              </w:rPr>
            </w:pPr>
          </w:p>
          <w:p w14:paraId="5CD3400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19" w:type="dxa"/>
            <w:gridSpan w:val="5"/>
            <w:vAlign w:val="center"/>
          </w:tcPr>
          <w:p w14:paraId="56C058B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55" w:type="dxa"/>
            <w:gridSpan w:val="2"/>
            <w:vAlign w:val="center"/>
          </w:tcPr>
          <w:p w14:paraId="08A5D9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008B3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BF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7A7E4B">
            <w:pPr>
              <w:spacing w:line="240" w:lineRule="atLeast"/>
              <w:jc w:val="left"/>
              <w:rPr>
                <w:rFonts w:ascii="仿宋_GB2312" w:hAnsi="仿宋_GB2312" w:eastAsia="仿宋_GB2312" w:cs="仿宋_GB2312"/>
                <w:sz w:val="20"/>
                <w:szCs w:val="20"/>
              </w:rPr>
            </w:pPr>
          </w:p>
        </w:tc>
        <w:tc>
          <w:tcPr>
            <w:tcW w:w="555" w:type="dxa"/>
            <w:vMerge w:val="continue"/>
          </w:tcPr>
          <w:p w14:paraId="59B5480D">
            <w:pPr>
              <w:spacing w:line="240" w:lineRule="atLeast"/>
              <w:jc w:val="left"/>
              <w:rPr>
                <w:rFonts w:ascii="仿宋_GB2312" w:hAnsi="仿宋_GB2312" w:eastAsia="仿宋_GB2312" w:cs="仿宋_GB2312"/>
                <w:sz w:val="20"/>
                <w:szCs w:val="20"/>
              </w:rPr>
            </w:pPr>
          </w:p>
        </w:tc>
        <w:tc>
          <w:tcPr>
            <w:tcW w:w="829" w:type="dxa"/>
            <w:vAlign w:val="center"/>
          </w:tcPr>
          <w:p w14:paraId="1FBD155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570" w:type="dxa"/>
            <w:vAlign w:val="center"/>
          </w:tcPr>
          <w:p w14:paraId="20A133A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子项名称</w:t>
            </w:r>
          </w:p>
        </w:tc>
        <w:tc>
          <w:tcPr>
            <w:tcW w:w="630" w:type="dxa"/>
            <w:vAlign w:val="center"/>
          </w:tcPr>
          <w:p w14:paraId="578498A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30FDD17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15" w:type="dxa"/>
            <w:vAlign w:val="center"/>
          </w:tcPr>
          <w:p w14:paraId="30CFC4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FB4B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DAF90A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00914D8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49ABACD">
            <w:pPr>
              <w:spacing w:line="240" w:lineRule="atLeast"/>
              <w:jc w:val="left"/>
              <w:rPr>
                <w:rFonts w:ascii="仿宋_GB2312" w:hAnsi="仿宋_GB2312" w:eastAsia="仿宋_GB2312" w:cs="仿宋_GB2312"/>
                <w:sz w:val="20"/>
                <w:szCs w:val="20"/>
              </w:rPr>
            </w:pPr>
          </w:p>
        </w:tc>
      </w:tr>
      <w:tr w14:paraId="6B85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3FB6E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40</w:t>
            </w:r>
          </w:p>
        </w:tc>
        <w:tc>
          <w:tcPr>
            <w:tcW w:w="555" w:type="dxa"/>
            <w:vAlign w:val="center"/>
          </w:tcPr>
          <w:p w14:paraId="6CA433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23A50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6FD08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411EAB7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对违法占用永久基本农田建窑、建房、建坟、挖砂、采石、采矿、取土、堆放固体废弃物或者从事其他活动破坏基本农田，毁坏种植条件行为的处罚</w:t>
            </w:r>
          </w:p>
        </w:tc>
        <w:tc>
          <w:tcPr>
            <w:tcW w:w="570" w:type="dxa"/>
            <w:vAlign w:val="center"/>
          </w:tcPr>
          <w:p w14:paraId="350C7426">
            <w:pPr>
              <w:snapToGrid w:val="0"/>
              <w:spacing w:line="240" w:lineRule="atLeast"/>
              <w:jc w:val="center"/>
              <w:rPr>
                <w:rFonts w:ascii="仿宋_GB2312" w:hAnsi="仿宋_GB2312" w:eastAsia="仿宋_GB2312" w:cs="仿宋_GB2312"/>
                <w:sz w:val="20"/>
                <w:szCs w:val="20"/>
              </w:rPr>
            </w:pPr>
          </w:p>
        </w:tc>
        <w:tc>
          <w:tcPr>
            <w:tcW w:w="630" w:type="dxa"/>
            <w:vAlign w:val="center"/>
          </w:tcPr>
          <w:p w14:paraId="731937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6527B6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15" w:type="dxa"/>
            <w:vAlign w:val="center"/>
          </w:tcPr>
          <w:p w14:paraId="56F910F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14:paraId="6076F5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（一）未经批准或者采取欺骗手段骗取批准，非法占用基本农田的；</w:t>
            </w:r>
          </w:p>
          <w:p w14:paraId="7AE67B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（二）超过批准数量，非法占用基本农田的；</w:t>
            </w:r>
          </w:p>
          <w:p w14:paraId="05BDBB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（三）非法批准占用基本农田的；</w:t>
            </w:r>
          </w:p>
          <w:p w14:paraId="180ED7C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（四）买卖或者以其他形式非法转让基本农田的。</w:t>
            </w:r>
          </w:p>
          <w:p w14:paraId="3E059E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三条：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１倍以上２倍以下的罚款；构成犯罪的，依法追究刑事责任。</w:t>
            </w:r>
          </w:p>
        </w:tc>
        <w:tc>
          <w:tcPr>
            <w:tcW w:w="3585" w:type="dxa"/>
            <w:vAlign w:val="center"/>
          </w:tcPr>
          <w:p w14:paraId="6BFBE1C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0E599B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2EA664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83569E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C6DEE6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1A4AB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C6ACA1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4FB297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093FEC0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5F0FEB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2A9FC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089D6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5401D1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1BB82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09894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09740E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C3D9C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11CD9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BBEF6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D74C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DB647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E4EA6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20F91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DD074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AC2E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B64E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14627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5EFEC0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A67A2E5">
            <w:pPr>
              <w:snapToGrid w:val="0"/>
              <w:spacing w:line="240" w:lineRule="atLeast"/>
              <w:jc w:val="center"/>
              <w:rPr>
                <w:rFonts w:ascii="仿宋_GB2312" w:hAnsi="仿宋_GB2312" w:eastAsia="仿宋_GB2312" w:cs="仿宋_GB2312"/>
                <w:sz w:val="20"/>
                <w:szCs w:val="20"/>
              </w:rPr>
            </w:pPr>
          </w:p>
        </w:tc>
      </w:tr>
    </w:tbl>
    <w:p w14:paraId="0ABB0731"/>
    <w:p w14:paraId="46EC2F7C"/>
    <w:p w14:paraId="502C2A0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00"/>
        <w:gridCol w:w="600"/>
        <w:gridCol w:w="975"/>
        <w:gridCol w:w="4800"/>
        <w:gridCol w:w="3615"/>
        <w:gridCol w:w="9470"/>
        <w:gridCol w:w="330"/>
      </w:tblGrid>
      <w:tr w14:paraId="32F1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C516C7">
            <w:pPr>
              <w:snapToGrid w:val="0"/>
              <w:spacing w:line="240" w:lineRule="atLeast"/>
              <w:jc w:val="left"/>
              <w:rPr>
                <w:rFonts w:asciiTheme="majorEastAsia" w:hAnsiTheme="majorEastAsia" w:eastAsiaTheme="majorEastAsia" w:cstheme="majorEastAsia"/>
                <w:spacing w:val="-23"/>
                <w:sz w:val="20"/>
                <w:szCs w:val="20"/>
              </w:rPr>
            </w:pPr>
          </w:p>
          <w:p w14:paraId="06665E12">
            <w:pPr>
              <w:snapToGrid w:val="0"/>
              <w:spacing w:line="240" w:lineRule="atLeast"/>
              <w:jc w:val="left"/>
              <w:rPr>
                <w:rFonts w:asciiTheme="majorEastAsia" w:hAnsiTheme="majorEastAsia" w:eastAsiaTheme="majorEastAsia" w:cstheme="majorEastAsia"/>
                <w:spacing w:val="-23"/>
                <w:sz w:val="20"/>
                <w:szCs w:val="20"/>
              </w:rPr>
            </w:pPr>
          </w:p>
          <w:p w14:paraId="7CD7756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0093D56">
            <w:pPr>
              <w:spacing w:line="240" w:lineRule="atLeast"/>
              <w:rPr>
                <w:rFonts w:asciiTheme="majorEastAsia" w:hAnsiTheme="majorEastAsia" w:eastAsiaTheme="majorEastAsia" w:cstheme="majorEastAsia"/>
                <w:spacing w:val="-20"/>
                <w:sz w:val="20"/>
                <w:szCs w:val="20"/>
              </w:rPr>
            </w:pPr>
          </w:p>
          <w:p w14:paraId="2ACFD09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89" w:type="dxa"/>
            <w:gridSpan w:val="5"/>
            <w:vAlign w:val="center"/>
          </w:tcPr>
          <w:p w14:paraId="4E097C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85" w:type="dxa"/>
            <w:gridSpan w:val="2"/>
            <w:vAlign w:val="center"/>
          </w:tcPr>
          <w:p w14:paraId="424D6F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B491D5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C4C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82031EC">
            <w:pPr>
              <w:spacing w:line="240" w:lineRule="atLeast"/>
              <w:jc w:val="left"/>
              <w:rPr>
                <w:rFonts w:ascii="仿宋_GB2312" w:hAnsi="仿宋_GB2312" w:eastAsia="仿宋_GB2312" w:cs="仿宋_GB2312"/>
                <w:sz w:val="20"/>
                <w:szCs w:val="20"/>
              </w:rPr>
            </w:pPr>
          </w:p>
        </w:tc>
        <w:tc>
          <w:tcPr>
            <w:tcW w:w="555" w:type="dxa"/>
            <w:vMerge w:val="continue"/>
          </w:tcPr>
          <w:p w14:paraId="10ACEFA0">
            <w:pPr>
              <w:spacing w:line="240" w:lineRule="atLeast"/>
              <w:jc w:val="left"/>
              <w:rPr>
                <w:rFonts w:ascii="仿宋_GB2312" w:hAnsi="仿宋_GB2312" w:eastAsia="仿宋_GB2312" w:cs="仿宋_GB2312"/>
                <w:sz w:val="20"/>
                <w:szCs w:val="20"/>
              </w:rPr>
            </w:pPr>
          </w:p>
        </w:tc>
        <w:tc>
          <w:tcPr>
            <w:tcW w:w="814" w:type="dxa"/>
            <w:vAlign w:val="center"/>
          </w:tcPr>
          <w:p w14:paraId="20D628E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920B2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00" w:type="dxa"/>
            <w:vAlign w:val="center"/>
          </w:tcPr>
          <w:p w14:paraId="2F0EFA1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026EBBC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37521B7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00" w:type="dxa"/>
            <w:vAlign w:val="center"/>
          </w:tcPr>
          <w:p w14:paraId="0E1B79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15" w:type="dxa"/>
            <w:vAlign w:val="center"/>
          </w:tcPr>
          <w:p w14:paraId="18C108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4180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6E82D40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68E18A0">
            <w:pPr>
              <w:spacing w:line="240" w:lineRule="atLeast"/>
              <w:jc w:val="left"/>
              <w:rPr>
                <w:rFonts w:ascii="仿宋_GB2312" w:hAnsi="仿宋_GB2312" w:eastAsia="仿宋_GB2312" w:cs="仿宋_GB2312"/>
                <w:sz w:val="20"/>
                <w:szCs w:val="20"/>
              </w:rPr>
            </w:pPr>
          </w:p>
        </w:tc>
      </w:tr>
      <w:tr w14:paraId="55C1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C09E3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41</w:t>
            </w:r>
          </w:p>
        </w:tc>
        <w:tc>
          <w:tcPr>
            <w:tcW w:w="555" w:type="dxa"/>
            <w:vAlign w:val="center"/>
          </w:tcPr>
          <w:p w14:paraId="2AB29C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DDE3A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69A94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1A00AC8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对破坏或者擅自改变永久基本农田标志行为的处罚</w:t>
            </w:r>
          </w:p>
        </w:tc>
        <w:tc>
          <w:tcPr>
            <w:tcW w:w="600" w:type="dxa"/>
            <w:vAlign w:val="center"/>
          </w:tcPr>
          <w:p w14:paraId="5689116B">
            <w:pPr>
              <w:snapToGrid w:val="0"/>
              <w:spacing w:line="240" w:lineRule="atLeast"/>
              <w:jc w:val="center"/>
              <w:rPr>
                <w:rFonts w:ascii="仿宋_GB2312" w:hAnsi="仿宋_GB2312" w:eastAsia="仿宋_GB2312" w:cs="仿宋_GB2312"/>
                <w:sz w:val="20"/>
                <w:szCs w:val="20"/>
              </w:rPr>
            </w:pPr>
          </w:p>
        </w:tc>
        <w:tc>
          <w:tcPr>
            <w:tcW w:w="600" w:type="dxa"/>
            <w:vAlign w:val="center"/>
          </w:tcPr>
          <w:p w14:paraId="338AA0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5699C7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00" w:type="dxa"/>
            <w:vAlign w:val="center"/>
          </w:tcPr>
          <w:p w14:paraId="636BB2D5">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【行政法规】《基本农田保护条例》（</w:t>
            </w:r>
            <w:r>
              <w:rPr>
                <w:rFonts w:hint="eastAsia" w:eastAsia="仿宋_GB2312"/>
                <w:snapToGrid w:val="0"/>
                <w:color w:val="000000"/>
                <w:sz w:val="20"/>
                <w:szCs w:val="20"/>
              </w:rPr>
              <w:t>1998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257</w:t>
            </w:r>
            <w:r>
              <w:rPr>
                <w:rFonts w:hint="eastAsia" w:eastAsia="仿宋_GB2312" w:cs="宋体"/>
                <w:snapToGrid w:val="0"/>
                <w:color w:val="000000"/>
                <w:sz w:val="20"/>
                <w:szCs w:val="20"/>
              </w:rPr>
              <w:t>号发布，</w:t>
            </w:r>
            <w:r>
              <w:rPr>
                <w:rFonts w:hint="eastAsia" w:eastAsia="仿宋_GB2312"/>
                <w:snapToGrid w:val="0"/>
                <w:color w:val="000000"/>
                <w:sz w:val="20"/>
                <w:szCs w:val="20"/>
              </w:rPr>
              <w:t>2011</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588</w:t>
            </w:r>
            <w:r>
              <w:rPr>
                <w:rFonts w:hint="eastAsia" w:eastAsia="仿宋_GB2312" w:cs="宋体"/>
                <w:snapToGrid w:val="0"/>
                <w:color w:val="000000"/>
                <w:sz w:val="20"/>
                <w:szCs w:val="20"/>
              </w:rPr>
              <w:t>号修正）第三十二条：违反本条例规定，破坏或者擅自改变基本农田保护区标志的，由县级以上地方人民政府土地行政主管部门或者农业行政主管部门责令恢复原状，可以处</w:t>
            </w:r>
            <w:r>
              <w:rPr>
                <w:rFonts w:hint="eastAsia" w:eastAsia="仿宋_GB2312"/>
                <w:snapToGrid w:val="0"/>
                <w:color w:val="000000"/>
                <w:sz w:val="20"/>
                <w:szCs w:val="20"/>
              </w:rPr>
              <w:t>1000</w:t>
            </w:r>
            <w:r>
              <w:rPr>
                <w:rFonts w:hint="eastAsia" w:eastAsia="仿宋_GB2312" w:cs="宋体"/>
                <w:snapToGrid w:val="0"/>
                <w:color w:val="000000"/>
                <w:sz w:val="20"/>
                <w:szCs w:val="20"/>
              </w:rPr>
              <w:t>元以下罚款。</w:t>
            </w:r>
          </w:p>
        </w:tc>
        <w:tc>
          <w:tcPr>
            <w:tcW w:w="3615" w:type="dxa"/>
            <w:vAlign w:val="center"/>
          </w:tcPr>
          <w:p w14:paraId="215714D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189E71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7034BA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0861E6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2EB801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D5DCFC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EEADD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FA406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429B179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3E4E7B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FA61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B5B35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6AC009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CFD8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D435C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7EE8E9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C3AD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D9269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6FB64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24EA1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CABC1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7938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96706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93E8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3C33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5551F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F1186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4C8BBB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7EAF44F">
            <w:pPr>
              <w:snapToGrid w:val="0"/>
              <w:spacing w:line="240" w:lineRule="atLeast"/>
              <w:jc w:val="center"/>
              <w:rPr>
                <w:rFonts w:ascii="仿宋_GB2312" w:hAnsi="仿宋_GB2312" w:eastAsia="仿宋_GB2312" w:cs="仿宋_GB2312"/>
                <w:sz w:val="20"/>
                <w:szCs w:val="20"/>
              </w:rPr>
            </w:pPr>
          </w:p>
        </w:tc>
      </w:tr>
    </w:tbl>
    <w:p w14:paraId="795FA806"/>
    <w:p w14:paraId="5204D6D1"/>
    <w:p w14:paraId="62D9CFB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00"/>
        <w:gridCol w:w="615"/>
        <w:gridCol w:w="975"/>
        <w:gridCol w:w="4830"/>
        <w:gridCol w:w="3585"/>
        <w:gridCol w:w="9470"/>
        <w:gridCol w:w="330"/>
      </w:tblGrid>
      <w:tr w14:paraId="23AC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D24830F">
            <w:pPr>
              <w:snapToGrid w:val="0"/>
              <w:spacing w:line="240" w:lineRule="atLeast"/>
              <w:jc w:val="left"/>
              <w:rPr>
                <w:rFonts w:asciiTheme="majorEastAsia" w:hAnsiTheme="majorEastAsia" w:eastAsiaTheme="majorEastAsia" w:cstheme="majorEastAsia"/>
                <w:spacing w:val="-23"/>
                <w:sz w:val="20"/>
                <w:szCs w:val="20"/>
              </w:rPr>
            </w:pPr>
          </w:p>
          <w:p w14:paraId="574697FF">
            <w:pPr>
              <w:snapToGrid w:val="0"/>
              <w:spacing w:line="240" w:lineRule="atLeast"/>
              <w:jc w:val="left"/>
              <w:rPr>
                <w:rFonts w:asciiTheme="majorEastAsia" w:hAnsiTheme="majorEastAsia" w:eastAsiaTheme="majorEastAsia" w:cstheme="majorEastAsia"/>
                <w:spacing w:val="-23"/>
                <w:sz w:val="20"/>
                <w:szCs w:val="20"/>
              </w:rPr>
            </w:pPr>
          </w:p>
          <w:p w14:paraId="28FD6C4D">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F0BB7AB">
            <w:pPr>
              <w:spacing w:line="240" w:lineRule="atLeast"/>
              <w:rPr>
                <w:rFonts w:asciiTheme="majorEastAsia" w:hAnsiTheme="majorEastAsia" w:eastAsiaTheme="majorEastAsia" w:cstheme="majorEastAsia"/>
                <w:spacing w:val="-20"/>
                <w:sz w:val="20"/>
                <w:szCs w:val="20"/>
              </w:rPr>
            </w:pPr>
          </w:p>
          <w:p w14:paraId="1262A12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19" w:type="dxa"/>
            <w:gridSpan w:val="5"/>
            <w:vAlign w:val="center"/>
          </w:tcPr>
          <w:p w14:paraId="7C3E94E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55" w:type="dxa"/>
            <w:gridSpan w:val="2"/>
            <w:vAlign w:val="center"/>
          </w:tcPr>
          <w:p w14:paraId="355400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519917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DFC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5376E6D">
            <w:pPr>
              <w:spacing w:line="240" w:lineRule="atLeast"/>
              <w:jc w:val="left"/>
              <w:rPr>
                <w:rFonts w:ascii="仿宋_GB2312" w:hAnsi="仿宋_GB2312" w:eastAsia="仿宋_GB2312" w:cs="仿宋_GB2312"/>
                <w:sz w:val="20"/>
                <w:szCs w:val="20"/>
              </w:rPr>
            </w:pPr>
          </w:p>
        </w:tc>
        <w:tc>
          <w:tcPr>
            <w:tcW w:w="555" w:type="dxa"/>
            <w:vMerge w:val="continue"/>
          </w:tcPr>
          <w:p w14:paraId="0246A2EF">
            <w:pPr>
              <w:spacing w:line="240" w:lineRule="atLeast"/>
              <w:jc w:val="left"/>
              <w:rPr>
                <w:rFonts w:ascii="仿宋_GB2312" w:hAnsi="仿宋_GB2312" w:eastAsia="仿宋_GB2312" w:cs="仿宋_GB2312"/>
                <w:sz w:val="20"/>
                <w:szCs w:val="20"/>
              </w:rPr>
            </w:pPr>
          </w:p>
        </w:tc>
        <w:tc>
          <w:tcPr>
            <w:tcW w:w="799" w:type="dxa"/>
            <w:vAlign w:val="center"/>
          </w:tcPr>
          <w:p w14:paraId="10EE39B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E5B5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00" w:type="dxa"/>
            <w:vAlign w:val="center"/>
          </w:tcPr>
          <w:p w14:paraId="5F0A67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8F3F6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54335A5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30" w:type="dxa"/>
            <w:vAlign w:val="center"/>
          </w:tcPr>
          <w:p w14:paraId="611AC8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51EF1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0D99D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396FFF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6230295">
            <w:pPr>
              <w:spacing w:line="240" w:lineRule="atLeast"/>
              <w:jc w:val="left"/>
              <w:rPr>
                <w:rFonts w:ascii="仿宋_GB2312" w:hAnsi="仿宋_GB2312" w:eastAsia="仿宋_GB2312" w:cs="仿宋_GB2312"/>
                <w:sz w:val="20"/>
                <w:szCs w:val="20"/>
              </w:rPr>
            </w:pPr>
          </w:p>
        </w:tc>
      </w:tr>
      <w:tr w14:paraId="4DD7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B3019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42</w:t>
            </w:r>
          </w:p>
        </w:tc>
        <w:tc>
          <w:tcPr>
            <w:tcW w:w="555" w:type="dxa"/>
            <w:vAlign w:val="center"/>
          </w:tcPr>
          <w:p w14:paraId="7A717B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C9124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03D94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32EB8DE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对接受土地调查的单位和个人无正当理由不履行现场指界义务行为的处罚</w:t>
            </w:r>
          </w:p>
        </w:tc>
        <w:tc>
          <w:tcPr>
            <w:tcW w:w="600" w:type="dxa"/>
            <w:vAlign w:val="center"/>
          </w:tcPr>
          <w:p w14:paraId="45E06676">
            <w:pPr>
              <w:snapToGrid w:val="0"/>
              <w:spacing w:line="240" w:lineRule="atLeast"/>
              <w:jc w:val="center"/>
              <w:rPr>
                <w:rFonts w:ascii="仿宋_GB2312" w:hAnsi="仿宋_GB2312" w:eastAsia="仿宋_GB2312" w:cs="仿宋_GB2312"/>
                <w:sz w:val="20"/>
                <w:szCs w:val="20"/>
              </w:rPr>
            </w:pPr>
          </w:p>
        </w:tc>
        <w:tc>
          <w:tcPr>
            <w:tcW w:w="615" w:type="dxa"/>
            <w:vAlign w:val="center"/>
          </w:tcPr>
          <w:p w14:paraId="4754E2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682933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30" w:type="dxa"/>
            <w:vAlign w:val="center"/>
          </w:tcPr>
          <w:p w14:paraId="0781A7B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调查条例》（2008年国务院令第518号公布，2018年国务院令第698号修正）第十七条：接受调查的有关单位和个人应当如实回答询问，履行现场指界义务，按照要求提供相关资料，不得转移、隐匿、篡改、毁弃原始记录和土地登记簿等相关资料。</w:t>
            </w:r>
          </w:p>
          <w:p w14:paraId="526EFE6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14:paraId="4001C73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（一）拒绝或者阻挠土地调查人员依法进行调查的；</w:t>
            </w:r>
          </w:p>
          <w:p w14:paraId="26A39C1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（二）提供虚假调查资料的；</w:t>
            </w:r>
          </w:p>
          <w:p w14:paraId="647C31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（三）拒绝提供调查资料的；</w:t>
            </w:r>
          </w:p>
          <w:p w14:paraId="178B786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（四）转移、隐匿、篡改、毁弃原始记录、土地登记簿等相关资料的。</w:t>
            </w:r>
          </w:p>
          <w:p w14:paraId="77B6B9F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土地调查条例实施办法》（2009年国土资源部第45号令公布，2019年自然资源部令第5号修正）第二十九条：接受土地调查的单位和个人违反条例第十七条的规定，无正当理由不履行现场指界义务的，由县级以上人民政府自然资源主管部门责令限期改正，逾期不改正的，依照条例第三十二条的规定进行处罚。</w:t>
            </w:r>
          </w:p>
          <w:p w14:paraId="7C41179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一条：承担土地调查任务的单位不符合条例第十三条和本办法第十条规定的相关条件，弄虚作假，骗取土地调查任务的，县级以上自然资源主管部门应当终止该单位承担的土地调查任务，并不再将该单位列入土地调查单位名录。</w:t>
            </w:r>
          </w:p>
          <w:p w14:paraId="6789E86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第三十二条：土地调查人员违反条例第三十一条规定的，由自然资源部注销土地调查员工作证，不得再次参加土地调查人员考核。</w:t>
            </w:r>
          </w:p>
        </w:tc>
        <w:tc>
          <w:tcPr>
            <w:tcW w:w="3585" w:type="dxa"/>
            <w:vAlign w:val="center"/>
          </w:tcPr>
          <w:p w14:paraId="585BC78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FD4854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346182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4FA4DD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A9705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B40539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BEC55D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B4F9D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1677222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74EBDF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AE350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1AD4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340CB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30018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62711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DF81D4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EA77E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99962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9339F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01CA7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9C78A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4F20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ED78E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4353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18A9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9F780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A8ECD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CC474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033D94F">
            <w:pPr>
              <w:snapToGrid w:val="0"/>
              <w:spacing w:line="240" w:lineRule="atLeast"/>
              <w:jc w:val="center"/>
              <w:rPr>
                <w:rFonts w:ascii="仿宋_GB2312" w:hAnsi="仿宋_GB2312" w:eastAsia="仿宋_GB2312" w:cs="仿宋_GB2312"/>
                <w:sz w:val="20"/>
                <w:szCs w:val="20"/>
              </w:rPr>
            </w:pPr>
          </w:p>
        </w:tc>
      </w:tr>
    </w:tbl>
    <w:p w14:paraId="73CA6E55"/>
    <w:p w14:paraId="776DD0DC"/>
    <w:p w14:paraId="228012B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15"/>
        <w:gridCol w:w="600"/>
        <w:gridCol w:w="960"/>
        <w:gridCol w:w="4770"/>
        <w:gridCol w:w="3615"/>
        <w:gridCol w:w="9500"/>
        <w:gridCol w:w="330"/>
      </w:tblGrid>
      <w:tr w14:paraId="682B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27CE6E9">
            <w:pPr>
              <w:snapToGrid w:val="0"/>
              <w:spacing w:line="240" w:lineRule="atLeast"/>
              <w:jc w:val="left"/>
              <w:rPr>
                <w:rFonts w:asciiTheme="majorEastAsia" w:hAnsiTheme="majorEastAsia" w:eastAsiaTheme="majorEastAsia" w:cstheme="majorEastAsia"/>
                <w:spacing w:val="-23"/>
                <w:sz w:val="20"/>
                <w:szCs w:val="20"/>
              </w:rPr>
            </w:pPr>
          </w:p>
          <w:p w14:paraId="693FDAF0">
            <w:pPr>
              <w:snapToGrid w:val="0"/>
              <w:spacing w:line="240" w:lineRule="atLeast"/>
              <w:jc w:val="left"/>
              <w:rPr>
                <w:rFonts w:asciiTheme="majorEastAsia" w:hAnsiTheme="majorEastAsia" w:eastAsiaTheme="majorEastAsia" w:cstheme="majorEastAsia"/>
                <w:spacing w:val="-23"/>
                <w:sz w:val="20"/>
                <w:szCs w:val="20"/>
              </w:rPr>
            </w:pPr>
          </w:p>
          <w:p w14:paraId="4DDD164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EE306D0">
            <w:pPr>
              <w:spacing w:line="240" w:lineRule="atLeast"/>
              <w:rPr>
                <w:rFonts w:asciiTheme="majorEastAsia" w:hAnsiTheme="majorEastAsia" w:eastAsiaTheme="majorEastAsia" w:cstheme="majorEastAsia"/>
                <w:spacing w:val="-20"/>
                <w:sz w:val="20"/>
                <w:szCs w:val="20"/>
              </w:rPr>
            </w:pPr>
          </w:p>
          <w:p w14:paraId="0CE5D88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59" w:type="dxa"/>
            <w:gridSpan w:val="5"/>
            <w:vAlign w:val="center"/>
          </w:tcPr>
          <w:p w14:paraId="4D652E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15" w:type="dxa"/>
            <w:gridSpan w:val="2"/>
            <w:vAlign w:val="center"/>
          </w:tcPr>
          <w:p w14:paraId="7D0A0ED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FF6C6C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B1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2D9844C">
            <w:pPr>
              <w:spacing w:line="240" w:lineRule="atLeast"/>
              <w:jc w:val="left"/>
              <w:rPr>
                <w:rFonts w:ascii="仿宋_GB2312" w:hAnsi="仿宋_GB2312" w:eastAsia="仿宋_GB2312" w:cs="仿宋_GB2312"/>
                <w:sz w:val="20"/>
                <w:szCs w:val="20"/>
              </w:rPr>
            </w:pPr>
          </w:p>
        </w:tc>
        <w:tc>
          <w:tcPr>
            <w:tcW w:w="555" w:type="dxa"/>
            <w:vMerge w:val="continue"/>
          </w:tcPr>
          <w:p w14:paraId="182AB470">
            <w:pPr>
              <w:spacing w:line="240" w:lineRule="atLeast"/>
              <w:jc w:val="left"/>
              <w:rPr>
                <w:rFonts w:ascii="仿宋_GB2312" w:hAnsi="仿宋_GB2312" w:eastAsia="仿宋_GB2312" w:cs="仿宋_GB2312"/>
                <w:sz w:val="20"/>
                <w:szCs w:val="20"/>
              </w:rPr>
            </w:pPr>
          </w:p>
        </w:tc>
        <w:tc>
          <w:tcPr>
            <w:tcW w:w="814" w:type="dxa"/>
            <w:vAlign w:val="center"/>
          </w:tcPr>
          <w:p w14:paraId="14EA1B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2598E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3B2C0DD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565A8C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2CF58A5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70" w:type="dxa"/>
            <w:vAlign w:val="center"/>
          </w:tcPr>
          <w:p w14:paraId="10F218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15" w:type="dxa"/>
            <w:vAlign w:val="center"/>
          </w:tcPr>
          <w:p w14:paraId="45DF1B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7C415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40A8F4C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1D58644">
            <w:pPr>
              <w:spacing w:line="240" w:lineRule="atLeast"/>
              <w:jc w:val="left"/>
              <w:rPr>
                <w:rFonts w:ascii="仿宋_GB2312" w:hAnsi="仿宋_GB2312" w:eastAsia="仿宋_GB2312" w:cs="仿宋_GB2312"/>
                <w:sz w:val="20"/>
                <w:szCs w:val="20"/>
              </w:rPr>
            </w:pPr>
          </w:p>
        </w:tc>
      </w:tr>
      <w:tr w14:paraId="01C9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BF36E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43</w:t>
            </w:r>
          </w:p>
        </w:tc>
        <w:tc>
          <w:tcPr>
            <w:tcW w:w="555" w:type="dxa"/>
            <w:vAlign w:val="center"/>
          </w:tcPr>
          <w:p w14:paraId="71C050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1FF0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576C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6C911AA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对接受调查的单位和个人拒绝或者阻挠土地调查人员依法进行调查行为的处罚</w:t>
            </w:r>
          </w:p>
        </w:tc>
        <w:tc>
          <w:tcPr>
            <w:tcW w:w="615" w:type="dxa"/>
            <w:vAlign w:val="center"/>
          </w:tcPr>
          <w:p w14:paraId="02D77D67">
            <w:pPr>
              <w:snapToGrid w:val="0"/>
              <w:spacing w:line="240" w:lineRule="atLeast"/>
              <w:jc w:val="center"/>
              <w:rPr>
                <w:rFonts w:ascii="仿宋_GB2312" w:hAnsi="仿宋_GB2312" w:eastAsia="仿宋_GB2312" w:cs="仿宋_GB2312"/>
                <w:sz w:val="20"/>
                <w:szCs w:val="20"/>
              </w:rPr>
            </w:pPr>
          </w:p>
        </w:tc>
        <w:tc>
          <w:tcPr>
            <w:tcW w:w="600" w:type="dxa"/>
            <w:vAlign w:val="center"/>
          </w:tcPr>
          <w:p w14:paraId="2F93B4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5F01D0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70" w:type="dxa"/>
            <w:vAlign w:val="center"/>
          </w:tcPr>
          <w:p w14:paraId="7B8A2679">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【行政法规】《土地调查条例》（</w:t>
            </w:r>
            <w:r>
              <w:rPr>
                <w:rFonts w:hint="eastAsia" w:eastAsia="仿宋_GB2312"/>
                <w:snapToGrid w:val="0"/>
                <w:color w:val="000000"/>
                <w:sz w:val="20"/>
                <w:szCs w:val="20"/>
              </w:rPr>
              <w:t>2008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518</w:t>
            </w:r>
            <w:r>
              <w:rPr>
                <w:rFonts w:hint="eastAsia" w:eastAsia="仿宋_GB2312" w:cs="宋体"/>
                <w:snapToGrid w:val="0"/>
                <w:color w:val="000000"/>
                <w:sz w:val="20"/>
                <w:szCs w:val="20"/>
              </w:rPr>
              <w:t>号公布，</w:t>
            </w:r>
            <w:r>
              <w:rPr>
                <w:rFonts w:hint="eastAsia" w:eastAsia="仿宋_GB2312"/>
                <w:snapToGrid w:val="0"/>
                <w:color w:val="000000"/>
                <w:sz w:val="20"/>
                <w:szCs w:val="20"/>
              </w:rPr>
              <w:t>2018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698</w:t>
            </w:r>
            <w:r>
              <w:rPr>
                <w:rFonts w:hint="eastAsia" w:eastAsia="仿宋_GB2312" w:cs="宋体"/>
                <w:snapToGrid w:val="0"/>
                <w:color w:val="000000"/>
                <w:sz w:val="20"/>
                <w:szCs w:val="20"/>
              </w:rPr>
              <w:t>号修正）第三十二条：接受调查的单位和个人有下列行为之一的，由县级以上人民政府国土资源主管部门责令限期改正，可以处</w:t>
            </w:r>
            <w:r>
              <w:rPr>
                <w:rFonts w:hint="eastAsia" w:eastAsia="仿宋_GB2312"/>
                <w:snapToGrid w:val="0"/>
                <w:color w:val="000000"/>
                <w:sz w:val="20"/>
                <w:szCs w:val="20"/>
              </w:rPr>
              <w:t>5</w:t>
            </w:r>
            <w:r>
              <w:rPr>
                <w:rFonts w:hint="eastAsia" w:eastAsia="仿宋_GB2312" w:cs="宋体"/>
                <w:snapToGrid w:val="0"/>
                <w:color w:val="000000"/>
                <w:sz w:val="20"/>
                <w:szCs w:val="20"/>
              </w:rPr>
              <w:t>万元以下的罚款；构成违反治安管理行为的，由公安机关依法给予治安管理处罚；构成犯罪的，依法追究刑事责任：</w:t>
            </w:r>
          </w:p>
          <w:p w14:paraId="693229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（一）拒绝或者阻挠土地调查人员依法进行调查的。</w:t>
            </w:r>
          </w:p>
        </w:tc>
        <w:tc>
          <w:tcPr>
            <w:tcW w:w="3615" w:type="dxa"/>
            <w:vAlign w:val="center"/>
          </w:tcPr>
          <w:p w14:paraId="25908E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6C578E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12BA03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C3AD04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E729A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A42A8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04D880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FA59D9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5C77364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9397F8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EEF28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40EF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E6F06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3D832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13725C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1FC36A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01845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BA049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461D2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8018D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40937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5BED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85F36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44EF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26B7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4F60D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BB042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752AB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AFFF229">
            <w:pPr>
              <w:snapToGrid w:val="0"/>
              <w:spacing w:line="240" w:lineRule="atLeast"/>
              <w:jc w:val="center"/>
              <w:rPr>
                <w:rFonts w:ascii="仿宋_GB2312" w:hAnsi="仿宋_GB2312" w:eastAsia="仿宋_GB2312" w:cs="仿宋_GB2312"/>
                <w:sz w:val="20"/>
                <w:szCs w:val="20"/>
              </w:rPr>
            </w:pPr>
          </w:p>
        </w:tc>
      </w:tr>
    </w:tbl>
    <w:p w14:paraId="71BD841E"/>
    <w:p w14:paraId="6B45190C"/>
    <w:p w14:paraId="5CDDAEF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15"/>
        <w:gridCol w:w="585"/>
        <w:gridCol w:w="975"/>
        <w:gridCol w:w="4755"/>
        <w:gridCol w:w="3645"/>
        <w:gridCol w:w="9485"/>
        <w:gridCol w:w="330"/>
      </w:tblGrid>
      <w:tr w14:paraId="358E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1A2991C">
            <w:pPr>
              <w:snapToGrid w:val="0"/>
              <w:spacing w:line="240" w:lineRule="atLeast"/>
              <w:jc w:val="left"/>
              <w:rPr>
                <w:rFonts w:asciiTheme="majorEastAsia" w:hAnsiTheme="majorEastAsia" w:eastAsiaTheme="majorEastAsia" w:cstheme="majorEastAsia"/>
                <w:spacing w:val="-23"/>
                <w:sz w:val="20"/>
                <w:szCs w:val="20"/>
              </w:rPr>
            </w:pPr>
          </w:p>
          <w:p w14:paraId="5AD0A4EF">
            <w:pPr>
              <w:snapToGrid w:val="0"/>
              <w:spacing w:line="240" w:lineRule="atLeast"/>
              <w:jc w:val="left"/>
              <w:rPr>
                <w:rFonts w:asciiTheme="majorEastAsia" w:hAnsiTheme="majorEastAsia" w:eastAsiaTheme="majorEastAsia" w:cstheme="majorEastAsia"/>
                <w:spacing w:val="-23"/>
                <w:sz w:val="20"/>
                <w:szCs w:val="20"/>
              </w:rPr>
            </w:pPr>
          </w:p>
          <w:p w14:paraId="77E2A65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93E2CAD">
            <w:pPr>
              <w:spacing w:line="240" w:lineRule="atLeast"/>
              <w:rPr>
                <w:rFonts w:asciiTheme="majorEastAsia" w:hAnsiTheme="majorEastAsia" w:eastAsiaTheme="majorEastAsia" w:cstheme="majorEastAsia"/>
                <w:spacing w:val="-20"/>
                <w:sz w:val="20"/>
                <w:szCs w:val="20"/>
              </w:rPr>
            </w:pPr>
          </w:p>
          <w:p w14:paraId="2025342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44" w:type="dxa"/>
            <w:gridSpan w:val="5"/>
            <w:vAlign w:val="center"/>
          </w:tcPr>
          <w:p w14:paraId="78B42A3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30" w:type="dxa"/>
            <w:gridSpan w:val="2"/>
            <w:vAlign w:val="center"/>
          </w:tcPr>
          <w:p w14:paraId="66EAD5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F1C148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6E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B8DDEFD">
            <w:pPr>
              <w:spacing w:line="240" w:lineRule="atLeast"/>
              <w:jc w:val="left"/>
              <w:rPr>
                <w:rFonts w:ascii="仿宋_GB2312" w:hAnsi="仿宋_GB2312" w:eastAsia="仿宋_GB2312" w:cs="仿宋_GB2312"/>
                <w:sz w:val="20"/>
                <w:szCs w:val="20"/>
              </w:rPr>
            </w:pPr>
          </w:p>
        </w:tc>
        <w:tc>
          <w:tcPr>
            <w:tcW w:w="555" w:type="dxa"/>
            <w:vMerge w:val="continue"/>
          </w:tcPr>
          <w:p w14:paraId="78BCE534">
            <w:pPr>
              <w:spacing w:line="240" w:lineRule="atLeast"/>
              <w:jc w:val="left"/>
              <w:rPr>
                <w:rFonts w:ascii="仿宋_GB2312" w:hAnsi="仿宋_GB2312" w:eastAsia="仿宋_GB2312" w:cs="仿宋_GB2312"/>
                <w:sz w:val="20"/>
                <w:szCs w:val="20"/>
              </w:rPr>
            </w:pPr>
          </w:p>
        </w:tc>
        <w:tc>
          <w:tcPr>
            <w:tcW w:w="814" w:type="dxa"/>
            <w:vAlign w:val="center"/>
          </w:tcPr>
          <w:p w14:paraId="050C45C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8FFED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6BCC74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E53489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5D8083D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55" w:type="dxa"/>
            <w:vAlign w:val="center"/>
          </w:tcPr>
          <w:p w14:paraId="317A6C4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45" w:type="dxa"/>
            <w:vAlign w:val="center"/>
          </w:tcPr>
          <w:p w14:paraId="4DD2CA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BABD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85" w:type="dxa"/>
            <w:vAlign w:val="center"/>
          </w:tcPr>
          <w:p w14:paraId="1ACFD53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E05F615">
            <w:pPr>
              <w:spacing w:line="240" w:lineRule="atLeast"/>
              <w:jc w:val="left"/>
              <w:rPr>
                <w:rFonts w:ascii="仿宋_GB2312" w:hAnsi="仿宋_GB2312" w:eastAsia="仿宋_GB2312" w:cs="仿宋_GB2312"/>
                <w:sz w:val="20"/>
                <w:szCs w:val="20"/>
              </w:rPr>
            </w:pPr>
          </w:p>
        </w:tc>
      </w:tr>
      <w:tr w14:paraId="49AE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460C1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44</w:t>
            </w:r>
          </w:p>
        </w:tc>
        <w:tc>
          <w:tcPr>
            <w:tcW w:w="555" w:type="dxa"/>
            <w:vAlign w:val="center"/>
          </w:tcPr>
          <w:p w14:paraId="4ABAEA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804C6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05EC5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10A077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对接受调查的单位和个人提供虚假调查资料行为的处罚</w:t>
            </w:r>
          </w:p>
        </w:tc>
        <w:tc>
          <w:tcPr>
            <w:tcW w:w="615" w:type="dxa"/>
            <w:vAlign w:val="center"/>
          </w:tcPr>
          <w:p w14:paraId="69672324">
            <w:pPr>
              <w:snapToGrid w:val="0"/>
              <w:spacing w:line="240" w:lineRule="atLeast"/>
              <w:jc w:val="center"/>
              <w:rPr>
                <w:rFonts w:ascii="仿宋_GB2312" w:hAnsi="仿宋_GB2312" w:eastAsia="仿宋_GB2312" w:cs="仿宋_GB2312"/>
                <w:sz w:val="20"/>
                <w:szCs w:val="20"/>
              </w:rPr>
            </w:pPr>
          </w:p>
        </w:tc>
        <w:tc>
          <w:tcPr>
            <w:tcW w:w="585" w:type="dxa"/>
            <w:vAlign w:val="center"/>
          </w:tcPr>
          <w:p w14:paraId="1E699A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00B0B5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55" w:type="dxa"/>
            <w:vAlign w:val="center"/>
          </w:tcPr>
          <w:p w14:paraId="6AB881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【行政法规】《土地调查条例》（</w:t>
            </w:r>
            <w:r>
              <w:rPr>
                <w:rFonts w:hint="eastAsia" w:eastAsia="仿宋_GB2312"/>
                <w:snapToGrid w:val="0"/>
                <w:color w:val="000000"/>
                <w:sz w:val="20"/>
                <w:szCs w:val="20"/>
              </w:rPr>
              <w:t>2008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518</w:t>
            </w:r>
            <w:r>
              <w:rPr>
                <w:rFonts w:hint="eastAsia" w:eastAsia="仿宋_GB2312" w:cs="宋体"/>
                <w:snapToGrid w:val="0"/>
                <w:color w:val="000000"/>
                <w:sz w:val="20"/>
                <w:szCs w:val="20"/>
              </w:rPr>
              <w:t>号公布，</w:t>
            </w:r>
            <w:r>
              <w:rPr>
                <w:rFonts w:hint="eastAsia" w:eastAsia="仿宋_GB2312"/>
                <w:snapToGrid w:val="0"/>
                <w:color w:val="000000"/>
                <w:sz w:val="20"/>
                <w:szCs w:val="20"/>
              </w:rPr>
              <w:t>2018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698</w:t>
            </w:r>
            <w:r>
              <w:rPr>
                <w:rFonts w:hint="eastAsia" w:eastAsia="仿宋_GB2312" w:cs="宋体"/>
                <w:snapToGrid w:val="0"/>
                <w:color w:val="000000"/>
                <w:sz w:val="20"/>
                <w:szCs w:val="20"/>
              </w:rPr>
              <w:t>号修正）第三十二条：接受调查的单位和个人有下列行为之一的，由县级以上人民政府国土资源主管部门责令限期改正，可以处</w:t>
            </w:r>
            <w:r>
              <w:rPr>
                <w:rFonts w:hint="eastAsia" w:eastAsia="仿宋_GB2312"/>
                <w:snapToGrid w:val="0"/>
                <w:color w:val="000000"/>
                <w:sz w:val="20"/>
                <w:szCs w:val="20"/>
              </w:rPr>
              <w:t>5</w:t>
            </w:r>
            <w:r>
              <w:rPr>
                <w:rFonts w:hint="eastAsia" w:eastAsia="仿宋_GB2312" w:cs="宋体"/>
                <w:snapToGrid w:val="0"/>
                <w:color w:val="000000"/>
                <w:sz w:val="20"/>
                <w:szCs w:val="20"/>
              </w:rPr>
              <w:t>万元以下的罚款；构成违反治安管理行为的，由公安机关依法给予治安管理处罚；构成犯罪的，依法追究刑事责任：</w:t>
            </w:r>
          </w:p>
          <w:p w14:paraId="235FBF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（二）提供虚假调查资料的；</w:t>
            </w:r>
          </w:p>
        </w:tc>
        <w:tc>
          <w:tcPr>
            <w:tcW w:w="3645" w:type="dxa"/>
            <w:vAlign w:val="center"/>
          </w:tcPr>
          <w:p w14:paraId="333E3F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A8547B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162B88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B93EEB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69CBE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B552E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4BB47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BF3BE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85" w:type="dxa"/>
            <w:vAlign w:val="center"/>
          </w:tcPr>
          <w:p w14:paraId="12758FB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CC059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820D4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457612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E5CDB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1E1DB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AD366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EAC26A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E56CC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BAE05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D419C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303D6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25297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FD3B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E0258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FBC90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8173F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1BAD4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58A39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DFF6E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4D8F600">
            <w:pPr>
              <w:snapToGrid w:val="0"/>
              <w:spacing w:line="240" w:lineRule="atLeast"/>
              <w:jc w:val="center"/>
              <w:rPr>
                <w:rFonts w:ascii="仿宋_GB2312" w:hAnsi="仿宋_GB2312" w:eastAsia="仿宋_GB2312" w:cs="仿宋_GB2312"/>
                <w:sz w:val="20"/>
                <w:szCs w:val="20"/>
              </w:rPr>
            </w:pPr>
          </w:p>
        </w:tc>
      </w:tr>
    </w:tbl>
    <w:p w14:paraId="773DDF6A"/>
    <w:p w14:paraId="6C3D6D83"/>
    <w:p w14:paraId="39EC837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45"/>
        <w:gridCol w:w="615"/>
        <w:gridCol w:w="990"/>
        <w:gridCol w:w="4695"/>
        <w:gridCol w:w="3630"/>
        <w:gridCol w:w="9500"/>
        <w:gridCol w:w="330"/>
      </w:tblGrid>
      <w:tr w14:paraId="1803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B72AB7">
            <w:pPr>
              <w:snapToGrid w:val="0"/>
              <w:spacing w:line="240" w:lineRule="atLeast"/>
              <w:jc w:val="left"/>
              <w:rPr>
                <w:rFonts w:asciiTheme="majorEastAsia" w:hAnsiTheme="majorEastAsia" w:eastAsiaTheme="majorEastAsia" w:cstheme="majorEastAsia"/>
                <w:spacing w:val="-23"/>
                <w:sz w:val="20"/>
                <w:szCs w:val="20"/>
              </w:rPr>
            </w:pPr>
          </w:p>
          <w:p w14:paraId="68E7C3B4">
            <w:pPr>
              <w:snapToGrid w:val="0"/>
              <w:spacing w:line="240" w:lineRule="atLeast"/>
              <w:jc w:val="left"/>
              <w:rPr>
                <w:rFonts w:asciiTheme="majorEastAsia" w:hAnsiTheme="majorEastAsia" w:eastAsiaTheme="majorEastAsia" w:cstheme="majorEastAsia"/>
                <w:spacing w:val="-23"/>
                <w:sz w:val="20"/>
                <w:szCs w:val="20"/>
              </w:rPr>
            </w:pPr>
          </w:p>
          <w:p w14:paraId="7F7BD7C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6B8519A">
            <w:pPr>
              <w:spacing w:line="240" w:lineRule="atLeast"/>
              <w:rPr>
                <w:rFonts w:asciiTheme="majorEastAsia" w:hAnsiTheme="majorEastAsia" w:eastAsiaTheme="majorEastAsia" w:cstheme="majorEastAsia"/>
                <w:spacing w:val="-20"/>
                <w:sz w:val="20"/>
                <w:szCs w:val="20"/>
              </w:rPr>
            </w:pPr>
          </w:p>
          <w:p w14:paraId="5B9C30E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44" w:type="dxa"/>
            <w:gridSpan w:val="5"/>
            <w:vAlign w:val="center"/>
          </w:tcPr>
          <w:p w14:paraId="2426B64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30" w:type="dxa"/>
            <w:gridSpan w:val="2"/>
            <w:vAlign w:val="center"/>
          </w:tcPr>
          <w:p w14:paraId="4F05BB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5551DB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FB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B9C0CE9">
            <w:pPr>
              <w:spacing w:line="240" w:lineRule="atLeast"/>
              <w:jc w:val="left"/>
              <w:rPr>
                <w:rFonts w:ascii="仿宋_GB2312" w:hAnsi="仿宋_GB2312" w:eastAsia="仿宋_GB2312" w:cs="仿宋_GB2312"/>
                <w:sz w:val="20"/>
                <w:szCs w:val="20"/>
              </w:rPr>
            </w:pPr>
          </w:p>
        </w:tc>
        <w:tc>
          <w:tcPr>
            <w:tcW w:w="555" w:type="dxa"/>
            <w:vMerge w:val="continue"/>
          </w:tcPr>
          <w:p w14:paraId="02A19F2E">
            <w:pPr>
              <w:spacing w:line="240" w:lineRule="atLeast"/>
              <w:jc w:val="left"/>
              <w:rPr>
                <w:rFonts w:ascii="仿宋_GB2312" w:hAnsi="仿宋_GB2312" w:eastAsia="仿宋_GB2312" w:cs="仿宋_GB2312"/>
                <w:sz w:val="20"/>
                <w:szCs w:val="20"/>
              </w:rPr>
            </w:pPr>
          </w:p>
        </w:tc>
        <w:tc>
          <w:tcPr>
            <w:tcW w:w="799" w:type="dxa"/>
            <w:vAlign w:val="center"/>
          </w:tcPr>
          <w:p w14:paraId="2B5C38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937A6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629811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AB4777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90" w:type="dxa"/>
            <w:vAlign w:val="center"/>
          </w:tcPr>
          <w:p w14:paraId="3B68E3C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95" w:type="dxa"/>
            <w:vAlign w:val="center"/>
          </w:tcPr>
          <w:p w14:paraId="7597117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30" w:type="dxa"/>
            <w:vAlign w:val="center"/>
          </w:tcPr>
          <w:p w14:paraId="7A782E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447F4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1DAF50C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11612C5">
            <w:pPr>
              <w:spacing w:line="240" w:lineRule="atLeast"/>
              <w:jc w:val="left"/>
              <w:rPr>
                <w:rFonts w:ascii="仿宋_GB2312" w:hAnsi="仿宋_GB2312" w:eastAsia="仿宋_GB2312" w:cs="仿宋_GB2312"/>
                <w:sz w:val="20"/>
                <w:szCs w:val="20"/>
              </w:rPr>
            </w:pPr>
          </w:p>
        </w:tc>
      </w:tr>
      <w:tr w14:paraId="20A2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28AF3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45</w:t>
            </w:r>
          </w:p>
        </w:tc>
        <w:tc>
          <w:tcPr>
            <w:tcW w:w="555" w:type="dxa"/>
            <w:vAlign w:val="center"/>
          </w:tcPr>
          <w:p w14:paraId="4766F2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FF5D3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F4BE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2D29F62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对接受调查的单位和个人转移、隐匿、篡改、毁弃原始记录、土地登记簿等相关资料行为的处罚</w:t>
            </w:r>
          </w:p>
        </w:tc>
        <w:tc>
          <w:tcPr>
            <w:tcW w:w="645" w:type="dxa"/>
            <w:vAlign w:val="center"/>
          </w:tcPr>
          <w:p w14:paraId="43C4F181">
            <w:pPr>
              <w:snapToGrid w:val="0"/>
              <w:spacing w:line="240" w:lineRule="atLeast"/>
              <w:jc w:val="center"/>
              <w:rPr>
                <w:rFonts w:ascii="仿宋_GB2312" w:hAnsi="仿宋_GB2312" w:eastAsia="仿宋_GB2312" w:cs="仿宋_GB2312"/>
                <w:sz w:val="20"/>
                <w:szCs w:val="20"/>
              </w:rPr>
            </w:pPr>
          </w:p>
        </w:tc>
        <w:tc>
          <w:tcPr>
            <w:tcW w:w="615" w:type="dxa"/>
            <w:vAlign w:val="center"/>
          </w:tcPr>
          <w:p w14:paraId="1619F5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90" w:type="dxa"/>
            <w:vAlign w:val="center"/>
          </w:tcPr>
          <w:p w14:paraId="2A90C5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95" w:type="dxa"/>
            <w:vAlign w:val="center"/>
          </w:tcPr>
          <w:p w14:paraId="394511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14:paraId="33FF14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（四）转移、隐匿、篡改、毁弃原始记录、土地登记簿等相关资料的。</w:t>
            </w:r>
          </w:p>
        </w:tc>
        <w:tc>
          <w:tcPr>
            <w:tcW w:w="3630" w:type="dxa"/>
            <w:vAlign w:val="center"/>
          </w:tcPr>
          <w:p w14:paraId="4C9F4C2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9E58C7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23D1B5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4957BC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495F63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74EE7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DC8A0D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C62D23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6C4C725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25BF7A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AE2FC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9C40A5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14C7B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A55A2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74452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2713C4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754EA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BF149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AF63B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28F4B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85B0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E790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98D89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7829F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CFCB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08250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ECD0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2134D1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1B1508C">
            <w:pPr>
              <w:snapToGrid w:val="0"/>
              <w:spacing w:line="240" w:lineRule="atLeast"/>
              <w:jc w:val="center"/>
              <w:rPr>
                <w:rFonts w:ascii="仿宋_GB2312" w:hAnsi="仿宋_GB2312" w:eastAsia="仿宋_GB2312" w:cs="仿宋_GB2312"/>
                <w:sz w:val="20"/>
                <w:szCs w:val="20"/>
              </w:rPr>
            </w:pPr>
          </w:p>
        </w:tc>
      </w:tr>
    </w:tbl>
    <w:p w14:paraId="12157129"/>
    <w:p w14:paraId="084B9346"/>
    <w:p w14:paraId="6085250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15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BD1DB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E2BB565">
            <w:pPr>
              <w:spacing w:line="240" w:lineRule="atLeast"/>
              <w:rPr>
                <w:rFonts w:asciiTheme="majorEastAsia" w:hAnsiTheme="majorEastAsia" w:eastAsiaTheme="majorEastAsia" w:cstheme="majorEastAsia"/>
                <w:spacing w:val="-20"/>
                <w:sz w:val="20"/>
                <w:szCs w:val="20"/>
              </w:rPr>
            </w:pPr>
          </w:p>
          <w:p w14:paraId="7F0B412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29F331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8FC34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E128FE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2A4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5AB70F7">
            <w:pPr>
              <w:spacing w:line="240" w:lineRule="atLeast"/>
              <w:jc w:val="left"/>
              <w:rPr>
                <w:rFonts w:ascii="仿宋_GB2312" w:hAnsi="仿宋_GB2312" w:eastAsia="仿宋_GB2312" w:cs="仿宋_GB2312"/>
                <w:sz w:val="20"/>
                <w:szCs w:val="20"/>
              </w:rPr>
            </w:pPr>
          </w:p>
        </w:tc>
        <w:tc>
          <w:tcPr>
            <w:tcW w:w="555" w:type="dxa"/>
            <w:vMerge w:val="continue"/>
          </w:tcPr>
          <w:p w14:paraId="25626EAF">
            <w:pPr>
              <w:spacing w:line="240" w:lineRule="atLeast"/>
              <w:jc w:val="left"/>
              <w:rPr>
                <w:rFonts w:ascii="仿宋_GB2312" w:hAnsi="仿宋_GB2312" w:eastAsia="仿宋_GB2312" w:cs="仿宋_GB2312"/>
                <w:sz w:val="20"/>
                <w:szCs w:val="20"/>
              </w:rPr>
            </w:pPr>
          </w:p>
        </w:tc>
        <w:tc>
          <w:tcPr>
            <w:tcW w:w="784" w:type="dxa"/>
            <w:vAlign w:val="center"/>
          </w:tcPr>
          <w:p w14:paraId="369CA79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76ED3F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16AF2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8B636D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78586C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177B8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A0943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EED22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EEC30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07D8BB">
            <w:pPr>
              <w:spacing w:line="240" w:lineRule="atLeast"/>
              <w:jc w:val="left"/>
              <w:rPr>
                <w:rFonts w:ascii="仿宋_GB2312" w:hAnsi="仿宋_GB2312" w:eastAsia="仿宋_GB2312" w:cs="仿宋_GB2312"/>
                <w:sz w:val="20"/>
                <w:szCs w:val="20"/>
              </w:rPr>
            </w:pPr>
          </w:p>
        </w:tc>
      </w:tr>
      <w:tr w14:paraId="40DB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93556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46</w:t>
            </w:r>
          </w:p>
        </w:tc>
        <w:tc>
          <w:tcPr>
            <w:tcW w:w="555" w:type="dxa"/>
            <w:vAlign w:val="center"/>
          </w:tcPr>
          <w:p w14:paraId="4DE06C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D988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DECBC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8956CC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对未按照规定期限和条件开发利用土地行为的处罚</w:t>
            </w:r>
          </w:p>
        </w:tc>
        <w:tc>
          <w:tcPr>
            <w:tcW w:w="660" w:type="dxa"/>
            <w:vAlign w:val="center"/>
          </w:tcPr>
          <w:p w14:paraId="07BA706A">
            <w:pPr>
              <w:snapToGrid w:val="0"/>
              <w:spacing w:line="240" w:lineRule="atLeast"/>
              <w:jc w:val="center"/>
              <w:rPr>
                <w:rFonts w:ascii="仿宋_GB2312" w:hAnsi="仿宋_GB2312" w:eastAsia="仿宋_GB2312" w:cs="仿宋_GB2312"/>
                <w:sz w:val="20"/>
                <w:szCs w:val="20"/>
              </w:rPr>
            </w:pPr>
          </w:p>
        </w:tc>
        <w:tc>
          <w:tcPr>
            <w:tcW w:w="615" w:type="dxa"/>
            <w:vAlign w:val="center"/>
          </w:tcPr>
          <w:p w14:paraId="599E1B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9CE61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345AC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城镇国有土地使用权出让和转让暂行条例》（1990年国务院令第55号发布，2020年修订）第十七条：土地使用者应当按照土地使用权出让合同的规定和城市规划的要求，开发、利用、经营土地。</w:t>
            </w:r>
          </w:p>
          <w:p w14:paraId="1A4BD25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未按合同规定的期限和条件开发、利用土地的，市、县人民政府土地管理部门应当予以纠正，并根据情节可以给予警告、罚款直至无偿收回土地使用权行为的处罚。</w:t>
            </w:r>
          </w:p>
        </w:tc>
        <w:tc>
          <w:tcPr>
            <w:tcW w:w="3585" w:type="dxa"/>
            <w:vAlign w:val="center"/>
          </w:tcPr>
          <w:p w14:paraId="68843C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C202CD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64A0C61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9C5ED9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40E807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9D3355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1E811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A7A63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BB5984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3E1F13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A0CE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C4E1C1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02601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E27380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CB8E8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11EE93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5FE3B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A251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6A146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19E09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0038C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6AE9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3122E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C5BF4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ED13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7B108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C3D48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4481E8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2546135">
            <w:pPr>
              <w:snapToGrid w:val="0"/>
              <w:spacing w:line="240" w:lineRule="atLeast"/>
              <w:jc w:val="center"/>
              <w:rPr>
                <w:rFonts w:ascii="仿宋_GB2312" w:hAnsi="仿宋_GB2312" w:eastAsia="仿宋_GB2312" w:cs="仿宋_GB2312"/>
                <w:sz w:val="20"/>
                <w:szCs w:val="20"/>
              </w:rPr>
            </w:pPr>
          </w:p>
        </w:tc>
      </w:tr>
    </w:tbl>
    <w:p w14:paraId="75789889"/>
    <w:p w14:paraId="562EA4AE"/>
    <w:p w14:paraId="5AB71ED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D44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16A7E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6090F5D">
            <w:pPr>
              <w:spacing w:line="240" w:lineRule="atLeast"/>
              <w:rPr>
                <w:rFonts w:asciiTheme="majorEastAsia" w:hAnsiTheme="majorEastAsia" w:eastAsiaTheme="majorEastAsia" w:cstheme="majorEastAsia"/>
                <w:spacing w:val="-20"/>
                <w:sz w:val="20"/>
                <w:szCs w:val="20"/>
              </w:rPr>
            </w:pPr>
          </w:p>
          <w:p w14:paraId="07EEDA6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720CB1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F5DAB1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4C48D2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91A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BBF1E8">
            <w:pPr>
              <w:spacing w:line="240" w:lineRule="atLeast"/>
              <w:jc w:val="left"/>
              <w:rPr>
                <w:rFonts w:ascii="仿宋_GB2312" w:hAnsi="仿宋_GB2312" w:eastAsia="仿宋_GB2312" w:cs="仿宋_GB2312"/>
                <w:sz w:val="20"/>
                <w:szCs w:val="20"/>
              </w:rPr>
            </w:pPr>
          </w:p>
        </w:tc>
        <w:tc>
          <w:tcPr>
            <w:tcW w:w="555" w:type="dxa"/>
            <w:vMerge w:val="continue"/>
          </w:tcPr>
          <w:p w14:paraId="7A3722B5">
            <w:pPr>
              <w:spacing w:line="240" w:lineRule="atLeast"/>
              <w:jc w:val="left"/>
              <w:rPr>
                <w:rFonts w:ascii="仿宋_GB2312" w:hAnsi="仿宋_GB2312" w:eastAsia="仿宋_GB2312" w:cs="仿宋_GB2312"/>
                <w:sz w:val="20"/>
                <w:szCs w:val="20"/>
              </w:rPr>
            </w:pPr>
          </w:p>
        </w:tc>
        <w:tc>
          <w:tcPr>
            <w:tcW w:w="784" w:type="dxa"/>
            <w:vAlign w:val="center"/>
          </w:tcPr>
          <w:p w14:paraId="29F22CA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8A29A5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5BA3DD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8FB8C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A32B12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195A69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70DC8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62F0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228607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4571C26">
            <w:pPr>
              <w:spacing w:line="240" w:lineRule="atLeast"/>
              <w:jc w:val="left"/>
              <w:rPr>
                <w:rFonts w:ascii="仿宋_GB2312" w:hAnsi="仿宋_GB2312" w:eastAsia="仿宋_GB2312" w:cs="仿宋_GB2312"/>
                <w:sz w:val="20"/>
                <w:szCs w:val="20"/>
              </w:rPr>
            </w:pPr>
          </w:p>
        </w:tc>
      </w:tr>
      <w:tr w14:paraId="34D2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0900C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47</w:t>
            </w:r>
          </w:p>
        </w:tc>
        <w:tc>
          <w:tcPr>
            <w:tcW w:w="555" w:type="dxa"/>
            <w:vAlign w:val="center"/>
          </w:tcPr>
          <w:p w14:paraId="46EE64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95A0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6E980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AC4F83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对伪造不动产权属证书、不动产登记证明，或者买卖、使用伪造、变造的不动产权属证书、不动产登记证明行为的处罚</w:t>
            </w:r>
          </w:p>
        </w:tc>
        <w:tc>
          <w:tcPr>
            <w:tcW w:w="660" w:type="dxa"/>
            <w:vAlign w:val="center"/>
          </w:tcPr>
          <w:p w14:paraId="7B9967AB">
            <w:pPr>
              <w:snapToGrid w:val="0"/>
              <w:spacing w:line="240" w:lineRule="atLeast"/>
              <w:jc w:val="center"/>
              <w:rPr>
                <w:rFonts w:ascii="仿宋_GB2312" w:hAnsi="仿宋_GB2312" w:eastAsia="仿宋_GB2312" w:cs="仿宋_GB2312"/>
                <w:sz w:val="20"/>
                <w:szCs w:val="20"/>
              </w:rPr>
            </w:pPr>
          </w:p>
        </w:tc>
        <w:tc>
          <w:tcPr>
            <w:tcW w:w="615" w:type="dxa"/>
            <w:vAlign w:val="center"/>
          </w:tcPr>
          <w:p w14:paraId="2C1C79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93DAD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5C4480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【行政法规】《不动产登记暂行条例》（2014年国务院令第656号公布，2019年国务院令第710号修订）第六条：国务院国土资源主管部门负责指导、监督全国不动产登记工作。</w:t>
            </w:r>
          </w:p>
          <w:p w14:paraId="2FF08FA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县级以上地方人民政府应当确定一个部门为本行政区域的不动产登记机构，负责不动产登记工作，并接受上级人民政府不动产登记主管部门的指导、监督。</w:t>
            </w:r>
          </w:p>
          <w:p w14:paraId="3B70C8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一条：伪造、变造不动产权属证书、不动产登记证明，或者买卖、使用伪造、变造的不动产权属证书、不动产登记证明的，由不动产登记机构或者公安机关依法予以收缴；有违法所得的，没收违法所得；给他人造成损害的，依法承担赔偿责任；构成违反治安管理行为的，依法给予治安管理处罚；构成犯罪的，依法追究刑事责任。</w:t>
            </w:r>
          </w:p>
        </w:tc>
        <w:tc>
          <w:tcPr>
            <w:tcW w:w="3585" w:type="dxa"/>
            <w:vAlign w:val="center"/>
          </w:tcPr>
          <w:p w14:paraId="3F0676A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33131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839264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B12DDC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45B99F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0D4B1A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3CE98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FAAE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A8354C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41F632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8731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E3F3F2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ACC65A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97D47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2B015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2B8E7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CCD7D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76494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EDF16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AE32C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D0C1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3C2B3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6F9ED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42FF4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4AC71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1C9C1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B478D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75C77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47B94ED">
            <w:pPr>
              <w:snapToGrid w:val="0"/>
              <w:spacing w:line="240" w:lineRule="atLeast"/>
              <w:jc w:val="center"/>
              <w:rPr>
                <w:rFonts w:ascii="仿宋_GB2312" w:hAnsi="仿宋_GB2312" w:eastAsia="仿宋_GB2312" w:cs="仿宋_GB2312"/>
                <w:sz w:val="20"/>
                <w:szCs w:val="20"/>
              </w:rPr>
            </w:pPr>
          </w:p>
        </w:tc>
      </w:tr>
    </w:tbl>
    <w:p w14:paraId="0DA0207E"/>
    <w:p w14:paraId="495DC92B"/>
    <w:p w14:paraId="10FD274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024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9360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9BF946C">
            <w:pPr>
              <w:spacing w:line="240" w:lineRule="atLeast"/>
              <w:rPr>
                <w:rFonts w:asciiTheme="majorEastAsia" w:hAnsiTheme="majorEastAsia" w:eastAsiaTheme="majorEastAsia" w:cstheme="majorEastAsia"/>
                <w:spacing w:val="-20"/>
                <w:sz w:val="20"/>
                <w:szCs w:val="20"/>
              </w:rPr>
            </w:pPr>
          </w:p>
          <w:p w14:paraId="780808B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CC551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79085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70961F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99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7FFE24F">
            <w:pPr>
              <w:spacing w:line="240" w:lineRule="atLeast"/>
              <w:jc w:val="left"/>
              <w:rPr>
                <w:rFonts w:ascii="仿宋_GB2312" w:hAnsi="仿宋_GB2312" w:eastAsia="仿宋_GB2312" w:cs="仿宋_GB2312"/>
                <w:sz w:val="20"/>
                <w:szCs w:val="20"/>
              </w:rPr>
            </w:pPr>
          </w:p>
        </w:tc>
        <w:tc>
          <w:tcPr>
            <w:tcW w:w="555" w:type="dxa"/>
            <w:vMerge w:val="continue"/>
          </w:tcPr>
          <w:p w14:paraId="23785C69">
            <w:pPr>
              <w:spacing w:line="240" w:lineRule="atLeast"/>
              <w:jc w:val="left"/>
              <w:rPr>
                <w:rFonts w:ascii="仿宋_GB2312" w:hAnsi="仿宋_GB2312" w:eastAsia="仿宋_GB2312" w:cs="仿宋_GB2312"/>
                <w:sz w:val="20"/>
                <w:szCs w:val="20"/>
              </w:rPr>
            </w:pPr>
          </w:p>
        </w:tc>
        <w:tc>
          <w:tcPr>
            <w:tcW w:w="784" w:type="dxa"/>
            <w:vAlign w:val="center"/>
          </w:tcPr>
          <w:p w14:paraId="077FAF7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3AE49D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30CE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868C0B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E2EE9E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DFFD9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A962A6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75FC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3F4E8C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C0E3A92">
            <w:pPr>
              <w:spacing w:line="240" w:lineRule="atLeast"/>
              <w:jc w:val="left"/>
              <w:rPr>
                <w:rFonts w:ascii="仿宋_GB2312" w:hAnsi="仿宋_GB2312" w:eastAsia="仿宋_GB2312" w:cs="仿宋_GB2312"/>
                <w:sz w:val="20"/>
                <w:szCs w:val="20"/>
              </w:rPr>
            </w:pPr>
          </w:p>
        </w:tc>
      </w:tr>
      <w:tr w14:paraId="7042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879FC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48</w:t>
            </w:r>
          </w:p>
        </w:tc>
        <w:tc>
          <w:tcPr>
            <w:tcW w:w="555" w:type="dxa"/>
            <w:vAlign w:val="center"/>
          </w:tcPr>
          <w:p w14:paraId="11774D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90A33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10EEA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E69A6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对转让房地产时，不符合法律规定的条件，非法转让以出让方式取得的土地使用权行为的处罚</w:t>
            </w:r>
          </w:p>
        </w:tc>
        <w:tc>
          <w:tcPr>
            <w:tcW w:w="660" w:type="dxa"/>
            <w:vAlign w:val="center"/>
          </w:tcPr>
          <w:p w14:paraId="2813A2BB">
            <w:pPr>
              <w:snapToGrid w:val="0"/>
              <w:spacing w:line="240" w:lineRule="atLeast"/>
              <w:jc w:val="center"/>
              <w:rPr>
                <w:rFonts w:ascii="仿宋_GB2312" w:hAnsi="仿宋_GB2312" w:eastAsia="仿宋_GB2312" w:cs="仿宋_GB2312"/>
                <w:sz w:val="20"/>
                <w:szCs w:val="20"/>
              </w:rPr>
            </w:pPr>
          </w:p>
        </w:tc>
        <w:tc>
          <w:tcPr>
            <w:tcW w:w="615" w:type="dxa"/>
            <w:vAlign w:val="center"/>
          </w:tcPr>
          <w:p w14:paraId="26AF1C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39DEC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F0AA9C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1.【法律】《中华人民共和国城市房地产管理法》第三十九条：以出让方式取得土地使用权的，转让房地产时，应当符合下列条件：</w:t>
            </w:r>
          </w:p>
          <w:p w14:paraId="3D18261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（一）按照出让合同约定已经支付全部土地使用权出让金，并取得土地使用权证书；</w:t>
            </w:r>
          </w:p>
          <w:p w14:paraId="300591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第六十六条：违反本法第三十九条第一款的规定转让土地使用权的，由县级以上人民政府土地管理部门没收违法所得，可以并处罚款。</w:t>
            </w:r>
          </w:p>
          <w:p w14:paraId="3CC474D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77F3A6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3585" w:type="dxa"/>
            <w:vAlign w:val="center"/>
          </w:tcPr>
          <w:p w14:paraId="2EAA559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EDAB15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09A8D2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CFC727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A8ED75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E146B9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864308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0B1AE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F61088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BF7B5A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1E63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23730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5E0C3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3A17B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59AB9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38030E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2456F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03E3D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2E240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89C7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DC72E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6CE0F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D4776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5C9F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A41B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6C85E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EBA10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9C842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F449640">
            <w:pPr>
              <w:snapToGrid w:val="0"/>
              <w:spacing w:line="240" w:lineRule="atLeast"/>
              <w:jc w:val="center"/>
              <w:rPr>
                <w:rFonts w:ascii="仿宋_GB2312" w:hAnsi="仿宋_GB2312" w:eastAsia="仿宋_GB2312" w:cs="仿宋_GB2312"/>
                <w:sz w:val="20"/>
                <w:szCs w:val="20"/>
              </w:rPr>
            </w:pPr>
          </w:p>
        </w:tc>
      </w:tr>
    </w:tbl>
    <w:p w14:paraId="1778C870"/>
    <w:p w14:paraId="3F5DFB7F"/>
    <w:p w14:paraId="2EF3785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089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841F08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BA852F1">
            <w:pPr>
              <w:spacing w:line="240" w:lineRule="atLeast"/>
              <w:rPr>
                <w:rFonts w:asciiTheme="majorEastAsia" w:hAnsiTheme="majorEastAsia" w:eastAsiaTheme="majorEastAsia" w:cstheme="majorEastAsia"/>
                <w:spacing w:val="-20"/>
                <w:sz w:val="20"/>
                <w:szCs w:val="20"/>
              </w:rPr>
            </w:pPr>
          </w:p>
          <w:p w14:paraId="5878965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611B2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A3F537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C3A73C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CE8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E05BA57">
            <w:pPr>
              <w:spacing w:line="240" w:lineRule="atLeast"/>
              <w:jc w:val="left"/>
              <w:rPr>
                <w:rFonts w:ascii="仿宋_GB2312" w:hAnsi="仿宋_GB2312" w:eastAsia="仿宋_GB2312" w:cs="仿宋_GB2312"/>
                <w:sz w:val="20"/>
                <w:szCs w:val="20"/>
              </w:rPr>
            </w:pPr>
          </w:p>
        </w:tc>
        <w:tc>
          <w:tcPr>
            <w:tcW w:w="555" w:type="dxa"/>
            <w:vMerge w:val="continue"/>
          </w:tcPr>
          <w:p w14:paraId="3E2227CD">
            <w:pPr>
              <w:spacing w:line="240" w:lineRule="atLeast"/>
              <w:jc w:val="left"/>
              <w:rPr>
                <w:rFonts w:ascii="仿宋_GB2312" w:hAnsi="仿宋_GB2312" w:eastAsia="仿宋_GB2312" w:cs="仿宋_GB2312"/>
                <w:sz w:val="20"/>
                <w:szCs w:val="20"/>
              </w:rPr>
            </w:pPr>
          </w:p>
        </w:tc>
        <w:tc>
          <w:tcPr>
            <w:tcW w:w="784" w:type="dxa"/>
            <w:vAlign w:val="center"/>
          </w:tcPr>
          <w:p w14:paraId="46F5DE7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33D4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CE6A4F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4FCB3A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C99120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D66DB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1F655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36CB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A511FD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971D1BB">
            <w:pPr>
              <w:spacing w:line="240" w:lineRule="atLeast"/>
              <w:jc w:val="left"/>
              <w:rPr>
                <w:rFonts w:ascii="仿宋_GB2312" w:hAnsi="仿宋_GB2312" w:eastAsia="仿宋_GB2312" w:cs="仿宋_GB2312"/>
                <w:sz w:val="20"/>
                <w:szCs w:val="20"/>
              </w:rPr>
            </w:pPr>
          </w:p>
        </w:tc>
      </w:tr>
      <w:tr w14:paraId="1873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F38C2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49</w:t>
            </w:r>
          </w:p>
        </w:tc>
        <w:tc>
          <w:tcPr>
            <w:tcW w:w="555" w:type="dxa"/>
            <w:vAlign w:val="center"/>
          </w:tcPr>
          <w:p w14:paraId="7536EC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213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0290A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A7711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对转让房地产时未经批准，非法转让以划拨方式取得的土地使用权的，或者经过批准转让以划拨方式取得的土地使用权，但未按规定缴纳土地使用权出让金行为的处罚</w:t>
            </w:r>
          </w:p>
        </w:tc>
        <w:tc>
          <w:tcPr>
            <w:tcW w:w="660" w:type="dxa"/>
            <w:vAlign w:val="center"/>
          </w:tcPr>
          <w:p w14:paraId="4DED6571">
            <w:pPr>
              <w:snapToGrid w:val="0"/>
              <w:spacing w:line="240" w:lineRule="atLeast"/>
              <w:jc w:val="center"/>
              <w:rPr>
                <w:rFonts w:ascii="仿宋_GB2312" w:hAnsi="仿宋_GB2312" w:eastAsia="仿宋_GB2312" w:cs="仿宋_GB2312"/>
                <w:sz w:val="20"/>
                <w:szCs w:val="20"/>
              </w:rPr>
            </w:pPr>
          </w:p>
        </w:tc>
        <w:tc>
          <w:tcPr>
            <w:tcW w:w="615" w:type="dxa"/>
            <w:vAlign w:val="center"/>
          </w:tcPr>
          <w:p w14:paraId="316C23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04DE5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D00878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四十条第一款：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1CAD5AC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第六十七条：违反本法第四十条第一款的规定转让房地产的，由县级以上人民政府土地管理部门责令缴纳土地使用权出让金，没收违法所得，可以并处罚款。</w:t>
            </w:r>
          </w:p>
          <w:p w14:paraId="446CD25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6052788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3585" w:type="dxa"/>
            <w:vAlign w:val="center"/>
          </w:tcPr>
          <w:p w14:paraId="33F4B4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E2A5A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1D4FB1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18F4BA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EA073D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70F9F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448948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9A23C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70D670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2FD5E1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C3239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A62783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B874C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A5798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5E220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CFB0FD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47AA0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EEAB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0FD9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5E889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02428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B06D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BDB91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2DF7C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DC004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2DC7B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540A9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DC35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646AB34">
            <w:pPr>
              <w:snapToGrid w:val="0"/>
              <w:spacing w:line="240" w:lineRule="atLeast"/>
              <w:jc w:val="center"/>
              <w:rPr>
                <w:rFonts w:ascii="仿宋_GB2312" w:hAnsi="仿宋_GB2312" w:eastAsia="仿宋_GB2312" w:cs="仿宋_GB2312"/>
                <w:sz w:val="20"/>
                <w:szCs w:val="20"/>
              </w:rPr>
            </w:pPr>
          </w:p>
        </w:tc>
      </w:tr>
    </w:tbl>
    <w:p w14:paraId="31D3852C"/>
    <w:p w14:paraId="29A35A21"/>
    <w:p w14:paraId="1F8772B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7B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3F3D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574624F">
            <w:pPr>
              <w:spacing w:line="240" w:lineRule="atLeast"/>
              <w:rPr>
                <w:rFonts w:asciiTheme="majorEastAsia" w:hAnsiTheme="majorEastAsia" w:eastAsiaTheme="majorEastAsia" w:cstheme="majorEastAsia"/>
                <w:spacing w:val="-20"/>
                <w:sz w:val="20"/>
                <w:szCs w:val="20"/>
              </w:rPr>
            </w:pPr>
          </w:p>
          <w:p w14:paraId="6F4FFC1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5F46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3F4D5B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18834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C8E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3AC07A5">
            <w:pPr>
              <w:spacing w:line="240" w:lineRule="atLeast"/>
              <w:jc w:val="left"/>
              <w:rPr>
                <w:rFonts w:ascii="仿宋_GB2312" w:hAnsi="仿宋_GB2312" w:eastAsia="仿宋_GB2312" w:cs="仿宋_GB2312"/>
                <w:sz w:val="20"/>
                <w:szCs w:val="20"/>
              </w:rPr>
            </w:pPr>
          </w:p>
        </w:tc>
        <w:tc>
          <w:tcPr>
            <w:tcW w:w="555" w:type="dxa"/>
            <w:vMerge w:val="continue"/>
          </w:tcPr>
          <w:p w14:paraId="4B4A74A3">
            <w:pPr>
              <w:spacing w:line="240" w:lineRule="atLeast"/>
              <w:jc w:val="left"/>
              <w:rPr>
                <w:rFonts w:ascii="仿宋_GB2312" w:hAnsi="仿宋_GB2312" w:eastAsia="仿宋_GB2312" w:cs="仿宋_GB2312"/>
                <w:sz w:val="20"/>
                <w:szCs w:val="20"/>
              </w:rPr>
            </w:pPr>
          </w:p>
        </w:tc>
        <w:tc>
          <w:tcPr>
            <w:tcW w:w="784" w:type="dxa"/>
            <w:vAlign w:val="center"/>
          </w:tcPr>
          <w:p w14:paraId="6F3AD94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C6BD0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F7DDA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06B35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45137B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8F2B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0C656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85ECF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E83C39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4F1935B">
            <w:pPr>
              <w:spacing w:line="240" w:lineRule="atLeast"/>
              <w:jc w:val="left"/>
              <w:rPr>
                <w:rFonts w:ascii="仿宋_GB2312" w:hAnsi="仿宋_GB2312" w:eastAsia="仿宋_GB2312" w:cs="仿宋_GB2312"/>
                <w:sz w:val="20"/>
                <w:szCs w:val="20"/>
              </w:rPr>
            </w:pPr>
          </w:p>
        </w:tc>
      </w:tr>
      <w:tr w14:paraId="15B9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23F2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50</w:t>
            </w:r>
          </w:p>
        </w:tc>
        <w:tc>
          <w:tcPr>
            <w:tcW w:w="555" w:type="dxa"/>
            <w:vAlign w:val="center"/>
          </w:tcPr>
          <w:p w14:paraId="007287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7B0C4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56122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0F9C27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对违反规定伪造、涂改和买卖土地权属证书行为的处罚</w:t>
            </w:r>
          </w:p>
        </w:tc>
        <w:tc>
          <w:tcPr>
            <w:tcW w:w="660" w:type="dxa"/>
            <w:vAlign w:val="center"/>
          </w:tcPr>
          <w:p w14:paraId="297D84A2">
            <w:pPr>
              <w:snapToGrid w:val="0"/>
              <w:spacing w:line="240" w:lineRule="atLeast"/>
              <w:jc w:val="center"/>
              <w:rPr>
                <w:rFonts w:ascii="仿宋_GB2312" w:hAnsi="仿宋_GB2312" w:eastAsia="仿宋_GB2312" w:cs="仿宋_GB2312"/>
                <w:sz w:val="20"/>
                <w:szCs w:val="20"/>
              </w:rPr>
            </w:pPr>
          </w:p>
        </w:tc>
        <w:tc>
          <w:tcPr>
            <w:tcW w:w="615" w:type="dxa"/>
            <w:vAlign w:val="center"/>
          </w:tcPr>
          <w:p w14:paraId="123F1B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97D2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87A057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实施〈中华人民共和国土地管理法〉办法》（2001年广西壮族自治区第九届人民代表大会常务委员会公布施行，2019年第二次修正）第十五条：土地权属证书是土地权利人拥有合法土地权利的法律凭证，任何单位和个人不得伪造、涂改和买卖。</w:t>
            </w:r>
          </w:p>
          <w:p w14:paraId="28F50A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第六十四条：违反本办法第十五条规定，伪造、涂改和买卖土地权属证书的，由县级以上人民政府土地行政主管部门没收违法所得，可以并处500元以上5000元以下的罚款。</w:t>
            </w:r>
          </w:p>
        </w:tc>
        <w:tc>
          <w:tcPr>
            <w:tcW w:w="3585" w:type="dxa"/>
            <w:vAlign w:val="center"/>
          </w:tcPr>
          <w:p w14:paraId="2CC769F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F3923B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16188F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5838FB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102E06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0DDF8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986F2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FB890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CBEDC3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25D0CC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B611B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BE34C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28B3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9ED9A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8469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BD9F4F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9E2B2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7CC40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9015A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98B53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299E8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33E2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F47F4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CE7A4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0C66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4E00C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D906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3662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54E70F9">
            <w:pPr>
              <w:snapToGrid w:val="0"/>
              <w:spacing w:line="240" w:lineRule="atLeast"/>
              <w:jc w:val="center"/>
              <w:rPr>
                <w:rFonts w:ascii="仿宋_GB2312" w:hAnsi="仿宋_GB2312" w:eastAsia="仿宋_GB2312" w:cs="仿宋_GB2312"/>
                <w:sz w:val="20"/>
                <w:szCs w:val="20"/>
              </w:rPr>
            </w:pPr>
          </w:p>
        </w:tc>
      </w:tr>
    </w:tbl>
    <w:p w14:paraId="60CA0C0E"/>
    <w:p w14:paraId="5ADFCEAB"/>
    <w:p w14:paraId="7F1139E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980"/>
        <w:gridCol w:w="3450"/>
        <w:gridCol w:w="9275"/>
        <w:gridCol w:w="330"/>
      </w:tblGrid>
      <w:tr w14:paraId="7ECE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63263B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783E633">
            <w:pPr>
              <w:spacing w:line="240" w:lineRule="atLeast"/>
              <w:rPr>
                <w:rFonts w:asciiTheme="majorEastAsia" w:hAnsiTheme="majorEastAsia" w:eastAsiaTheme="majorEastAsia" w:cstheme="majorEastAsia"/>
                <w:spacing w:val="-20"/>
                <w:sz w:val="20"/>
                <w:szCs w:val="20"/>
              </w:rPr>
            </w:pPr>
          </w:p>
          <w:p w14:paraId="51A1C58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149" w:type="dxa"/>
            <w:gridSpan w:val="5"/>
            <w:vAlign w:val="center"/>
          </w:tcPr>
          <w:p w14:paraId="2A15B1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725" w:type="dxa"/>
            <w:gridSpan w:val="2"/>
            <w:vAlign w:val="center"/>
          </w:tcPr>
          <w:p w14:paraId="08169B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BCB557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1BA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8B6492">
            <w:pPr>
              <w:spacing w:line="240" w:lineRule="atLeast"/>
              <w:jc w:val="left"/>
              <w:rPr>
                <w:rFonts w:ascii="仿宋_GB2312" w:hAnsi="仿宋_GB2312" w:eastAsia="仿宋_GB2312" w:cs="仿宋_GB2312"/>
                <w:sz w:val="20"/>
                <w:szCs w:val="20"/>
              </w:rPr>
            </w:pPr>
          </w:p>
        </w:tc>
        <w:tc>
          <w:tcPr>
            <w:tcW w:w="555" w:type="dxa"/>
            <w:vMerge w:val="continue"/>
          </w:tcPr>
          <w:p w14:paraId="7FB5FDE5">
            <w:pPr>
              <w:spacing w:line="240" w:lineRule="atLeast"/>
              <w:jc w:val="left"/>
              <w:rPr>
                <w:rFonts w:ascii="仿宋_GB2312" w:hAnsi="仿宋_GB2312" w:eastAsia="仿宋_GB2312" w:cs="仿宋_GB2312"/>
                <w:sz w:val="20"/>
                <w:szCs w:val="20"/>
              </w:rPr>
            </w:pPr>
          </w:p>
        </w:tc>
        <w:tc>
          <w:tcPr>
            <w:tcW w:w="784" w:type="dxa"/>
            <w:vAlign w:val="center"/>
          </w:tcPr>
          <w:p w14:paraId="6E80488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12C8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478CA1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A2E8D3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D88529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980" w:type="dxa"/>
            <w:vAlign w:val="center"/>
          </w:tcPr>
          <w:p w14:paraId="76EF2E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484F29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33D6A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275" w:type="dxa"/>
            <w:vAlign w:val="center"/>
          </w:tcPr>
          <w:p w14:paraId="568715C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D38ECF9">
            <w:pPr>
              <w:spacing w:line="240" w:lineRule="atLeast"/>
              <w:jc w:val="left"/>
              <w:rPr>
                <w:rFonts w:ascii="仿宋_GB2312" w:hAnsi="仿宋_GB2312" w:eastAsia="仿宋_GB2312" w:cs="仿宋_GB2312"/>
                <w:sz w:val="20"/>
                <w:szCs w:val="20"/>
              </w:rPr>
            </w:pPr>
          </w:p>
        </w:tc>
      </w:tr>
      <w:tr w14:paraId="4298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844C0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51</w:t>
            </w:r>
          </w:p>
        </w:tc>
        <w:tc>
          <w:tcPr>
            <w:tcW w:w="555" w:type="dxa"/>
            <w:vAlign w:val="center"/>
          </w:tcPr>
          <w:p w14:paraId="40FD3F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9899E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64067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0123E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对未取得采矿许可证擅自采矿，擅自进入国家规划矿区、对国民经济具有重要价值的矿区和他人矿区范围采矿，擅自开采国家规定实行保护性开采特定矿种行为的处罚</w:t>
            </w:r>
          </w:p>
        </w:tc>
        <w:tc>
          <w:tcPr>
            <w:tcW w:w="660" w:type="dxa"/>
            <w:vAlign w:val="center"/>
          </w:tcPr>
          <w:p w14:paraId="1D1D8E7B">
            <w:pPr>
              <w:snapToGrid w:val="0"/>
              <w:spacing w:line="240" w:lineRule="atLeast"/>
              <w:jc w:val="center"/>
              <w:rPr>
                <w:rFonts w:ascii="仿宋_GB2312" w:hAnsi="仿宋_GB2312" w:eastAsia="仿宋_GB2312" w:cs="仿宋_GB2312"/>
                <w:sz w:val="20"/>
                <w:szCs w:val="20"/>
              </w:rPr>
            </w:pPr>
          </w:p>
        </w:tc>
        <w:tc>
          <w:tcPr>
            <w:tcW w:w="615" w:type="dxa"/>
            <w:vAlign w:val="center"/>
          </w:tcPr>
          <w:p w14:paraId="62CADA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1C1B0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980" w:type="dxa"/>
            <w:vAlign w:val="center"/>
          </w:tcPr>
          <w:p w14:paraId="6115432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第一百五十六条的规定对直接责任人员追究刑事责任。</w:t>
            </w:r>
          </w:p>
          <w:p w14:paraId="1044AD3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单位和个人进入他人依法设立的国有矿山企业和其他矿山企业矿区范围内采矿的，依照前款规定处罚。</w:t>
            </w:r>
          </w:p>
          <w:p w14:paraId="2AB0605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62F08DC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一）未取得采矿许可证擅自采矿的，擅自进入国家规划矿区、对国民经济具有重要价值的矿区和他人矿区范围采矿的，擅自开采国家规定实行保护性开采的特定矿种的，处以违法所得百分之五十以下的罚款；</w:t>
            </w:r>
          </w:p>
          <w:p w14:paraId="47D73D0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3.【行政法规】《矿产资源开采登记管理办法》（1998年国务院令第241号公布，2014年国务院令第653号修订）第三条： 开采下列矿产资源，由国务院地质矿产主管部门审批登记，颁发采矿许可证：</w:t>
            </w:r>
          </w:p>
          <w:p w14:paraId="4634801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（一）国家规划矿区和对国民经济具有重要价值的矿区内的矿产资源；</w:t>
            </w:r>
          </w:p>
          <w:p w14:paraId="001162C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（二）领海及中国管辖的其他海域的矿产资源；</w:t>
            </w:r>
          </w:p>
          <w:p w14:paraId="54EEF4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（三）外商投资开采的矿产资源；</w:t>
            </w:r>
          </w:p>
          <w:p w14:paraId="6BFEAB9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（四）本办法附录所列的矿产资源。</w:t>
            </w:r>
          </w:p>
          <w:p w14:paraId="38B92FA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开采石油、天然气矿产的，经国务院指定的机关审查同意后，由国务院地质矿产主管部门登记，颁发采矿许可证。</w:t>
            </w:r>
          </w:p>
          <w:p w14:paraId="5A10ED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开采下列矿产资源，由省、自治区、直辖市人民政府地质矿产主管部门审批登记，颁发采矿许可证：</w:t>
            </w:r>
          </w:p>
          <w:p w14:paraId="0C744A5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（一）本条第一款、第二款规定以外的矿产储量规模中型以上的矿产资源；</w:t>
            </w:r>
          </w:p>
          <w:p w14:paraId="498E8EA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（二）国务院地质矿产主管部门授权省、自治区、直辖市人民政府地质矿产主管部门审批登记的矿产资源。</w:t>
            </w:r>
          </w:p>
          <w:p w14:paraId="6C20C60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开采本条第一款、第二款、第三款规定以外的矿产资源，由县级以上地方人民政府负责地质矿产管理工作的部门，按照省、自治区、直辖市人民代表大会常务委员会制定的管理办法审批登记，颁发采矿许可证。</w:t>
            </w:r>
          </w:p>
          <w:p w14:paraId="319443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矿区范围跨县级以上行政区域的，由所涉及行政区域的共同上一级登记管理机关审批登记，颁发采矿许可证。</w:t>
            </w:r>
          </w:p>
          <w:p w14:paraId="3C196FB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县级以上地方人民政府负责地质矿产管理工作的部门在审批发证后，应当逐级向上一级人民政府负责地质矿产管理工作的部门备案。</w:t>
            </w:r>
          </w:p>
          <w:p w14:paraId="50F6D7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3450" w:type="dxa"/>
            <w:vAlign w:val="center"/>
          </w:tcPr>
          <w:p w14:paraId="4C253DE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0D4849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236755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58437B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D4420B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C58B79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425E46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241DB3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275" w:type="dxa"/>
            <w:vAlign w:val="center"/>
          </w:tcPr>
          <w:p w14:paraId="399910A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A9DCAC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62A8D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781566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00447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CDF52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0AAF2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558101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57C63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9D175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C408E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66FD4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E9B5B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9935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AD5DE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BE7C9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73B1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04287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B25F9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86B14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212341">
            <w:pPr>
              <w:snapToGrid w:val="0"/>
              <w:spacing w:line="240" w:lineRule="atLeast"/>
              <w:jc w:val="center"/>
              <w:rPr>
                <w:rFonts w:ascii="仿宋_GB2312" w:hAnsi="仿宋_GB2312" w:eastAsia="仿宋_GB2312" w:cs="仿宋_GB2312"/>
                <w:sz w:val="20"/>
                <w:szCs w:val="20"/>
              </w:rPr>
            </w:pPr>
          </w:p>
        </w:tc>
      </w:tr>
    </w:tbl>
    <w:p w14:paraId="3885210E"/>
    <w:p w14:paraId="131B2C3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1A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B767C4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CDAB1B0">
            <w:pPr>
              <w:spacing w:line="240" w:lineRule="atLeast"/>
              <w:rPr>
                <w:rFonts w:asciiTheme="majorEastAsia" w:hAnsiTheme="majorEastAsia" w:eastAsiaTheme="majorEastAsia" w:cstheme="majorEastAsia"/>
                <w:spacing w:val="-20"/>
                <w:sz w:val="20"/>
                <w:szCs w:val="20"/>
              </w:rPr>
            </w:pPr>
          </w:p>
          <w:p w14:paraId="469B30B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CE9B5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BC66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FF709B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AB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9FECB1">
            <w:pPr>
              <w:spacing w:line="240" w:lineRule="atLeast"/>
              <w:jc w:val="left"/>
              <w:rPr>
                <w:rFonts w:ascii="仿宋_GB2312" w:hAnsi="仿宋_GB2312" w:eastAsia="仿宋_GB2312" w:cs="仿宋_GB2312"/>
                <w:sz w:val="20"/>
                <w:szCs w:val="20"/>
              </w:rPr>
            </w:pPr>
          </w:p>
        </w:tc>
        <w:tc>
          <w:tcPr>
            <w:tcW w:w="555" w:type="dxa"/>
            <w:vMerge w:val="continue"/>
          </w:tcPr>
          <w:p w14:paraId="4B267131">
            <w:pPr>
              <w:spacing w:line="240" w:lineRule="atLeast"/>
              <w:jc w:val="left"/>
              <w:rPr>
                <w:rFonts w:ascii="仿宋_GB2312" w:hAnsi="仿宋_GB2312" w:eastAsia="仿宋_GB2312" w:cs="仿宋_GB2312"/>
                <w:sz w:val="20"/>
                <w:szCs w:val="20"/>
              </w:rPr>
            </w:pPr>
          </w:p>
        </w:tc>
        <w:tc>
          <w:tcPr>
            <w:tcW w:w="784" w:type="dxa"/>
            <w:vAlign w:val="center"/>
          </w:tcPr>
          <w:p w14:paraId="500C619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6A0C9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2DA4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435133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E901FC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80BEC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51F17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290F9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B12D1E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F3531A9">
            <w:pPr>
              <w:spacing w:line="240" w:lineRule="atLeast"/>
              <w:jc w:val="left"/>
              <w:rPr>
                <w:rFonts w:ascii="仿宋_GB2312" w:hAnsi="仿宋_GB2312" w:eastAsia="仿宋_GB2312" w:cs="仿宋_GB2312"/>
                <w:sz w:val="20"/>
                <w:szCs w:val="20"/>
              </w:rPr>
            </w:pPr>
          </w:p>
        </w:tc>
      </w:tr>
      <w:tr w14:paraId="14CC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B81A0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52</w:t>
            </w:r>
          </w:p>
        </w:tc>
        <w:tc>
          <w:tcPr>
            <w:tcW w:w="555" w:type="dxa"/>
            <w:vAlign w:val="center"/>
          </w:tcPr>
          <w:p w14:paraId="4978E5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E0B8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A2BBF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4E281A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对超越批准的矿区范围采矿行为的处罚</w:t>
            </w:r>
          </w:p>
        </w:tc>
        <w:tc>
          <w:tcPr>
            <w:tcW w:w="660" w:type="dxa"/>
            <w:vAlign w:val="center"/>
          </w:tcPr>
          <w:p w14:paraId="216982E5">
            <w:pPr>
              <w:snapToGrid w:val="0"/>
              <w:spacing w:line="240" w:lineRule="atLeast"/>
              <w:jc w:val="center"/>
              <w:rPr>
                <w:rFonts w:ascii="仿宋_GB2312" w:hAnsi="仿宋_GB2312" w:eastAsia="仿宋_GB2312" w:cs="仿宋_GB2312"/>
                <w:sz w:val="20"/>
                <w:szCs w:val="20"/>
              </w:rPr>
            </w:pPr>
          </w:p>
        </w:tc>
        <w:tc>
          <w:tcPr>
            <w:tcW w:w="615" w:type="dxa"/>
            <w:vAlign w:val="center"/>
          </w:tcPr>
          <w:p w14:paraId="51B88A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46B5F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230A3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条：超越批准的矿区范围采矿的，责令退回本矿区范围内开采、赔偿损失，没收越界开采的矿产品和违法所得，可以并处罚款；拒不退回本矿区范围内开采，造成矿产资源破坏的，吊销采矿许可证，依照刑法第一百五十六条的规定对直接责任人员追究刑事责任。</w:t>
            </w:r>
          </w:p>
          <w:p w14:paraId="732911A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二）超越批准的矿区范围采矿的，处以违法所得30%以下的罚款；</w:t>
            </w:r>
          </w:p>
          <w:p w14:paraId="0191A0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矿产资源开采登记管理办法》（1998年国务院令第241号公布，2014年国务院令第653号修订）第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3585" w:type="dxa"/>
            <w:vAlign w:val="center"/>
          </w:tcPr>
          <w:p w14:paraId="1FD1C3F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B2927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9438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C289F2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5902A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6BE74F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72C6CF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BC893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7010B8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D466B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C409C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97EE5C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227E2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BAD90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765E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C00D3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2B0C4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463E6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C2AFA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1D683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AADCC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AE64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2C76C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935BB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CF6F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258B1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1DEBE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D924B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D34F503">
            <w:pPr>
              <w:snapToGrid w:val="0"/>
              <w:spacing w:line="240" w:lineRule="atLeast"/>
              <w:jc w:val="center"/>
              <w:rPr>
                <w:rFonts w:ascii="仿宋_GB2312" w:hAnsi="仿宋_GB2312" w:eastAsia="仿宋_GB2312" w:cs="仿宋_GB2312"/>
                <w:sz w:val="20"/>
                <w:szCs w:val="20"/>
              </w:rPr>
            </w:pPr>
          </w:p>
        </w:tc>
      </w:tr>
    </w:tbl>
    <w:p w14:paraId="0801163E"/>
    <w:p w14:paraId="65DD0DF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61E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81F882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626BE5">
            <w:pPr>
              <w:spacing w:line="240" w:lineRule="atLeast"/>
              <w:rPr>
                <w:rFonts w:asciiTheme="majorEastAsia" w:hAnsiTheme="majorEastAsia" w:eastAsiaTheme="majorEastAsia" w:cstheme="majorEastAsia"/>
                <w:spacing w:val="-20"/>
                <w:sz w:val="20"/>
                <w:szCs w:val="20"/>
              </w:rPr>
            </w:pPr>
          </w:p>
          <w:p w14:paraId="29DAB81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388035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95F8B5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C4CB02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28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DFBB83C">
            <w:pPr>
              <w:spacing w:line="240" w:lineRule="atLeast"/>
              <w:jc w:val="left"/>
              <w:rPr>
                <w:rFonts w:ascii="仿宋_GB2312" w:hAnsi="仿宋_GB2312" w:eastAsia="仿宋_GB2312" w:cs="仿宋_GB2312"/>
                <w:sz w:val="20"/>
                <w:szCs w:val="20"/>
              </w:rPr>
            </w:pPr>
          </w:p>
        </w:tc>
        <w:tc>
          <w:tcPr>
            <w:tcW w:w="555" w:type="dxa"/>
            <w:vMerge w:val="continue"/>
          </w:tcPr>
          <w:p w14:paraId="5DA36D9D">
            <w:pPr>
              <w:spacing w:line="240" w:lineRule="atLeast"/>
              <w:jc w:val="left"/>
              <w:rPr>
                <w:rFonts w:ascii="仿宋_GB2312" w:hAnsi="仿宋_GB2312" w:eastAsia="仿宋_GB2312" w:cs="仿宋_GB2312"/>
                <w:sz w:val="20"/>
                <w:szCs w:val="20"/>
              </w:rPr>
            </w:pPr>
          </w:p>
        </w:tc>
        <w:tc>
          <w:tcPr>
            <w:tcW w:w="784" w:type="dxa"/>
            <w:vAlign w:val="center"/>
          </w:tcPr>
          <w:p w14:paraId="7C1F184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276C7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A92BF1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FCE6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5B385C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E2B5AE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24F9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C5E7A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588E9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B6D6A8F">
            <w:pPr>
              <w:spacing w:line="240" w:lineRule="atLeast"/>
              <w:jc w:val="left"/>
              <w:rPr>
                <w:rFonts w:ascii="仿宋_GB2312" w:hAnsi="仿宋_GB2312" w:eastAsia="仿宋_GB2312" w:cs="仿宋_GB2312"/>
                <w:sz w:val="20"/>
                <w:szCs w:val="20"/>
              </w:rPr>
            </w:pPr>
          </w:p>
        </w:tc>
      </w:tr>
      <w:tr w14:paraId="1AEF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89609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53</w:t>
            </w:r>
          </w:p>
        </w:tc>
        <w:tc>
          <w:tcPr>
            <w:tcW w:w="555" w:type="dxa"/>
            <w:vAlign w:val="center"/>
          </w:tcPr>
          <w:p w14:paraId="35711A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24E89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0E1B0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41E7D9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对将探矿权、采矿权倒卖牟利行为的处罚</w:t>
            </w:r>
          </w:p>
        </w:tc>
        <w:tc>
          <w:tcPr>
            <w:tcW w:w="660" w:type="dxa"/>
            <w:vAlign w:val="center"/>
          </w:tcPr>
          <w:p w14:paraId="0C72E1F4">
            <w:pPr>
              <w:snapToGrid w:val="0"/>
              <w:spacing w:line="240" w:lineRule="atLeast"/>
              <w:jc w:val="center"/>
              <w:rPr>
                <w:rFonts w:ascii="仿宋_GB2312" w:hAnsi="仿宋_GB2312" w:eastAsia="仿宋_GB2312" w:cs="仿宋_GB2312"/>
                <w:sz w:val="20"/>
                <w:szCs w:val="20"/>
              </w:rPr>
            </w:pPr>
          </w:p>
        </w:tc>
        <w:tc>
          <w:tcPr>
            <w:tcW w:w="615" w:type="dxa"/>
            <w:vAlign w:val="center"/>
          </w:tcPr>
          <w:p w14:paraId="42520E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24746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29F0CC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14:paraId="3D16894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75CBB64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4364473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（一）未取得采矿许可证擅自采矿的，擅自进入国家规划矿区、对国民经济具有重要价值的矿区和他人矿区范围采矿的，擅自开采国家规定实行保护性开采的特定矿种的，处以违法所得50%以下的罚款；</w:t>
            </w:r>
          </w:p>
          <w:p w14:paraId="12AC57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（二）超越批准的矿区范围采矿的，处以违法所得30%以下的罚款；</w:t>
            </w:r>
          </w:p>
          <w:p w14:paraId="61630B5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（三）买卖、出租或者以其他形式转让矿产资源的，买卖、出租采矿权的，对卖方、出租方、出让方处以违法所得一倍以下的罚款；</w:t>
            </w:r>
          </w:p>
          <w:p w14:paraId="37E6F7B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（四）非法用采矿权作抵押的，处以5000元以下的罚款；</w:t>
            </w:r>
          </w:p>
          <w:p w14:paraId="10BDB3B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（五）违反规定收购和销售国家规定统一收购的矿产品的，处以违法所得一倍以下的罚款；</w:t>
            </w:r>
          </w:p>
          <w:p w14:paraId="1957ED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（六）采取破坏性的开采方法开采矿产资源，造成矿产资源严重破坏的，处以相当于矿产资源损失价值50%以下的罚款。</w:t>
            </w:r>
          </w:p>
        </w:tc>
        <w:tc>
          <w:tcPr>
            <w:tcW w:w="3585" w:type="dxa"/>
            <w:vAlign w:val="center"/>
          </w:tcPr>
          <w:p w14:paraId="4DC7C36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040C21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2B42D8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FF7BC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7DCE5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AF1DF1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245D5E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64DF8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0BAF5D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08C707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4922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8C494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167FE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9BEF9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BFB5E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2BB60E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B8927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D9825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AE401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58CA2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1B209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6062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213F6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5C54E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E6EC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9ADB9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AEC80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DA977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18DD6B1">
            <w:pPr>
              <w:snapToGrid w:val="0"/>
              <w:spacing w:line="240" w:lineRule="atLeast"/>
              <w:jc w:val="center"/>
              <w:rPr>
                <w:rFonts w:ascii="仿宋_GB2312" w:hAnsi="仿宋_GB2312" w:eastAsia="仿宋_GB2312" w:cs="仿宋_GB2312"/>
                <w:sz w:val="20"/>
                <w:szCs w:val="20"/>
              </w:rPr>
            </w:pPr>
          </w:p>
        </w:tc>
      </w:tr>
    </w:tbl>
    <w:p w14:paraId="26E052C8"/>
    <w:p w14:paraId="4D3CAEB0"/>
    <w:p w14:paraId="1AAFF7D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768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AB7F24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AB2E1FA">
            <w:pPr>
              <w:spacing w:line="240" w:lineRule="atLeast"/>
              <w:rPr>
                <w:rFonts w:asciiTheme="majorEastAsia" w:hAnsiTheme="majorEastAsia" w:eastAsiaTheme="majorEastAsia" w:cstheme="majorEastAsia"/>
                <w:spacing w:val="-20"/>
                <w:sz w:val="20"/>
                <w:szCs w:val="20"/>
              </w:rPr>
            </w:pPr>
          </w:p>
          <w:p w14:paraId="4CDE4EC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57469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531A95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33D21A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D22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91B1845">
            <w:pPr>
              <w:spacing w:line="240" w:lineRule="atLeast"/>
              <w:jc w:val="left"/>
              <w:rPr>
                <w:rFonts w:ascii="仿宋_GB2312" w:hAnsi="仿宋_GB2312" w:eastAsia="仿宋_GB2312" w:cs="仿宋_GB2312"/>
                <w:sz w:val="20"/>
                <w:szCs w:val="20"/>
              </w:rPr>
            </w:pPr>
          </w:p>
        </w:tc>
        <w:tc>
          <w:tcPr>
            <w:tcW w:w="555" w:type="dxa"/>
            <w:vMerge w:val="continue"/>
          </w:tcPr>
          <w:p w14:paraId="6ADBA5B7">
            <w:pPr>
              <w:spacing w:line="240" w:lineRule="atLeast"/>
              <w:jc w:val="left"/>
              <w:rPr>
                <w:rFonts w:ascii="仿宋_GB2312" w:hAnsi="仿宋_GB2312" w:eastAsia="仿宋_GB2312" w:cs="仿宋_GB2312"/>
                <w:sz w:val="20"/>
                <w:szCs w:val="20"/>
              </w:rPr>
            </w:pPr>
          </w:p>
        </w:tc>
        <w:tc>
          <w:tcPr>
            <w:tcW w:w="784" w:type="dxa"/>
            <w:vAlign w:val="center"/>
          </w:tcPr>
          <w:p w14:paraId="28C4AD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9D84D8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D51C8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A6471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3A9DDB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6536B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D098C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463A4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54D47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A66BAF9">
            <w:pPr>
              <w:spacing w:line="240" w:lineRule="atLeast"/>
              <w:jc w:val="left"/>
              <w:rPr>
                <w:rFonts w:ascii="仿宋_GB2312" w:hAnsi="仿宋_GB2312" w:eastAsia="仿宋_GB2312" w:cs="仿宋_GB2312"/>
                <w:sz w:val="20"/>
                <w:szCs w:val="20"/>
              </w:rPr>
            </w:pPr>
          </w:p>
        </w:tc>
      </w:tr>
      <w:tr w14:paraId="4317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0184E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54</w:t>
            </w:r>
          </w:p>
        </w:tc>
        <w:tc>
          <w:tcPr>
            <w:tcW w:w="555" w:type="dxa"/>
            <w:vAlign w:val="center"/>
          </w:tcPr>
          <w:p w14:paraId="7A8391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2CDC6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2FDAA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1E0599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对买卖、出租或者以其他形式转让矿产资源行为的处罚</w:t>
            </w:r>
          </w:p>
        </w:tc>
        <w:tc>
          <w:tcPr>
            <w:tcW w:w="660" w:type="dxa"/>
            <w:vAlign w:val="center"/>
          </w:tcPr>
          <w:p w14:paraId="4A1584C6">
            <w:pPr>
              <w:snapToGrid w:val="0"/>
              <w:spacing w:line="240" w:lineRule="atLeast"/>
              <w:jc w:val="center"/>
              <w:rPr>
                <w:rFonts w:ascii="仿宋_GB2312" w:hAnsi="仿宋_GB2312" w:eastAsia="仿宋_GB2312" w:cs="仿宋_GB2312"/>
                <w:sz w:val="20"/>
                <w:szCs w:val="20"/>
              </w:rPr>
            </w:pPr>
          </w:p>
        </w:tc>
        <w:tc>
          <w:tcPr>
            <w:tcW w:w="615" w:type="dxa"/>
            <w:vAlign w:val="center"/>
          </w:tcPr>
          <w:p w14:paraId="39898F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3AEFD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12FDA4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w:t>
            </w:r>
          </w:p>
          <w:p w14:paraId="44F536C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4B1EE9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272ED75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（一）未取得采矿许可证擅自采矿的，擅自进入国家规划矿区、对国民经济具有重要价值的矿区和他人矿区范围采矿的，擅自开采国家规定实行保护性开采的特定矿种的，处以违法所得百分之五十以下的罚款；</w:t>
            </w:r>
          </w:p>
          <w:p w14:paraId="6F8C0AC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（三）买卖、出租或者以其他形式转让矿产资源的，买卖、出租采矿权的，对卖方、出租方、出让方处以违法所得一倍以下的罚款；</w:t>
            </w:r>
          </w:p>
          <w:p w14:paraId="1D0DA4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二十条：开采下列矿产资源，由自治区地质矿产主管部门审批登记，颁发采矿许可证：</w:t>
            </w:r>
          </w:p>
          <w:p w14:paraId="5AEEFBC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（一）国务院《矿产资源开采登记管理办法》第三条第一款、第二款规定以外的矿产储量规模中型以上的矿产资源；</w:t>
            </w:r>
          </w:p>
          <w:p w14:paraId="7E133BC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（二）自治区规划矿区内的矿产资源；</w:t>
            </w:r>
          </w:p>
          <w:p w14:paraId="67093E3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（三）自治区财政出资勘查探明矿产地的矿产资源；</w:t>
            </w:r>
          </w:p>
          <w:p w14:paraId="3896326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（四）国务院地质矿产主管部门授权省级地质矿产主管部门审批登记的矿产资源；</w:t>
            </w:r>
          </w:p>
          <w:p w14:paraId="405079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（五）依法可以边探边采的矿产资源。</w:t>
            </w:r>
          </w:p>
          <w:p w14:paraId="0494BB5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开采本条第一款规定以外的矿产储量规模为小型的矿产资源，由县级地质矿产主管部门审批登记，颁发采矿许可证。</w:t>
            </w:r>
          </w:p>
          <w:p w14:paraId="76620B4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矿区范围跨县级以上行政区域的，由所涉及行政区域的共同上一级地质矿产主管部门审批登记，颁发采矿许可证。</w:t>
            </w:r>
          </w:p>
          <w:p w14:paraId="1989080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第四十条：买卖、出租或者以其他任何形式转让矿产资源的，由地质矿产主管部门责令停止违法行为，没收违法所得，处以一万元以上十万元以下的罚款。</w:t>
            </w:r>
          </w:p>
        </w:tc>
        <w:tc>
          <w:tcPr>
            <w:tcW w:w="3585" w:type="dxa"/>
            <w:vAlign w:val="center"/>
          </w:tcPr>
          <w:p w14:paraId="7F67376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CBFAD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46EA9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B9C2EA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E299A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BA055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D7518F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EB445C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310C82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421CA7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FAAD0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BA463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F0DCC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3F0EF1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DBDCB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870AB2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F97F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3EA7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1D60F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5F4D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7BBDC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D2F8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A6B0C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D7D26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F7A5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C838A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8E0D0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E00AD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B40681B">
            <w:pPr>
              <w:snapToGrid w:val="0"/>
              <w:spacing w:line="240" w:lineRule="atLeast"/>
              <w:jc w:val="center"/>
              <w:rPr>
                <w:rFonts w:ascii="仿宋_GB2312" w:hAnsi="仿宋_GB2312" w:eastAsia="仿宋_GB2312" w:cs="仿宋_GB2312"/>
                <w:sz w:val="20"/>
                <w:szCs w:val="20"/>
              </w:rPr>
            </w:pPr>
          </w:p>
        </w:tc>
      </w:tr>
    </w:tbl>
    <w:p w14:paraId="3BFBFFE3"/>
    <w:p w14:paraId="57B67D63"/>
    <w:p w14:paraId="0AAF922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E42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5E4819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D78EB94">
            <w:pPr>
              <w:spacing w:line="240" w:lineRule="atLeast"/>
              <w:rPr>
                <w:rFonts w:asciiTheme="majorEastAsia" w:hAnsiTheme="majorEastAsia" w:eastAsiaTheme="majorEastAsia" w:cstheme="majorEastAsia"/>
                <w:spacing w:val="-20"/>
                <w:sz w:val="20"/>
                <w:szCs w:val="20"/>
              </w:rPr>
            </w:pPr>
          </w:p>
          <w:p w14:paraId="7A902A1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935B58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216519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46D73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D7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5E6C204">
            <w:pPr>
              <w:spacing w:line="240" w:lineRule="atLeast"/>
              <w:jc w:val="left"/>
              <w:rPr>
                <w:rFonts w:ascii="仿宋_GB2312" w:hAnsi="仿宋_GB2312" w:eastAsia="仿宋_GB2312" w:cs="仿宋_GB2312"/>
                <w:sz w:val="20"/>
                <w:szCs w:val="20"/>
              </w:rPr>
            </w:pPr>
          </w:p>
        </w:tc>
        <w:tc>
          <w:tcPr>
            <w:tcW w:w="555" w:type="dxa"/>
            <w:vMerge w:val="continue"/>
          </w:tcPr>
          <w:p w14:paraId="48AA070A">
            <w:pPr>
              <w:spacing w:line="240" w:lineRule="atLeast"/>
              <w:jc w:val="left"/>
              <w:rPr>
                <w:rFonts w:ascii="仿宋_GB2312" w:hAnsi="仿宋_GB2312" w:eastAsia="仿宋_GB2312" w:cs="仿宋_GB2312"/>
                <w:sz w:val="20"/>
                <w:szCs w:val="20"/>
              </w:rPr>
            </w:pPr>
          </w:p>
        </w:tc>
        <w:tc>
          <w:tcPr>
            <w:tcW w:w="784" w:type="dxa"/>
            <w:vAlign w:val="center"/>
          </w:tcPr>
          <w:p w14:paraId="0298FED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6D1EBB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83E95E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2948C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2F05C7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0690C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CDAB55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4A6B3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9B6C57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4929692">
            <w:pPr>
              <w:spacing w:line="240" w:lineRule="atLeast"/>
              <w:jc w:val="left"/>
              <w:rPr>
                <w:rFonts w:ascii="仿宋_GB2312" w:hAnsi="仿宋_GB2312" w:eastAsia="仿宋_GB2312" w:cs="仿宋_GB2312"/>
                <w:sz w:val="20"/>
                <w:szCs w:val="20"/>
              </w:rPr>
            </w:pPr>
          </w:p>
        </w:tc>
      </w:tr>
      <w:tr w14:paraId="5273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C0B5A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55</w:t>
            </w:r>
          </w:p>
        </w:tc>
        <w:tc>
          <w:tcPr>
            <w:tcW w:w="555" w:type="dxa"/>
            <w:vAlign w:val="center"/>
          </w:tcPr>
          <w:p w14:paraId="3F5913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B3B8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F8A69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041E18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对采取破坏性的开采方法开采矿产资源的处罚</w:t>
            </w:r>
          </w:p>
        </w:tc>
        <w:tc>
          <w:tcPr>
            <w:tcW w:w="660" w:type="dxa"/>
            <w:vAlign w:val="center"/>
          </w:tcPr>
          <w:p w14:paraId="703F7D22">
            <w:pPr>
              <w:snapToGrid w:val="0"/>
              <w:spacing w:line="240" w:lineRule="atLeast"/>
              <w:jc w:val="center"/>
              <w:rPr>
                <w:rFonts w:ascii="仿宋_GB2312" w:hAnsi="仿宋_GB2312" w:eastAsia="仿宋_GB2312" w:cs="仿宋_GB2312"/>
                <w:sz w:val="20"/>
                <w:szCs w:val="20"/>
              </w:rPr>
            </w:pPr>
          </w:p>
        </w:tc>
        <w:tc>
          <w:tcPr>
            <w:tcW w:w="615" w:type="dxa"/>
            <w:vAlign w:val="center"/>
          </w:tcPr>
          <w:p w14:paraId="1CA66F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5842C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C8A503F">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法律】《中华人民共和国矿产资源法》第四十四条：违反本法规定，采取破坏性的开采方法开采矿产资源的，处以罚款，可以吊销采矿许可证；造成矿产资源严重破坏的，依照刑法有关规定对直接责任人员追究刑事责任。</w:t>
            </w:r>
          </w:p>
          <w:p w14:paraId="28B86B58">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第四十五条：……第四十四条规定的行政处罚，由省、自治区、直辖市人民政府地质矿产主管部门决定。给予吊销勘查许可证或者采矿许可证处罚的，须由原发证机关决定。</w:t>
            </w:r>
          </w:p>
          <w:p w14:paraId="238628EC">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1D31B06C">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（六）采取破坏性的开采方法开采矿产资源，造成矿产资源严重破坏的，处以相当于矿产资源损失价值50%以下的罚款。</w:t>
            </w:r>
          </w:p>
        </w:tc>
        <w:tc>
          <w:tcPr>
            <w:tcW w:w="3585" w:type="dxa"/>
            <w:vAlign w:val="center"/>
          </w:tcPr>
          <w:p w14:paraId="474A3975">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1.立案阶段责任：接到举报或相关部门转送、巡查发现违法行为，及时予以审查，决定是否立案。下达《责令停止违法行为通知书》。</w:t>
            </w:r>
          </w:p>
          <w:p w14:paraId="2A647074">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C313997">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991F8AF">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B94DA1C">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5.决定阶段责任：制作行政处罚决定书，载明行政处罚告知、当事人陈述申辩或者听证情况等内容。符合刑事案件移送条件的，及时移送。</w:t>
            </w:r>
          </w:p>
          <w:p w14:paraId="18E5BCC7">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6.送达阶段责任：行政处罚决定书按法律规定的方式送达当事人。</w:t>
            </w:r>
          </w:p>
          <w:p w14:paraId="165E053D">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7.执行阶段责任：当事人履行处罚决定的，及时结案；未履行处罚决定，依照生效的行政处罚决定，按程序下达催缴（告）通知书和申请人民法院强制执行。</w:t>
            </w:r>
          </w:p>
          <w:p w14:paraId="7BE796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8.其他法律法规规章文件规定应履行的责任。</w:t>
            </w:r>
          </w:p>
        </w:tc>
        <w:tc>
          <w:tcPr>
            <w:tcW w:w="9515" w:type="dxa"/>
            <w:vAlign w:val="center"/>
          </w:tcPr>
          <w:p w14:paraId="5F5F66E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CE8CE4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C6E89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3D71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FA67D2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38698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366A8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3EDCE9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8D4A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2CD6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168C1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2D81D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4816A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16C6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ED213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04271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99FA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CE938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36A5C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D798C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6F9A738">
            <w:pPr>
              <w:snapToGrid w:val="0"/>
              <w:spacing w:line="240" w:lineRule="atLeast"/>
              <w:jc w:val="center"/>
              <w:rPr>
                <w:rFonts w:ascii="仿宋_GB2312" w:hAnsi="仿宋_GB2312" w:eastAsia="仿宋_GB2312" w:cs="仿宋_GB2312"/>
                <w:sz w:val="20"/>
                <w:szCs w:val="20"/>
              </w:rPr>
            </w:pPr>
          </w:p>
        </w:tc>
      </w:tr>
    </w:tbl>
    <w:p w14:paraId="6688AADC"/>
    <w:p w14:paraId="28265BED"/>
    <w:p w14:paraId="0E9D305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CF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D3CA2E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794495">
            <w:pPr>
              <w:spacing w:line="240" w:lineRule="atLeast"/>
              <w:rPr>
                <w:rFonts w:asciiTheme="majorEastAsia" w:hAnsiTheme="majorEastAsia" w:eastAsiaTheme="majorEastAsia" w:cstheme="majorEastAsia"/>
                <w:spacing w:val="-20"/>
                <w:sz w:val="20"/>
                <w:szCs w:val="20"/>
              </w:rPr>
            </w:pPr>
          </w:p>
          <w:p w14:paraId="424CF9D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3CF73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701E7D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2E775A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4B5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B5237CF">
            <w:pPr>
              <w:spacing w:line="240" w:lineRule="atLeast"/>
              <w:jc w:val="left"/>
              <w:rPr>
                <w:rFonts w:ascii="仿宋_GB2312" w:hAnsi="仿宋_GB2312" w:eastAsia="仿宋_GB2312" w:cs="仿宋_GB2312"/>
                <w:sz w:val="20"/>
                <w:szCs w:val="20"/>
              </w:rPr>
            </w:pPr>
          </w:p>
        </w:tc>
        <w:tc>
          <w:tcPr>
            <w:tcW w:w="555" w:type="dxa"/>
            <w:vMerge w:val="continue"/>
          </w:tcPr>
          <w:p w14:paraId="1A154034">
            <w:pPr>
              <w:spacing w:line="240" w:lineRule="atLeast"/>
              <w:jc w:val="left"/>
              <w:rPr>
                <w:rFonts w:ascii="仿宋_GB2312" w:hAnsi="仿宋_GB2312" w:eastAsia="仿宋_GB2312" w:cs="仿宋_GB2312"/>
                <w:sz w:val="20"/>
                <w:szCs w:val="20"/>
              </w:rPr>
            </w:pPr>
          </w:p>
        </w:tc>
        <w:tc>
          <w:tcPr>
            <w:tcW w:w="784" w:type="dxa"/>
            <w:vAlign w:val="center"/>
          </w:tcPr>
          <w:p w14:paraId="061595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CA8B70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45B4F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04697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105C0D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F20D8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88579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440D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9D754B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9A53C20">
            <w:pPr>
              <w:spacing w:line="240" w:lineRule="atLeast"/>
              <w:jc w:val="left"/>
              <w:rPr>
                <w:rFonts w:ascii="仿宋_GB2312" w:hAnsi="仿宋_GB2312" w:eastAsia="仿宋_GB2312" w:cs="仿宋_GB2312"/>
                <w:sz w:val="20"/>
                <w:szCs w:val="20"/>
              </w:rPr>
            </w:pPr>
          </w:p>
        </w:tc>
      </w:tr>
      <w:tr w14:paraId="5F97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824F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56</w:t>
            </w:r>
          </w:p>
        </w:tc>
        <w:tc>
          <w:tcPr>
            <w:tcW w:w="555" w:type="dxa"/>
            <w:vAlign w:val="center"/>
          </w:tcPr>
          <w:p w14:paraId="29BCCB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9299A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C16F5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E53C24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对非法用采矿权作抵押行为的处罚</w:t>
            </w:r>
          </w:p>
        </w:tc>
        <w:tc>
          <w:tcPr>
            <w:tcW w:w="660" w:type="dxa"/>
            <w:vAlign w:val="center"/>
          </w:tcPr>
          <w:p w14:paraId="0FD661D7">
            <w:pPr>
              <w:snapToGrid w:val="0"/>
              <w:spacing w:line="240" w:lineRule="atLeast"/>
              <w:jc w:val="center"/>
              <w:rPr>
                <w:rFonts w:ascii="仿宋_GB2312" w:hAnsi="仿宋_GB2312" w:eastAsia="仿宋_GB2312" w:cs="仿宋_GB2312"/>
                <w:sz w:val="20"/>
                <w:szCs w:val="20"/>
              </w:rPr>
            </w:pPr>
          </w:p>
        </w:tc>
        <w:tc>
          <w:tcPr>
            <w:tcW w:w="615" w:type="dxa"/>
            <w:vAlign w:val="center"/>
          </w:tcPr>
          <w:p w14:paraId="1CF641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1D4AF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AD77CE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14:paraId="43457D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7CAC052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八条：……设区的市人民政府、自治州人民政府和县级人民政府及其负责管理矿产资源的部门，依法对本级人民政府批准开办的国有矿山企业和本行政区域内的集体所有制矿山企业、私营矿山企业、个体采矿者以及在本行政区域内从事勘查施工的单位和个人进行监督管理，依法保护探矿权人、采矿权人的合法权益。</w:t>
            </w:r>
          </w:p>
          <w:p w14:paraId="5CBA5F4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上级地质矿产主管部门有权对下级地质矿产主管部门违法的或者不适当的矿产资源勘查、开采管理行政行为予以改变或者撤销。</w:t>
            </w:r>
          </w:p>
          <w:p w14:paraId="2538251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第四十二条：依照《矿产资源法》第三十九条、第四十条、第四十二条、第四十三条、第四十四条规定处以罚款的，分别按照下列规定执行：</w:t>
            </w:r>
          </w:p>
          <w:p w14:paraId="68A764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（四）非法用采矿权作抵押的，处以5000元以下的罚款。</w:t>
            </w:r>
          </w:p>
        </w:tc>
        <w:tc>
          <w:tcPr>
            <w:tcW w:w="3585" w:type="dxa"/>
            <w:vAlign w:val="center"/>
          </w:tcPr>
          <w:p w14:paraId="35271DE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438E1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C4534F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C604B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FDB03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4BABB2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3A389B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0F0C7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4A9077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6E72F1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60FC6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3C42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9C491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E7183C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6BE988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8B811B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19C6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D6F15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A495B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CFAC7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89A44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058E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87EF4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36080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9E032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71417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DED1E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D3E5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435FBCE">
            <w:pPr>
              <w:snapToGrid w:val="0"/>
              <w:spacing w:line="240" w:lineRule="atLeast"/>
              <w:jc w:val="center"/>
              <w:rPr>
                <w:rFonts w:ascii="仿宋_GB2312" w:hAnsi="仿宋_GB2312" w:eastAsia="仿宋_GB2312" w:cs="仿宋_GB2312"/>
                <w:sz w:val="20"/>
                <w:szCs w:val="20"/>
              </w:rPr>
            </w:pPr>
          </w:p>
        </w:tc>
      </w:tr>
    </w:tbl>
    <w:p w14:paraId="6DAC2309"/>
    <w:p w14:paraId="29C0107E"/>
    <w:p w14:paraId="5385DBE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CB0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B285F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CC42B5">
            <w:pPr>
              <w:spacing w:line="240" w:lineRule="atLeast"/>
              <w:rPr>
                <w:rFonts w:asciiTheme="majorEastAsia" w:hAnsiTheme="majorEastAsia" w:eastAsiaTheme="majorEastAsia" w:cstheme="majorEastAsia"/>
                <w:spacing w:val="-20"/>
                <w:sz w:val="20"/>
                <w:szCs w:val="20"/>
              </w:rPr>
            </w:pPr>
          </w:p>
          <w:p w14:paraId="0854259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F19E1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81873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E12D64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CA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D1CF636">
            <w:pPr>
              <w:spacing w:line="240" w:lineRule="atLeast"/>
              <w:jc w:val="left"/>
              <w:rPr>
                <w:rFonts w:ascii="仿宋_GB2312" w:hAnsi="仿宋_GB2312" w:eastAsia="仿宋_GB2312" w:cs="仿宋_GB2312"/>
                <w:sz w:val="20"/>
                <w:szCs w:val="20"/>
              </w:rPr>
            </w:pPr>
          </w:p>
        </w:tc>
        <w:tc>
          <w:tcPr>
            <w:tcW w:w="555" w:type="dxa"/>
            <w:vMerge w:val="continue"/>
          </w:tcPr>
          <w:p w14:paraId="6F141F8B">
            <w:pPr>
              <w:spacing w:line="240" w:lineRule="atLeast"/>
              <w:jc w:val="left"/>
              <w:rPr>
                <w:rFonts w:ascii="仿宋_GB2312" w:hAnsi="仿宋_GB2312" w:eastAsia="仿宋_GB2312" w:cs="仿宋_GB2312"/>
                <w:sz w:val="20"/>
                <w:szCs w:val="20"/>
              </w:rPr>
            </w:pPr>
          </w:p>
        </w:tc>
        <w:tc>
          <w:tcPr>
            <w:tcW w:w="784" w:type="dxa"/>
            <w:vAlign w:val="center"/>
          </w:tcPr>
          <w:p w14:paraId="42834C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0C556A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56005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B2DA18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0AF573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5AE68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8B7DA5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20F1A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2D7C34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49952E1">
            <w:pPr>
              <w:spacing w:line="240" w:lineRule="atLeast"/>
              <w:jc w:val="left"/>
              <w:rPr>
                <w:rFonts w:ascii="仿宋_GB2312" w:hAnsi="仿宋_GB2312" w:eastAsia="仿宋_GB2312" w:cs="仿宋_GB2312"/>
                <w:sz w:val="20"/>
                <w:szCs w:val="20"/>
              </w:rPr>
            </w:pPr>
          </w:p>
        </w:tc>
      </w:tr>
      <w:tr w14:paraId="1B5B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B5DE4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57</w:t>
            </w:r>
          </w:p>
        </w:tc>
        <w:tc>
          <w:tcPr>
            <w:tcW w:w="555" w:type="dxa"/>
            <w:vAlign w:val="center"/>
          </w:tcPr>
          <w:p w14:paraId="547CA8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F4702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A34D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62D313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对未经批准擅自转让探矿权、采矿权行为的处罚</w:t>
            </w:r>
          </w:p>
        </w:tc>
        <w:tc>
          <w:tcPr>
            <w:tcW w:w="660" w:type="dxa"/>
            <w:vAlign w:val="center"/>
          </w:tcPr>
          <w:p w14:paraId="68D9C19A">
            <w:pPr>
              <w:snapToGrid w:val="0"/>
              <w:spacing w:line="240" w:lineRule="atLeast"/>
              <w:jc w:val="center"/>
              <w:rPr>
                <w:rFonts w:ascii="仿宋_GB2312" w:hAnsi="仿宋_GB2312" w:eastAsia="仿宋_GB2312" w:cs="仿宋_GB2312"/>
                <w:sz w:val="20"/>
                <w:szCs w:val="20"/>
              </w:rPr>
            </w:pPr>
          </w:p>
        </w:tc>
        <w:tc>
          <w:tcPr>
            <w:tcW w:w="615" w:type="dxa"/>
            <w:vAlign w:val="center"/>
          </w:tcPr>
          <w:p w14:paraId="6E1740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AFC9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E557BB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探矿权采矿权转让管理办法》（1998年国务院令第242号公布，2014年国务院令第653号修订）第十四条：未经审批管理机关批准，擅自转让探矿权、采矿权的，由登记管理机关责令改正，没收违法所得，处10万元以下的罚款；情节严重的，由原发证机关吊销勘查许可证、采矿许可证。</w:t>
            </w:r>
          </w:p>
          <w:p w14:paraId="17F05F4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第四条：国务院地质矿产主管部门和省、自治区、直辖市人民政府地质矿产主管部门是探矿权、采矿权转让的审批管理机关。</w:t>
            </w:r>
          </w:p>
          <w:p w14:paraId="22EFDA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国务院地质矿产主管部门负责由其审批发证的探矿权、采矿权转让的审批。</w:t>
            </w:r>
          </w:p>
          <w:p w14:paraId="3C81545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省、自治区、直辖市人民政府地质矿产主管部门负责本条第二款规定以外的探矿权、采矿权转让的审批。</w:t>
            </w:r>
          </w:p>
          <w:p w14:paraId="47D591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2.【规范性文件】《国务院关于第六批取消和调整行政审批项目的决定》（国发〔2012〕52号）附件2　国务院决定调整的行政审批项目目录（143项）（一）下放管理层级的行政审批项目（117项）第13项将“市县级人民政府地质矿产主管部门审批的采矿权的转让审批”由“省级人民政府地质矿产主管部门”下放“设区的市级、县级人民政府地质矿产主管部门”。</w:t>
            </w:r>
          </w:p>
        </w:tc>
        <w:tc>
          <w:tcPr>
            <w:tcW w:w="3585" w:type="dxa"/>
            <w:vAlign w:val="center"/>
          </w:tcPr>
          <w:p w14:paraId="5ECDD7C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4B1A7B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D1D72A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A36C69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285632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D08E32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959E8F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8E1E2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1D1675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8DA439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030F6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1FE0D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66C32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0B90A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DA9C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5E610D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CB321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A1819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5AAF8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C3A28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0B5A6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48FB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43587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F629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46CF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124B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ADDCE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CCD6C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E0368D8">
            <w:pPr>
              <w:snapToGrid w:val="0"/>
              <w:spacing w:line="240" w:lineRule="atLeast"/>
              <w:jc w:val="center"/>
              <w:rPr>
                <w:rFonts w:ascii="仿宋_GB2312" w:hAnsi="仿宋_GB2312" w:eastAsia="仿宋_GB2312" w:cs="仿宋_GB2312"/>
                <w:sz w:val="20"/>
                <w:szCs w:val="20"/>
              </w:rPr>
            </w:pPr>
          </w:p>
        </w:tc>
      </w:tr>
    </w:tbl>
    <w:p w14:paraId="5D6510CB"/>
    <w:p w14:paraId="2EDF084E"/>
    <w:p w14:paraId="4368BA4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14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6F22B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8A3E9EF">
            <w:pPr>
              <w:spacing w:line="240" w:lineRule="atLeast"/>
              <w:rPr>
                <w:rFonts w:asciiTheme="majorEastAsia" w:hAnsiTheme="majorEastAsia" w:eastAsiaTheme="majorEastAsia" w:cstheme="majorEastAsia"/>
                <w:spacing w:val="-20"/>
                <w:sz w:val="20"/>
                <w:szCs w:val="20"/>
              </w:rPr>
            </w:pPr>
          </w:p>
          <w:p w14:paraId="19D3055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7D342F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D484D1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47DE22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5C0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1DA618">
            <w:pPr>
              <w:spacing w:line="240" w:lineRule="atLeast"/>
              <w:jc w:val="left"/>
              <w:rPr>
                <w:rFonts w:ascii="仿宋_GB2312" w:hAnsi="仿宋_GB2312" w:eastAsia="仿宋_GB2312" w:cs="仿宋_GB2312"/>
                <w:sz w:val="20"/>
                <w:szCs w:val="20"/>
              </w:rPr>
            </w:pPr>
          </w:p>
        </w:tc>
        <w:tc>
          <w:tcPr>
            <w:tcW w:w="555" w:type="dxa"/>
            <w:vMerge w:val="continue"/>
          </w:tcPr>
          <w:p w14:paraId="63147141">
            <w:pPr>
              <w:spacing w:line="240" w:lineRule="atLeast"/>
              <w:jc w:val="left"/>
              <w:rPr>
                <w:rFonts w:ascii="仿宋_GB2312" w:hAnsi="仿宋_GB2312" w:eastAsia="仿宋_GB2312" w:cs="仿宋_GB2312"/>
                <w:sz w:val="20"/>
                <w:szCs w:val="20"/>
              </w:rPr>
            </w:pPr>
          </w:p>
        </w:tc>
        <w:tc>
          <w:tcPr>
            <w:tcW w:w="784" w:type="dxa"/>
            <w:vAlign w:val="center"/>
          </w:tcPr>
          <w:p w14:paraId="7CDBFC6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D092B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D6EC1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F0A93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3902CC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2F41E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D99D55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7BEAE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C5B699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D42E064">
            <w:pPr>
              <w:spacing w:line="240" w:lineRule="atLeast"/>
              <w:jc w:val="left"/>
              <w:rPr>
                <w:rFonts w:ascii="仿宋_GB2312" w:hAnsi="仿宋_GB2312" w:eastAsia="仿宋_GB2312" w:cs="仿宋_GB2312"/>
                <w:sz w:val="20"/>
                <w:szCs w:val="20"/>
              </w:rPr>
            </w:pPr>
          </w:p>
        </w:tc>
      </w:tr>
      <w:tr w14:paraId="2A80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98358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58</w:t>
            </w:r>
          </w:p>
        </w:tc>
        <w:tc>
          <w:tcPr>
            <w:tcW w:w="555" w:type="dxa"/>
            <w:vAlign w:val="center"/>
          </w:tcPr>
          <w:p w14:paraId="130930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1879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F54D6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975C4D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对未取得勘查许可证擅自进行勘查工作的，超越批准的勘查区块范围进行勘查工作行为的处罚</w:t>
            </w:r>
          </w:p>
        </w:tc>
        <w:tc>
          <w:tcPr>
            <w:tcW w:w="660" w:type="dxa"/>
            <w:vAlign w:val="center"/>
          </w:tcPr>
          <w:p w14:paraId="5CC20070">
            <w:pPr>
              <w:snapToGrid w:val="0"/>
              <w:spacing w:line="240" w:lineRule="atLeast"/>
              <w:jc w:val="center"/>
              <w:rPr>
                <w:rFonts w:ascii="仿宋_GB2312" w:hAnsi="仿宋_GB2312" w:eastAsia="仿宋_GB2312" w:cs="仿宋_GB2312"/>
                <w:sz w:val="20"/>
                <w:szCs w:val="20"/>
              </w:rPr>
            </w:pPr>
          </w:p>
        </w:tc>
        <w:tc>
          <w:tcPr>
            <w:tcW w:w="615" w:type="dxa"/>
            <w:vAlign w:val="center"/>
          </w:tcPr>
          <w:p w14:paraId="74BD4A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2390D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719044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六条：违反本办法规定，未取得勘查许可证擅自进行勘查工作的，超越批准的勘查区块范围进行勘查工作的，由县级以上人民政府负责地质矿产管理工作的部门按照国务院地质矿产主管部门规定的权限，责令停止违法行为，予以警告，可以并处10万元以下的罚款。</w:t>
            </w:r>
          </w:p>
        </w:tc>
        <w:tc>
          <w:tcPr>
            <w:tcW w:w="3585" w:type="dxa"/>
            <w:vAlign w:val="center"/>
          </w:tcPr>
          <w:p w14:paraId="78ECD9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139AB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C7F8F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2A5DD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88F68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D2B41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E1EB3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177D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B853AF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BC7F2D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3C28B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1E42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4AB3E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CD9F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2459D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83F611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67F39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9CD9B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A0D40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7D548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AEC6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D2CF3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8A3B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6F77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CB89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AF3CD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13F7E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622D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CBE4000">
            <w:pPr>
              <w:snapToGrid w:val="0"/>
              <w:spacing w:line="240" w:lineRule="atLeast"/>
              <w:jc w:val="center"/>
              <w:rPr>
                <w:rFonts w:ascii="仿宋_GB2312" w:hAnsi="仿宋_GB2312" w:eastAsia="仿宋_GB2312" w:cs="仿宋_GB2312"/>
                <w:sz w:val="20"/>
                <w:szCs w:val="20"/>
              </w:rPr>
            </w:pPr>
          </w:p>
        </w:tc>
      </w:tr>
    </w:tbl>
    <w:p w14:paraId="64C42262"/>
    <w:p w14:paraId="24E3F81E"/>
    <w:p w14:paraId="3355AC9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823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C7754A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F0C060">
            <w:pPr>
              <w:spacing w:line="240" w:lineRule="atLeast"/>
              <w:rPr>
                <w:rFonts w:asciiTheme="majorEastAsia" w:hAnsiTheme="majorEastAsia" w:eastAsiaTheme="majorEastAsia" w:cstheme="majorEastAsia"/>
                <w:spacing w:val="-20"/>
                <w:sz w:val="20"/>
                <w:szCs w:val="20"/>
              </w:rPr>
            </w:pPr>
          </w:p>
          <w:p w14:paraId="54C2808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858AE8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415FB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B57405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80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D91A12">
            <w:pPr>
              <w:spacing w:line="240" w:lineRule="atLeast"/>
              <w:jc w:val="left"/>
              <w:rPr>
                <w:rFonts w:ascii="仿宋_GB2312" w:hAnsi="仿宋_GB2312" w:eastAsia="仿宋_GB2312" w:cs="仿宋_GB2312"/>
                <w:sz w:val="20"/>
                <w:szCs w:val="20"/>
              </w:rPr>
            </w:pPr>
          </w:p>
        </w:tc>
        <w:tc>
          <w:tcPr>
            <w:tcW w:w="555" w:type="dxa"/>
            <w:vMerge w:val="continue"/>
          </w:tcPr>
          <w:p w14:paraId="3B5E4E8A">
            <w:pPr>
              <w:spacing w:line="240" w:lineRule="atLeast"/>
              <w:jc w:val="left"/>
              <w:rPr>
                <w:rFonts w:ascii="仿宋_GB2312" w:hAnsi="仿宋_GB2312" w:eastAsia="仿宋_GB2312" w:cs="仿宋_GB2312"/>
                <w:sz w:val="20"/>
                <w:szCs w:val="20"/>
              </w:rPr>
            </w:pPr>
          </w:p>
        </w:tc>
        <w:tc>
          <w:tcPr>
            <w:tcW w:w="784" w:type="dxa"/>
            <w:vAlign w:val="center"/>
          </w:tcPr>
          <w:p w14:paraId="56FAEB3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D8C7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677C9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0CA83D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75EF5A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357D9B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A8913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C2C8F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3FC8C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113641B">
            <w:pPr>
              <w:spacing w:line="240" w:lineRule="atLeast"/>
              <w:jc w:val="left"/>
              <w:rPr>
                <w:rFonts w:ascii="仿宋_GB2312" w:hAnsi="仿宋_GB2312" w:eastAsia="仿宋_GB2312" w:cs="仿宋_GB2312"/>
                <w:sz w:val="20"/>
                <w:szCs w:val="20"/>
              </w:rPr>
            </w:pPr>
          </w:p>
        </w:tc>
      </w:tr>
      <w:tr w14:paraId="033C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FB4BD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59</w:t>
            </w:r>
          </w:p>
        </w:tc>
        <w:tc>
          <w:tcPr>
            <w:tcW w:w="555" w:type="dxa"/>
            <w:vAlign w:val="center"/>
          </w:tcPr>
          <w:p w14:paraId="581322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32794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5C44B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F67C1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对未经批准擅自进行滚动勘探开发、边探边采或者试采行为的处罚</w:t>
            </w:r>
          </w:p>
        </w:tc>
        <w:tc>
          <w:tcPr>
            <w:tcW w:w="660" w:type="dxa"/>
            <w:vAlign w:val="center"/>
          </w:tcPr>
          <w:p w14:paraId="445C7E94">
            <w:pPr>
              <w:snapToGrid w:val="0"/>
              <w:spacing w:line="240" w:lineRule="atLeast"/>
              <w:jc w:val="center"/>
              <w:rPr>
                <w:rFonts w:ascii="仿宋_GB2312" w:hAnsi="仿宋_GB2312" w:eastAsia="仿宋_GB2312" w:cs="仿宋_GB2312"/>
                <w:sz w:val="20"/>
                <w:szCs w:val="20"/>
              </w:rPr>
            </w:pPr>
          </w:p>
        </w:tc>
        <w:tc>
          <w:tcPr>
            <w:tcW w:w="615" w:type="dxa"/>
            <w:vAlign w:val="center"/>
          </w:tcPr>
          <w:p w14:paraId="77AAEA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3DD7F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C6D813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七条：违反本办法规定，未经批准，擅自进行滚动勘探开发、边探边采或者试采的，由县级以上人民政府负责地质矿产管理工作的部门按照国务院地质矿产主管部门规定的权限，责令停止违法行为，予以警告，没收违法所得，可以并处10万元以下的罚款。</w:t>
            </w:r>
          </w:p>
        </w:tc>
        <w:tc>
          <w:tcPr>
            <w:tcW w:w="3585" w:type="dxa"/>
            <w:vAlign w:val="center"/>
          </w:tcPr>
          <w:p w14:paraId="0019F7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7C5D5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2AA2F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9C712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9C0BB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46903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7F2DD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33077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1EEC28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0F2769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4C707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3C42D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18E9D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98D15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77F6C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1B01B6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9C522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900C8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ED76A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5347B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3D055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B438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3E864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42282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47C1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C14F0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CA3D1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34550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4C896DC">
            <w:pPr>
              <w:snapToGrid w:val="0"/>
              <w:spacing w:line="240" w:lineRule="atLeast"/>
              <w:jc w:val="center"/>
              <w:rPr>
                <w:rFonts w:ascii="仿宋_GB2312" w:hAnsi="仿宋_GB2312" w:eastAsia="仿宋_GB2312" w:cs="仿宋_GB2312"/>
                <w:sz w:val="20"/>
                <w:szCs w:val="20"/>
              </w:rPr>
            </w:pPr>
          </w:p>
        </w:tc>
      </w:tr>
    </w:tbl>
    <w:p w14:paraId="793CB518"/>
    <w:p w14:paraId="52415BDC"/>
    <w:p w14:paraId="1BC1483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5DB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DFC5D7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D8E3F2B">
            <w:pPr>
              <w:spacing w:line="240" w:lineRule="atLeast"/>
              <w:rPr>
                <w:rFonts w:asciiTheme="majorEastAsia" w:hAnsiTheme="majorEastAsia" w:eastAsiaTheme="majorEastAsia" w:cstheme="majorEastAsia"/>
                <w:spacing w:val="-20"/>
                <w:sz w:val="20"/>
                <w:szCs w:val="20"/>
              </w:rPr>
            </w:pPr>
          </w:p>
          <w:p w14:paraId="6791531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CFC30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DBA57F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EFAE7F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2AC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E80DE7">
            <w:pPr>
              <w:spacing w:line="240" w:lineRule="atLeast"/>
              <w:jc w:val="left"/>
              <w:rPr>
                <w:rFonts w:ascii="仿宋_GB2312" w:hAnsi="仿宋_GB2312" w:eastAsia="仿宋_GB2312" w:cs="仿宋_GB2312"/>
                <w:sz w:val="20"/>
                <w:szCs w:val="20"/>
              </w:rPr>
            </w:pPr>
          </w:p>
        </w:tc>
        <w:tc>
          <w:tcPr>
            <w:tcW w:w="555" w:type="dxa"/>
            <w:vMerge w:val="continue"/>
          </w:tcPr>
          <w:p w14:paraId="6EF68E58">
            <w:pPr>
              <w:spacing w:line="240" w:lineRule="atLeast"/>
              <w:jc w:val="left"/>
              <w:rPr>
                <w:rFonts w:ascii="仿宋_GB2312" w:hAnsi="仿宋_GB2312" w:eastAsia="仿宋_GB2312" w:cs="仿宋_GB2312"/>
                <w:sz w:val="20"/>
                <w:szCs w:val="20"/>
              </w:rPr>
            </w:pPr>
          </w:p>
        </w:tc>
        <w:tc>
          <w:tcPr>
            <w:tcW w:w="784" w:type="dxa"/>
            <w:vAlign w:val="center"/>
          </w:tcPr>
          <w:p w14:paraId="3CB310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401E2C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29D5FA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1441B4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631275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350DA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C5600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5B95E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8506AC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A7E820C">
            <w:pPr>
              <w:spacing w:line="240" w:lineRule="atLeast"/>
              <w:jc w:val="left"/>
              <w:rPr>
                <w:rFonts w:ascii="仿宋_GB2312" w:hAnsi="仿宋_GB2312" w:eastAsia="仿宋_GB2312" w:cs="仿宋_GB2312"/>
                <w:sz w:val="20"/>
                <w:szCs w:val="20"/>
              </w:rPr>
            </w:pPr>
          </w:p>
        </w:tc>
      </w:tr>
      <w:tr w14:paraId="527A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F23AE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60</w:t>
            </w:r>
          </w:p>
        </w:tc>
        <w:tc>
          <w:tcPr>
            <w:tcW w:w="555" w:type="dxa"/>
            <w:vAlign w:val="center"/>
          </w:tcPr>
          <w:p w14:paraId="08B6C0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9970D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5C4E1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C5D19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对擅自印制或者伪造、冒用勘查许可证行为的处罚</w:t>
            </w:r>
          </w:p>
        </w:tc>
        <w:tc>
          <w:tcPr>
            <w:tcW w:w="660" w:type="dxa"/>
            <w:vAlign w:val="center"/>
          </w:tcPr>
          <w:p w14:paraId="01B88576">
            <w:pPr>
              <w:snapToGrid w:val="0"/>
              <w:spacing w:line="240" w:lineRule="atLeast"/>
              <w:jc w:val="center"/>
              <w:rPr>
                <w:rFonts w:ascii="仿宋_GB2312" w:hAnsi="仿宋_GB2312" w:eastAsia="仿宋_GB2312" w:cs="仿宋_GB2312"/>
                <w:sz w:val="20"/>
                <w:szCs w:val="20"/>
              </w:rPr>
            </w:pPr>
          </w:p>
        </w:tc>
        <w:tc>
          <w:tcPr>
            <w:tcW w:w="615" w:type="dxa"/>
            <w:vAlign w:val="center"/>
          </w:tcPr>
          <w:p w14:paraId="27D180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9DB9A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7AD7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【行政法规】《矿产资源勘查区块登记管理办法》（</w:t>
            </w:r>
            <w:r>
              <w:rPr>
                <w:rFonts w:hint="eastAsia" w:eastAsia="仿宋_GB2312"/>
                <w:snapToGrid w:val="0"/>
                <w:color w:val="000000"/>
                <w:sz w:val="20"/>
                <w:szCs w:val="20"/>
              </w:rPr>
              <w:t>1998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240</w:t>
            </w:r>
            <w:r>
              <w:rPr>
                <w:rFonts w:hint="eastAsia" w:eastAsia="仿宋_GB2312" w:cs="宋体"/>
                <w:snapToGrid w:val="0"/>
                <w:color w:val="000000"/>
                <w:sz w:val="20"/>
                <w:szCs w:val="20"/>
              </w:rPr>
              <w:t>号公布，</w:t>
            </w:r>
            <w:r>
              <w:rPr>
                <w:rFonts w:hint="eastAsia" w:eastAsia="仿宋_GB2312"/>
                <w:snapToGrid w:val="0"/>
                <w:color w:val="000000"/>
                <w:sz w:val="20"/>
                <w:szCs w:val="20"/>
              </w:rPr>
              <w:t>2014</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653</w:t>
            </w:r>
            <w:r>
              <w:rPr>
                <w:rFonts w:hint="eastAsia" w:eastAsia="仿宋_GB2312" w:cs="宋体"/>
                <w:snapToGrid w:val="0"/>
                <w:color w:val="000000"/>
                <w:sz w:val="20"/>
                <w:szCs w:val="20"/>
              </w:rPr>
              <w:t>号修订）第二十八条：违反本办法规定，擅自印制或者伪造、冒用勘查许可证的，由县级以上人民政府负责地质矿产管理工作的部门按照国务院地质矿产主管部门规定的权限，没收违法所得，可以并处</w:t>
            </w:r>
            <w:r>
              <w:rPr>
                <w:rFonts w:hint="eastAsia" w:eastAsia="仿宋_GB2312"/>
                <w:snapToGrid w:val="0"/>
                <w:color w:val="000000"/>
                <w:sz w:val="20"/>
                <w:szCs w:val="20"/>
              </w:rPr>
              <w:t>10</w:t>
            </w:r>
            <w:r>
              <w:rPr>
                <w:rFonts w:hint="eastAsia" w:eastAsia="仿宋_GB2312" w:cs="宋体"/>
                <w:snapToGrid w:val="0"/>
                <w:color w:val="000000"/>
                <w:sz w:val="20"/>
                <w:szCs w:val="20"/>
              </w:rPr>
              <w:t>万元以下的罚款；构成犯罪的，依法追究刑事责任。</w:t>
            </w:r>
          </w:p>
        </w:tc>
        <w:tc>
          <w:tcPr>
            <w:tcW w:w="3585" w:type="dxa"/>
            <w:vAlign w:val="center"/>
          </w:tcPr>
          <w:p w14:paraId="728B77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6B508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041B3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8F5DB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6E499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92BC1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F7FE5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AF17D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77D725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7AEA8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5774C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C9A0F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1A4B7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C0DA5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FBC66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BC96D0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5D020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E38FC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04F8B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0F403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0886A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FB67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0DD43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2ADF9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0E359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42744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29BE6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7592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9F9A3A7">
            <w:pPr>
              <w:snapToGrid w:val="0"/>
              <w:spacing w:line="240" w:lineRule="atLeast"/>
              <w:jc w:val="center"/>
              <w:rPr>
                <w:rFonts w:ascii="仿宋_GB2312" w:hAnsi="仿宋_GB2312" w:eastAsia="仿宋_GB2312" w:cs="仿宋_GB2312"/>
                <w:sz w:val="20"/>
                <w:szCs w:val="20"/>
              </w:rPr>
            </w:pPr>
          </w:p>
        </w:tc>
      </w:tr>
    </w:tbl>
    <w:p w14:paraId="138AFA02"/>
    <w:p w14:paraId="79DD8FC0"/>
    <w:p w14:paraId="6B9932D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F89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535ECB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CB7137">
            <w:pPr>
              <w:spacing w:line="240" w:lineRule="atLeast"/>
              <w:rPr>
                <w:rFonts w:asciiTheme="majorEastAsia" w:hAnsiTheme="majorEastAsia" w:eastAsiaTheme="majorEastAsia" w:cstheme="majorEastAsia"/>
                <w:spacing w:val="-20"/>
                <w:sz w:val="20"/>
                <w:szCs w:val="20"/>
              </w:rPr>
            </w:pPr>
          </w:p>
          <w:p w14:paraId="0E04644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48CEB1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CD5B94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31053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32C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D722C33">
            <w:pPr>
              <w:spacing w:line="240" w:lineRule="atLeast"/>
              <w:jc w:val="left"/>
              <w:rPr>
                <w:rFonts w:ascii="仿宋_GB2312" w:hAnsi="仿宋_GB2312" w:eastAsia="仿宋_GB2312" w:cs="仿宋_GB2312"/>
                <w:sz w:val="20"/>
                <w:szCs w:val="20"/>
              </w:rPr>
            </w:pPr>
          </w:p>
        </w:tc>
        <w:tc>
          <w:tcPr>
            <w:tcW w:w="555" w:type="dxa"/>
            <w:vMerge w:val="continue"/>
          </w:tcPr>
          <w:p w14:paraId="742751FE">
            <w:pPr>
              <w:spacing w:line="240" w:lineRule="atLeast"/>
              <w:jc w:val="left"/>
              <w:rPr>
                <w:rFonts w:ascii="仿宋_GB2312" w:hAnsi="仿宋_GB2312" w:eastAsia="仿宋_GB2312" w:cs="仿宋_GB2312"/>
                <w:sz w:val="20"/>
                <w:szCs w:val="20"/>
              </w:rPr>
            </w:pPr>
          </w:p>
        </w:tc>
        <w:tc>
          <w:tcPr>
            <w:tcW w:w="784" w:type="dxa"/>
            <w:vAlign w:val="center"/>
          </w:tcPr>
          <w:p w14:paraId="4044459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A3BEDB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B2EA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A1A178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BABCF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331FB2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B50389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2873D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044C2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83E694C">
            <w:pPr>
              <w:spacing w:line="240" w:lineRule="atLeast"/>
              <w:jc w:val="left"/>
              <w:rPr>
                <w:rFonts w:ascii="仿宋_GB2312" w:hAnsi="仿宋_GB2312" w:eastAsia="仿宋_GB2312" w:cs="仿宋_GB2312"/>
                <w:sz w:val="20"/>
                <w:szCs w:val="20"/>
              </w:rPr>
            </w:pPr>
          </w:p>
        </w:tc>
      </w:tr>
      <w:tr w14:paraId="21B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06FDF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61</w:t>
            </w:r>
          </w:p>
        </w:tc>
        <w:tc>
          <w:tcPr>
            <w:tcW w:w="555" w:type="dxa"/>
            <w:vAlign w:val="center"/>
          </w:tcPr>
          <w:p w14:paraId="2513A8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B26EA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30A04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790D55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对不按照《矿产资源勘查区块登记管理办法》的规定备案、报告有关情况、拒绝接受监督检查或者弄虚作假行为的处罚</w:t>
            </w:r>
          </w:p>
        </w:tc>
        <w:tc>
          <w:tcPr>
            <w:tcW w:w="660" w:type="dxa"/>
            <w:vAlign w:val="center"/>
          </w:tcPr>
          <w:p w14:paraId="5332EEB0">
            <w:pPr>
              <w:snapToGrid w:val="0"/>
              <w:spacing w:line="240" w:lineRule="atLeast"/>
              <w:jc w:val="center"/>
              <w:rPr>
                <w:rFonts w:ascii="仿宋_GB2312" w:hAnsi="仿宋_GB2312" w:eastAsia="仿宋_GB2312" w:cs="仿宋_GB2312"/>
                <w:sz w:val="20"/>
                <w:szCs w:val="20"/>
              </w:rPr>
            </w:pPr>
          </w:p>
        </w:tc>
        <w:tc>
          <w:tcPr>
            <w:tcW w:w="615" w:type="dxa"/>
            <w:vAlign w:val="center"/>
          </w:tcPr>
          <w:p w14:paraId="2415E0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17048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6A551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191773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（一）不按照本办法的规定备案、报告有关情况、拒绝接受监督检查或者弄虚作假的。</w:t>
            </w:r>
          </w:p>
        </w:tc>
        <w:tc>
          <w:tcPr>
            <w:tcW w:w="3585" w:type="dxa"/>
            <w:vAlign w:val="center"/>
          </w:tcPr>
          <w:p w14:paraId="3282E5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6F34C8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CC7A7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D139B8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A36F1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3162C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7989E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E1CD1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2CEB9FF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8147B5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73CF5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6B9D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D5C3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59D0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4FA4A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72BE2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34EC7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C9D03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7BF43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4AC16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FAE06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F2E6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90945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E4B82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A58C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9B004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89EC2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F734E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A22D70A">
            <w:pPr>
              <w:snapToGrid w:val="0"/>
              <w:spacing w:line="240" w:lineRule="atLeast"/>
              <w:jc w:val="center"/>
              <w:rPr>
                <w:rFonts w:ascii="仿宋_GB2312" w:hAnsi="仿宋_GB2312" w:eastAsia="仿宋_GB2312" w:cs="仿宋_GB2312"/>
                <w:sz w:val="20"/>
                <w:szCs w:val="20"/>
              </w:rPr>
            </w:pPr>
          </w:p>
        </w:tc>
      </w:tr>
    </w:tbl>
    <w:p w14:paraId="5B2D4131"/>
    <w:p w14:paraId="32D1427B"/>
    <w:p w14:paraId="3C1C69D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CCB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93164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9F2DB24">
            <w:pPr>
              <w:spacing w:line="240" w:lineRule="atLeast"/>
              <w:rPr>
                <w:rFonts w:asciiTheme="majorEastAsia" w:hAnsiTheme="majorEastAsia" w:eastAsiaTheme="majorEastAsia" w:cstheme="majorEastAsia"/>
                <w:spacing w:val="-20"/>
                <w:sz w:val="20"/>
                <w:szCs w:val="20"/>
              </w:rPr>
            </w:pPr>
          </w:p>
          <w:p w14:paraId="5217D91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886AC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B21CE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1FA12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4F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733C7D">
            <w:pPr>
              <w:spacing w:line="240" w:lineRule="atLeast"/>
              <w:jc w:val="left"/>
              <w:rPr>
                <w:rFonts w:ascii="仿宋_GB2312" w:hAnsi="仿宋_GB2312" w:eastAsia="仿宋_GB2312" w:cs="仿宋_GB2312"/>
                <w:sz w:val="20"/>
                <w:szCs w:val="20"/>
              </w:rPr>
            </w:pPr>
          </w:p>
        </w:tc>
        <w:tc>
          <w:tcPr>
            <w:tcW w:w="555" w:type="dxa"/>
            <w:vMerge w:val="continue"/>
          </w:tcPr>
          <w:p w14:paraId="1880794D">
            <w:pPr>
              <w:spacing w:line="240" w:lineRule="atLeast"/>
              <w:jc w:val="left"/>
              <w:rPr>
                <w:rFonts w:ascii="仿宋_GB2312" w:hAnsi="仿宋_GB2312" w:eastAsia="仿宋_GB2312" w:cs="仿宋_GB2312"/>
                <w:sz w:val="20"/>
                <w:szCs w:val="20"/>
              </w:rPr>
            </w:pPr>
          </w:p>
        </w:tc>
        <w:tc>
          <w:tcPr>
            <w:tcW w:w="784" w:type="dxa"/>
            <w:vAlign w:val="center"/>
          </w:tcPr>
          <w:p w14:paraId="1F0D438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329401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852456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95E45E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DC54EC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A978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26AF69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4FC51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546D2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4DE0C2">
            <w:pPr>
              <w:spacing w:line="240" w:lineRule="atLeast"/>
              <w:jc w:val="left"/>
              <w:rPr>
                <w:rFonts w:ascii="仿宋_GB2312" w:hAnsi="仿宋_GB2312" w:eastAsia="仿宋_GB2312" w:cs="仿宋_GB2312"/>
                <w:sz w:val="20"/>
                <w:szCs w:val="20"/>
              </w:rPr>
            </w:pPr>
          </w:p>
        </w:tc>
      </w:tr>
      <w:tr w14:paraId="5728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C7C6F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62</w:t>
            </w:r>
          </w:p>
        </w:tc>
        <w:tc>
          <w:tcPr>
            <w:tcW w:w="555" w:type="dxa"/>
            <w:vAlign w:val="center"/>
          </w:tcPr>
          <w:p w14:paraId="774DF3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23BF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16C5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6B7F6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对未完成最低勘查投入行为的处罚</w:t>
            </w:r>
          </w:p>
        </w:tc>
        <w:tc>
          <w:tcPr>
            <w:tcW w:w="660" w:type="dxa"/>
            <w:vAlign w:val="center"/>
          </w:tcPr>
          <w:p w14:paraId="13482146">
            <w:pPr>
              <w:snapToGrid w:val="0"/>
              <w:spacing w:line="240" w:lineRule="atLeast"/>
              <w:jc w:val="center"/>
              <w:rPr>
                <w:rFonts w:ascii="仿宋_GB2312" w:hAnsi="仿宋_GB2312" w:eastAsia="仿宋_GB2312" w:cs="仿宋_GB2312"/>
                <w:sz w:val="20"/>
                <w:szCs w:val="20"/>
              </w:rPr>
            </w:pPr>
          </w:p>
        </w:tc>
        <w:tc>
          <w:tcPr>
            <w:tcW w:w="615" w:type="dxa"/>
            <w:vAlign w:val="center"/>
          </w:tcPr>
          <w:p w14:paraId="62B081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EDC9F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15D34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4E177B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（二）未完成最低勘查投入的。</w:t>
            </w:r>
          </w:p>
        </w:tc>
        <w:tc>
          <w:tcPr>
            <w:tcW w:w="3585" w:type="dxa"/>
            <w:vAlign w:val="center"/>
          </w:tcPr>
          <w:p w14:paraId="318F43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6A0511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3CFC2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D4DB5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632BE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CE88F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1F927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56E13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58A16EB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C3EEEA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32648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DF255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8532B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5F86D6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210783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81EA0C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337BE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933B3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264B0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20CCC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042BA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89F3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58E5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FFE8D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DB51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4A733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825E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7C462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F39DE85">
            <w:pPr>
              <w:snapToGrid w:val="0"/>
              <w:spacing w:line="240" w:lineRule="atLeast"/>
              <w:jc w:val="center"/>
              <w:rPr>
                <w:rFonts w:ascii="仿宋_GB2312" w:hAnsi="仿宋_GB2312" w:eastAsia="仿宋_GB2312" w:cs="仿宋_GB2312"/>
                <w:sz w:val="20"/>
                <w:szCs w:val="20"/>
              </w:rPr>
            </w:pPr>
          </w:p>
        </w:tc>
      </w:tr>
    </w:tbl>
    <w:p w14:paraId="2158D0F7"/>
    <w:p w14:paraId="27832188"/>
    <w:p w14:paraId="7FD91F2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EED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3F1CEB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C495B83">
            <w:pPr>
              <w:spacing w:line="240" w:lineRule="atLeast"/>
              <w:rPr>
                <w:rFonts w:asciiTheme="majorEastAsia" w:hAnsiTheme="majorEastAsia" w:eastAsiaTheme="majorEastAsia" w:cstheme="majorEastAsia"/>
                <w:spacing w:val="-20"/>
                <w:sz w:val="20"/>
                <w:szCs w:val="20"/>
              </w:rPr>
            </w:pPr>
          </w:p>
          <w:p w14:paraId="0F67292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66D83C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F3AEB4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ADB22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6D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C0FA93">
            <w:pPr>
              <w:spacing w:line="240" w:lineRule="atLeast"/>
              <w:jc w:val="left"/>
              <w:rPr>
                <w:rFonts w:ascii="仿宋_GB2312" w:hAnsi="仿宋_GB2312" w:eastAsia="仿宋_GB2312" w:cs="仿宋_GB2312"/>
                <w:sz w:val="20"/>
                <w:szCs w:val="20"/>
              </w:rPr>
            </w:pPr>
          </w:p>
        </w:tc>
        <w:tc>
          <w:tcPr>
            <w:tcW w:w="555" w:type="dxa"/>
            <w:vMerge w:val="continue"/>
          </w:tcPr>
          <w:p w14:paraId="45E84805">
            <w:pPr>
              <w:spacing w:line="240" w:lineRule="atLeast"/>
              <w:jc w:val="left"/>
              <w:rPr>
                <w:rFonts w:ascii="仿宋_GB2312" w:hAnsi="仿宋_GB2312" w:eastAsia="仿宋_GB2312" w:cs="仿宋_GB2312"/>
                <w:sz w:val="20"/>
                <w:szCs w:val="20"/>
              </w:rPr>
            </w:pPr>
          </w:p>
        </w:tc>
        <w:tc>
          <w:tcPr>
            <w:tcW w:w="784" w:type="dxa"/>
            <w:vAlign w:val="center"/>
          </w:tcPr>
          <w:p w14:paraId="0ACA786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A6EA88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4EACA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72D42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89215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103C35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5B397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14F6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22DA0C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F4875D2">
            <w:pPr>
              <w:spacing w:line="240" w:lineRule="atLeast"/>
              <w:jc w:val="left"/>
              <w:rPr>
                <w:rFonts w:ascii="仿宋_GB2312" w:hAnsi="仿宋_GB2312" w:eastAsia="仿宋_GB2312" w:cs="仿宋_GB2312"/>
                <w:sz w:val="20"/>
                <w:szCs w:val="20"/>
              </w:rPr>
            </w:pPr>
          </w:p>
        </w:tc>
      </w:tr>
      <w:tr w14:paraId="5B6A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AAE9E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63</w:t>
            </w:r>
          </w:p>
        </w:tc>
        <w:tc>
          <w:tcPr>
            <w:tcW w:w="555" w:type="dxa"/>
            <w:vAlign w:val="center"/>
          </w:tcPr>
          <w:p w14:paraId="066CF6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B092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0AFE3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46DC08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对已经领取勘查许可证的勘查项目，满</w:t>
            </w:r>
            <w:r>
              <w:rPr>
                <w:rFonts w:hint="eastAsia" w:eastAsia="仿宋_GB2312"/>
                <w:snapToGrid w:val="0"/>
                <w:color w:val="000000"/>
                <w:sz w:val="20"/>
                <w:szCs w:val="20"/>
              </w:rPr>
              <w:t>6</w:t>
            </w:r>
            <w:r>
              <w:rPr>
                <w:rFonts w:hint="eastAsia" w:eastAsia="仿宋_GB2312" w:cs="宋体"/>
                <w:snapToGrid w:val="0"/>
                <w:color w:val="000000"/>
                <w:sz w:val="20"/>
                <w:szCs w:val="20"/>
              </w:rPr>
              <w:t>个月未开始施工，或者施工后无故停止勘查工作满</w:t>
            </w:r>
            <w:r>
              <w:rPr>
                <w:rFonts w:hint="eastAsia" w:eastAsia="仿宋_GB2312"/>
                <w:snapToGrid w:val="0"/>
                <w:color w:val="000000"/>
                <w:sz w:val="20"/>
                <w:szCs w:val="20"/>
              </w:rPr>
              <w:t>6</w:t>
            </w:r>
            <w:r>
              <w:rPr>
                <w:rFonts w:hint="eastAsia" w:eastAsia="仿宋_GB2312" w:cs="宋体"/>
                <w:snapToGrid w:val="0"/>
                <w:color w:val="000000"/>
                <w:sz w:val="20"/>
                <w:szCs w:val="20"/>
              </w:rPr>
              <w:t>个月行为的处罚</w:t>
            </w:r>
          </w:p>
        </w:tc>
        <w:tc>
          <w:tcPr>
            <w:tcW w:w="660" w:type="dxa"/>
            <w:vAlign w:val="center"/>
          </w:tcPr>
          <w:p w14:paraId="52A16DB6">
            <w:pPr>
              <w:snapToGrid w:val="0"/>
              <w:spacing w:line="240" w:lineRule="atLeast"/>
              <w:jc w:val="center"/>
              <w:rPr>
                <w:rFonts w:ascii="仿宋_GB2312" w:hAnsi="仿宋_GB2312" w:eastAsia="仿宋_GB2312" w:cs="仿宋_GB2312"/>
                <w:sz w:val="20"/>
                <w:szCs w:val="20"/>
              </w:rPr>
            </w:pPr>
          </w:p>
        </w:tc>
        <w:tc>
          <w:tcPr>
            <w:tcW w:w="615" w:type="dxa"/>
            <w:vAlign w:val="center"/>
          </w:tcPr>
          <w:p w14:paraId="583137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17A40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6E24A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102980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（三）已经领取勘查许可证的勘查项目，满6个月未开始施工，或者施工后无故停止勘查工作满6个月的。</w:t>
            </w:r>
          </w:p>
        </w:tc>
        <w:tc>
          <w:tcPr>
            <w:tcW w:w="3585" w:type="dxa"/>
            <w:vAlign w:val="center"/>
          </w:tcPr>
          <w:p w14:paraId="154BDE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10E5D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746DB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80DFC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C94C1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7EF36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D801E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07C46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24F80D0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1F195B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79918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4EF346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1D1FB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864EE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2A4223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D2E69E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5933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06270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2EBC4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94B44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74E3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0F79A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90E6B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18AFC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A9F1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35E6D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20E2A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46C5B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FB2500E">
            <w:pPr>
              <w:snapToGrid w:val="0"/>
              <w:spacing w:line="240" w:lineRule="atLeast"/>
              <w:jc w:val="center"/>
              <w:rPr>
                <w:rFonts w:ascii="仿宋_GB2312" w:hAnsi="仿宋_GB2312" w:eastAsia="仿宋_GB2312" w:cs="仿宋_GB2312"/>
                <w:sz w:val="20"/>
                <w:szCs w:val="20"/>
              </w:rPr>
            </w:pPr>
          </w:p>
        </w:tc>
      </w:tr>
    </w:tbl>
    <w:p w14:paraId="15971A2E"/>
    <w:p w14:paraId="6281DC9B"/>
    <w:p w14:paraId="7F1EA66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2EF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2E888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1D968B6">
            <w:pPr>
              <w:spacing w:line="240" w:lineRule="atLeast"/>
              <w:rPr>
                <w:rFonts w:asciiTheme="majorEastAsia" w:hAnsiTheme="majorEastAsia" w:eastAsiaTheme="majorEastAsia" w:cstheme="majorEastAsia"/>
                <w:spacing w:val="-20"/>
                <w:sz w:val="20"/>
                <w:szCs w:val="20"/>
              </w:rPr>
            </w:pPr>
          </w:p>
          <w:p w14:paraId="26AD280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76F6C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4879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05993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5D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5FE2CF">
            <w:pPr>
              <w:spacing w:line="240" w:lineRule="atLeast"/>
              <w:jc w:val="left"/>
              <w:rPr>
                <w:rFonts w:ascii="仿宋_GB2312" w:hAnsi="仿宋_GB2312" w:eastAsia="仿宋_GB2312" w:cs="仿宋_GB2312"/>
                <w:sz w:val="20"/>
                <w:szCs w:val="20"/>
              </w:rPr>
            </w:pPr>
          </w:p>
        </w:tc>
        <w:tc>
          <w:tcPr>
            <w:tcW w:w="555" w:type="dxa"/>
            <w:vMerge w:val="continue"/>
          </w:tcPr>
          <w:p w14:paraId="1B0FBE7B">
            <w:pPr>
              <w:spacing w:line="240" w:lineRule="atLeast"/>
              <w:jc w:val="left"/>
              <w:rPr>
                <w:rFonts w:ascii="仿宋_GB2312" w:hAnsi="仿宋_GB2312" w:eastAsia="仿宋_GB2312" w:cs="仿宋_GB2312"/>
                <w:sz w:val="20"/>
                <w:szCs w:val="20"/>
              </w:rPr>
            </w:pPr>
          </w:p>
        </w:tc>
        <w:tc>
          <w:tcPr>
            <w:tcW w:w="784" w:type="dxa"/>
            <w:vAlign w:val="center"/>
          </w:tcPr>
          <w:p w14:paraId="65D5FFA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BEFE9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43930A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80E22C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5DAF24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DA69A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18816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FB5CB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3E11EC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39E1ACB">
            <w:pPr>
              <w:spacing w:line="240" w:lineRule="atLeast"/>
              <w:jc w:val="left"/>
              <w:rPr>
                <w:rFonts w:ascii="仿宋_GB2312" w:hAnsi="仿宋_GB2312" w:eastAsia="仿宋_GB2312" w:cs="仿宋_GB2312"/>
                <w:sz w:val="20"/>
                <w:szCs w:val="20"/>
              </w:rPr>
            </w:pPr>
          </w:p>
        </w:tc>
      </w:tr>
      <w:tr w14:paraId="4687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1003A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64</w:t>
            </w:r>
          </w:p>
        </w:tc>
        <w:tc>
          <w:tcPr>
            <w:tcW w:w="555" w:type="dxa"/>
            <w:vAlign w:val="center"/>
          </w:tcPr>
          <w:p w14:paraId="08E045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CFB6B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6FE09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F52118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对不办理采矿许可证变更登记或者注销登记手续行为的处罚</w:t>
            </w:r>
          </w:p>
        </w:tc>
        <w:tc>
          <w:tcPr>
            <w:tcW w:w="660" w:type="dxa"/>
            <w:vAlign w:val="center"/>
          </w:tcPr>
          <w:p w14:paraId="602297B4">
            <w:pPr>
              <w:snapToGrid w:val="0"/>
              <w:spacing w:line="240" w:lineRule="atLeast"/>
              <w:jc w:val="center"/>
              <w:rPr>
                <w:rFonts w:ascii="仿宋_GB2312" w:hAnsi="仿宋_GB2312" w:eastAsia="仿宋_GB2312" w:cs="仿宋_GB2312"/>
                <w:sz w:val="20"/>
                <w:szCs w:val="20"/>
              </w:rPr>
            </w:pPr>
          </w:p>
        </w:tc>
        <w:tc>
          <w:tcPr>
            <w:tcW w:w="615" w:type="dxa"/>
            <w:vAlign w:val="center"/>
          </w:tcPr>
          <w:p w14:paraId="5AB838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D3855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7E54B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【行政法规】《矿产资源开采登记管理办法》（1998年国务院令第241号公布，2014年国务院令第653号修订）第三条第四款 ：开采本条第一款、第二款、第三款规定以外的矿产资源，由县级以上地方人民政府负责地质矿产管理工作的部门，按照省、自治区、直辖市人民代表大会常务委员会制定的管理办法审批登记，颁发采矿许可证。</w:t>
            </w:r>
          </w:p>
          <w:p w14:paraId="1E9F0B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第二十二条：违反本办法规定，不办理采矿许可证变更登记或者注销登记手续的，由登记管理机关责令限期改正；逾期不改正的，由原发证机关吊销采矿许可证。</w:t>
            </w:r>
          </w:p>
        </w:tc>
        <w:tc>
          <w:tcPr>
            <w:tcW w:w="3585" w:type="dxa"/>
            <w:vAlign w:val="center"/>
          </w:tcPr>
          <w:p w14:paraId="3CCB50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215C12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0AC9B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1198A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1A9D5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1914B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99222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A2E370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2DCD7EF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F4988D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A76C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59D32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8807F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8CF3A3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1729DE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75ACCD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2B225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F19C1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99A30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8469F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6B8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FA76A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BC4C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5BDC9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252C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EAB3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6F9E1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D58E5E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EF81D28">
            <w:pPr>
              <w:snapToGrid w:val="0"/>
              <w:spacing w:line="240" w:lineRule="atLeast"/>
              <w:jc w:val="center"/>
              <w:rPr>
                <w:rFonts w:ascii="仿宋_GB2312" w:hAnsi="仿宋_GB2312" w:eastAsia="仿宋_GB2312" w:cs="仿宋_GB2312"/>
                <w:sz w:val="20"/>
                <w:szCs w:val="20"/>
              </w:rPr>
            </w:pPr>
          </w:p>
        </w:tc>
      </w:tr>
    </w:tbl>
    <w:p w14:paraId="65BA2176"/>
    <w:p w14:paraId="5DD07BAB"/>
    <w:p w14:paraId="1AD1A13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FA5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97E11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148EB2D">
            <w:pPr>
              <w:spacing w:line="240" w:lineRule="atLeast"/>
              <w:rPr>
                <w:rFonts w:asciiTheme="majorEastAsia" w:hAnsiTheme="majorEastAsia" w:eastAsiaTheme="majorEastAsia" w:cstheme="majorEastAsia"/>
                <w:spacing w:val="-20"/>
                <w:sz w:val="20"/>
                <w:szCs w:val="20"/>
              </w:rPr>
            </w:pPr>
          </w:p>
          <w:p w14:paraId="7B88A2B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62918F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0F908E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8F203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367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08C8FF8">
            <w:pPr>
              <w:spacing w:line="240" w:lineRule="atLeast"/>
              <w:jc w:val="left"/>
              <w:rPr>
                <w:rFonts w:ascii="仿宋_GB2312" w:hAnsi="仿宋_GB2312" w:eastAsia="仿宋_GB2312" w:cs="仿宋_GB2312"/>
                <w:sz w:val="20"/>
                <w:szCs w:val="20"/>
              </w:rPr>
            </w:pPr>
          </w:p>
        </w:tc>
        <w:tc>
          <w:tcPr>
            <w:tcW w:w="555" w:type="dxa"/>
            <w:vMerge w:val="continue"/>
          </w:tcPr>
          <w:p w14:paraId="612BD75B">
            <w:pPr>
              <w:spacing w:line="240" w:lineRule="atLeast"/>
              <w:jc w:val="left"/>
              <w:rPr>
                <w:rFonts w:ascii="仿宋_GB2312" w:hAnsi="仿宋_GB2312" w:eastAsia="仿宋_GB2312" w:cs="仿宋_GB2312"/>
                <w:sz w:val="20"/>
                <w:szCs w:val="20"/>
              </w:rPr>
            </w:pPr>
          </w:p>
        </w:tc>
        <w:tc>
          <w:tcPr>
            <w:tcW w:w="784" w:type="dxa"/>
            <w:vAlign w:val="center"/>
          </w:tcPr>
          <w:p w14:paraId="3202019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C90F0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04A45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A8A76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FFF81D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E015D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6706B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7D54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BF0CA1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6A84BF">
            <w:pPr>
              <w:spacing w:line="240" w:lineRule="atLeast"/>
              <w:jc w:val="left"/>
              <w:rPr>
                <w:rFonts w:ascii="仿宋_GB2312" w:hAnsi="仿宋_GB2312" w:eastAsia="仿宋_GB2312" w:cs="仿宋_GB2312"/>
                <w:sz w:val="20"/>
                <w:szCs w:val="20"/>
              </w:rPr>
            </w:pPr>
          </w:p>
        </w:tc>
      </w:tr>
      <w:tr w14:paraId="4114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C98A0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65</w:t>
            </w:r>
          </w:p>
        </w:tc>
        <w:tc>
          <w:tcPr>
            <w:tcW w:w="555" w:type="dxa"/>
            <w:vAlign w:val="center"/>
          </w:tcPr>
          <w:p w14:paraId="1AE5B2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94892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F24DB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411D83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对采矿权人不依照规定提交年度报告，填报矿产资源统计基础表，虚报、瞒报、拒报、迟报矿产资源统计资料，拒绝接受检查、现场抽查或者弄虚作假行为的处罚</w:t>
            </w:r>
          </w:p>
        </w:tc>
        <w:tc>
          <w:tcPr>
            <w:tcW w:w="660" w:type="dxa"/>
            <w:vAlign w:val="center"/>
          </w:tcPr>
          <w:p w14:paraId="218A1673">
            <w:pPr>
              <w:snapToGrid w:val="0"/>
              <w:spacing w:line="240" w:lineRule="atLeast"/>
              <w:jc w:val="center"/>
              <w:rPr>
                <w:rFonts w:ascii="仿宋_GB2312" w:hAnsi="仿宋_GB2312" w:eastAsia="仿宋_GB2312" w:cs="仿宋_GB2312"/>
                <w:sz w:val="20"/>
                <w:szCs w:val="20"/>
              </w:rPr>
            </w:pPr>
          </w:p>
        </w:tc>
        <w:tc>
          <w:tcPr>
            <w:tcW w:w="615" w:type="dxa"/>
            <w:vAlign w:val="center"/>
          </w:tcPr>
          <w:p w14:paraId="7A6449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369CE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C4243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1.【行政法规】《矿产资源开采登记管理办法》（1998年国务院令第241号公布，2014年国务院令第653号修订）第十八条： 不依照本办法规定提交年度报告、拒绝接受监督检查或者弄虚作假的，由县级以上人民政府负责地质矿产管理工作的部门按照国务院地质矿产主管部门规定的权限，责令停止违法行为，予以警告，可以并处5万元以下的罚款；情节严重的，由原发证机关吊销采矿许可证。</w:t>
            </w:r>
          </w:p>
          <w:p w14:paraId="035FD9F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2.【部门规章】《矿产资源统计管理办法》（ 2004年国土资源部令23号公布施行，2020年自然资源部令第7号修正）第十六条： 采矿权人不依照本办法规定填报矿产资源统计基础表，虚报、瞒报、拒报、迟报矿产资源统计资料，拒绝接受检查、现场抽查或者弄虚作假的，依照《矿产资源开采登记管理办法》第十八条、《中华人民共和国统计法》及其实施细则的有关规定进行处罚。</w:t>
            </w:r>
          </w:p>
        </w:tc>
        <w:tc>
          <w:tcPr>
            <w:tcW w:w="3585" w:type="dxa"/>
            <w:vAlign w:val="center"/>
          </w:tcPr>
          <w:p w14:paraId="7D4B1F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6B2852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3218BB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9422D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68978B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608945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BFD14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0CA911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6F54B5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5827BF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0406D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81FD5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21C2D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28BB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0A01C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292065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51E51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68BDA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8A3F4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6C0D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548FF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72272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0C574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F4A19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F781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505D5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DBEE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8071F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C572325">
            <w:pPr>
              <w:snapToGrid w:val="0"/>
              <w:spacing w:line="240" w:lineRule="atLeast"/>
              <w:jc w:val="center"/>
              <w:rPr>
                <w:rFonts w:ascii="仿宋_GB2312" w:hAnsi="仿宋_GB2312" w:eastAsia="仿宋_GB2312" w:cs="仿宋_GB2312"/>
                <w:sz w:val="20"/>
                <w:szCs w:val="20"/>
              </w:rPr>
            </w:pPr>
          </w:p>
        </w:tc>
      </w:tr>
    </w:tbl>
    <w:p w14:paraId="5A669A9A"/>
    <w:p w14:paraId="08181AB1"/>
    <w:p w14:paraId="42CC98E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C3F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00E26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883E757">
            <w:pPr>
              <w:spacing w:line="240" w:lineRule="atLeast"/>
              <w:rPr>
                <w:rFonts w:asciiTheme="majorEastAsia" w:hAnsiTheme="majorEastAsia" w:eastAsiaTheme="majorEastAsia" w:cstheme="majorEastAsia"/>
                <w:spacing w:val="-20"/>
                <w:sz w:val="20"/>
                <w:szCs w:val="20"/>
              </w:rPr>
            </w:pPr>
          </w:p>
          <w:p w14:paraId="595893C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BE94B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9FCFCB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FF5C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FC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532D772">
            <w:pPr>
              <w:spacing w:line="240" w:lineRule="atLeast"/>
              <w:jc w:val="left"/>
              <w:rPr>
                <w:rFonts w:ascii="仿宋_GB2312" w:hAnsi="仿宋_GB2312" w:eastAsia="仿宋_GB2312" w:cs="仿宋_GB2312"/>
                <w:sz w:val="20"/>
                <w:szCs w:val="20"/>
              </w:rPr>
            </w:pPr>
          </w:p>
        </w:tc>
        <w:tc>
          <w:tcPr>
            <w:tcW w:w="555" w:type="dxa"/>
            <w:vMerge w:val="continue"/>
          </w:tcPr>
          <w:p w14:paraId="36959EAB">
            <w:pPr>
              <w:spacing w:line="240" w:lineRule="atLeast"/>
              <w:jc w:val="left"/>
              <w:rPr>
                <w:rFonts w:ascii="仿宋_GB2312" w:hAnsi="仿宋_GB2312" w:eastAsia="仿宋_GB2312" w:cs="仿宋_GB2312"/>
                <w:sz w:val="20"/>
                <w:szCs w:val="20"/>
              </w:rPr>
            </w:pPr>
          </w:p>
        </w:tc>
        <w:tc>
          <w:tcPr>
            <w:tcW w:w="784" w:type="dxa"/>
            <w:vAlign w:val="center"/>
          </w:tcPr>
          <w:p w14:paraId="597917A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EBF571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6CE0E9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38005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AEF8A6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4C9C2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7B415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40A6E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C9D89C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4D688E6">
            <w:pPr>
              <w:spacing w:line="240" w:lineRule="atLeast"/>
              <w:jc w:val="left"/>
              <w:rPr>
                <w:rFonts w:ascii="仿宋_GB2312" w:hAnsi="仿宋_GB2312" w:eastAsia="仿宋_GB2312" w:cs="仿宋_GB2312"/>
                <w:sz w:val="20"/>
                <w:szCs w:val="20"/>
              </w:rPr>
            </w:pPr>
          </w:p>
        </w:tc>
      </w:tr>
      <w:tr w14:paraId="7527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9972E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66</w:t>
            </w:r>
          </w:p>
        </w:tc>
        <w:tc>
          <w:tcPr>
            <w:tcW w:w="555" w:type="dxa"/>
            <w:vAlign w:val="center"/>
          </w:tcPr>
          <w:p w14:paraId="7FEEAA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71258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5D7B2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0FFA54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对破坏或者擅自移动矿区范围界桩或者地面标志行为的处罚</w:t>
            </w:r>
          </w:p>
        </w:tc>
        <w:tc>
          <w:tcPr>
            <w:tcW w:w="660" w:type="dxa"/>
            <w:vAlign w:val="center"/>
          </w:tcPr>
          <w:p w14:paraId="5BC7F119">
            <w:pPr>
              <w:snapToGrid w:val="0"/>
              <w:spacing w:line="240" w:lineRule="atLeast"/>
              <w:jc w:val="center"/>
              <w:rPr>
                <w:rFonts w:ascii="仿宋_GB2312" w:hAnsi="仿宋_GB2312" w:eastAsia="仿宋_GB2312" w:cs="仿宋_GB2312"/>
                <w:sz w:val="20"/>
                <w:szCs w:val="20"/>
              </w:rPr>
            </w:pPr>
          </w:p>
        </w:tc>
        <w:tc>
          <w:tcPr>
            <w:tcW w:w="615" w:type="dxa"/>
            <w:vAlign w:val="center"/>
          </w:tcPr>
          <w:p w14:paraId="26DD57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2E0C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7D5E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公布，2014年国务院令第653号修订）第十九条：破坏或者擅自移动矿区范围界桩或者地面标志的，由县级以上人民政府负责地质矿产管理工作的部门按照国务院地质矿产主管部门规定的权限，责令限期恢复；情节严重的，处3万元以下的罚款。</w:t>
            </w:r>
          </w:p>
        </w:tc>
        <w:tc>
          <w:tcPr>
            <w:tcW w:w="3585" w:type="dxa"/>
            <w:vAlign w:val="center"/>
          </w:tcPr>
          <w:p w14:paraId="491266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0BE87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4C9A2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F9FBC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3CD5A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47718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CBD7B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05214F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7AEBA4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C8F24D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2B4B3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90B303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1BB59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671EF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4B5C9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3387D6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91FB8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06052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019C5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93654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1709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A767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C174B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7489A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78D4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D5360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7B432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AA242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C40A78D">
            <w:pPr>
              <w:snapToGrid w:val="0"/>
              <w:spacing w:line="240" w:lineRule="atLeast"/>
              <w:jc w:val="center"/>
              <w:rPr>
                <w:rFonts w:ascii="仿宋_GB2312" w:hAnsi="仿宋_GB2312" w:eastAsia="仿宋_GB2312" w:cs="仿宋_GB2312"/>
                <w:sz w:val="20"/>
                <w:szCs w:val="20"/>
              </w:rPr>
            </w:pPr>
          </w:p>
        </w:tc>
      </w:tr>
    </w:tbl>
    <w:p w14:paraId="45043650"/>
    <w:p w14:paraId="4EBEE596"/>
    <w:p w14:paraId="0BAEE1F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F6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54DEBF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3BCCD6D">
            <w:pPr>
              <w:spacing w:line="240" w:lineRule="atLeast"/>
              <w:rPr>
                <w:rFonts w:asciiTheme="majorEastAsia" w:hAnsiTheme="majorEastAsia" w:eastAsiaTheme="majorEastAsia" w:cstheme="majorEastAsia"/>
                <w:spacing w:val="-20"/>
                <w:sz w:val="20"/>
                <w:szCs w:val="20"/>
              </w:rPr>
            </w:pPr>
          </w:p>
          <w:p w14:paraId="3F6E25C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31C9B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2FB8ED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AAF6FD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33A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E5477A7">
            <w:pPr>
              <w:spacing w:line="240" w:lineRule="atLeast"/>
              <w:jc w:val="left"/>
              <w:rPr>
                <w:rFonts w:ascii="仿宋_GB2312" w:hAnsi="仿宋_GB2312" w:eastAsia="仿宋_GB2312" w:cs="仿宋_GB2312"/>
                <w:sz w:val="20"/>
                <w:szCs w:val="20"/>
              </w:rPr>
            </w:pPr>
          </w:p>
        </w:tc>
        <w:tc>
          <w:tcPr>
            <w:tcW w:w="555" w:type="dxa"/>
            <w:vMerge w:val="continue"/>
          </w:tcPr>
          <w:p w14:paraId="6755CA7C">
            <w:pPr>
              <w:spacing w:line="240" w:lineRule="atLeast"/>
              <w:jc w:val="left"/>
              <w:rPr>
                <w:rFonts w:ascii="仿宋_GB2312" w:hAnsi="仿宋_GB2312" w:eastAsia="仿宋_GB2312" w:cs="仿宋_GB2312"/>
                <w:sz w:val="20"/>
                <w:szCs w:val="20"/>
              </w:rPr>
            </w:pPr>
          </w:p>
        </w:tc>
        <w:tc>
          <w:tcPr>
            <w:tcW w:w="784" w:type="dxa"/>
            <w:vAlign w:val="center"/>
          </w:tcPr>
          <w:p w14:paraId="6AF221D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26357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55919D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BFA1A7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81D930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B44C6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A6CD8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D686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93B896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1CB8798">
            <w:pPr>
              <w:spacing w:line="240" w:lineRule="atLeast"/>
              <w:jc w:val="left"/>
              <w:rPr>
                <w:rFonts w:ascii="仿宋_GB2312" w:hAnsi="仿宋_GB2312" w:eastAsia="仿宋_GB2312" w:cs="仿宋_GB2312"/>
                <w:sz w:val="20"/>
                <w:szCs w:val="20"/>
              </w:rPr>
            </w:pPr>
          </w:p>
        </w:tc>
      </w:tr>
      <w:tr w14:paraId="5451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4DB8D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67</w:t>
            </w:r>
          </w:p>
        </w:tc>
        <w:tc>
          <w:tcPr>
            <w:tcW w:w="555" w:type="dxa"/>
            <w:vAlign w:val="center"/>
          </w:tcPr>
          <w:p w14:paraId="3D11CD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B616F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19402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DA2539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对擅自印制或者伪造、冒用采矿许可证行为的处罚</w:t>
            </w:r>
          </w:p>
        </w:tc>
        <w:tc>
          <w:tcPr>
            <w:tcW w:w="660" w:type="dxa"/>
            <w:vAlign w:val="center"/>
          </w:tcPr>
          <w:p w14:paraId="4133E9FF">
            <w:pPr>
              <w:snapToGrid w:val="0"/>
              <w:spacing w:line="240" w:lineRule="atLeast"/>
              <w:jc w:val="center"/>
              <w:rPr>
                <w:rFonts w:ascii="仿宋_GB2312" w:hAnsi="仿宋_GB2312" w:eastAsia="仿宋_GB2312" w:cs="仿宋_GB2312"/>
                <w:sz w:val="20"/>
                <w:szCs w:val="20"/>
              </w:rPr>
            </w:pPr>
          </w:p>
        </w:tc>
        <w:tc>
          <w:tcPr>
            <w:tcW w:w="615" w:type="dxa"/>
            <w:vAlign w:val="center"/>
          </w:tcPr>
          <w:p w14:paraId="6DF4F7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BA227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78E2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公布，2014年国务院令第653号修订）第二十条：擅自印制或者伪造、冒用采矿许可证的，由县级以上人民政府负责地质矿产管理工作的部门按照国务院地质矿产主管部门规定的权限，没收违法所得，可以并处10万元以下的罚款；构成犯罪的，依法追究刑事责任。</w:t>
            </w:r>
          </w:p>
        </w:tc>
        <w:tc>
          <w:tcPr>
            <w:tcW w:w="3585" w:type="dxa"/>
            <w:vAlign w:val="center"/>
          </w:tcPr>
          <w:p w14:paraId="0D411D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302E1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1291DD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A2E2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5F744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9B640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81042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39085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6EE3DB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ADC016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7390D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EC8C0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2DED4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D6AA1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0F5F7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B1066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A5C1A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C269F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E5F56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8C030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D5773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DF90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C7505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E59B3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1AA1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709A0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9074B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74EE38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B3F888E">
            <w:pPr>
              <w:snapToGrid w:val="0"/>
              <w:spacing w:line="240" w:lineRule="atLeast"/>
              <w:jc w:val="center"/>
              <w:rPr>
                <w:rFonts w:ascii="仿宋_GB2312" w:hAnsi="仿宋_GB2312" w:eastAsia="仿宋_GB2312" w:cs="仿宋_GB2312"/>
                <w:sz w:val="20"/>
                <w:szCs w:val="20"/>
              </w:rPr>
            </w:pPr>
          </w:p>
        </w:tc>
      </w:tr>
    </w:tbl>
    <w:p w14:paraId="4A1142F3"/>
    <w:p w14:paraId="6D7C4BD2"/>
    <w:p w14:paraId="307CA71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D2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7AB403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B54C3C9">
            <w:pPr>
              <w:spacing w:line="240" w:lineRule="atLeast"/>
              <w:rPr>
                <w:rFonts w:asciiTheme="majorEastAsia" w:hAnsiTheme="majorEastAsia" w:eastAsiaTheme="majorEastAsia" w:cstheme="majorEastAsia"/>
                <w:spacing w:val="-20"/>
                <w:sz w:val="20"/>
                <w:szCs w:val="20"/>
              </w:rPr>
            </w:pPr>
          </w:p>
          <w:p w14:paraId="28B8972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F92C4E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EFF9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071F9D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0B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61035F">
            <w:pPr>
              <w:spacing w:line="240" w:lineRule="atLeast"/>
              <w:jc w:val="left"/>
              <w:rPr>
                <w:rFonts w:ascii="仿宋_GB2312" w:hAnsi="仿宋_GB2312" w:eastAsia="仿宋_GB2312" w:cs="仿宋_GB2312"/>
                <w:sz w:val="20"/>
                <w:szCs w:val="20"/>
              </w:rPr>
            </w:pPr>
          </w:p>
        </w:tc>
        <w:tc>
          <w:tcPr>
            <w:tcW w:w="555" w:type="dxa"/>
            <w:vMerge w:val="continue"/>
          </w:tcPr>
          <w:p w14:paraId="258DFE29">
            <w:pPr>
              <w:spacing w:line="240" w:lineRule="atLeast"/>
              <w:jc w:val="left"/>
              <w:rPr>
                <w:rFonts w:ascii="仿宋_GB2312" w:hAnsi="仿宋_GB2312" w:eastAsia="仿宋_GB2312" w:cs="仿宋_GB2312"/>
                <w:sz w:val="20"/>
                <w:szCs w:val="20"/>
              </w:rPr>
            </w:pPr>
          </w:p>
        </w:tc>
        <w:tc>
          <w:tcPr>
            <w:tcW w:w="784" w:type="dxa"/>
            <w:vAlign w:val="center"/>
          </w:tcPr>
          <w:p w14:paraId="4E40D2B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7727E5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01515D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E24F1D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C0981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645B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A5D66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144E2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ED842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9F7BAC8">
            <w:pPr>
              <w:spacing w:line="240" w:lineRule="atLeast"/>
              <w:jc w:val="left"/>
              <w:rPr>
                <w:rFonts w:ascii="仿宋_GB2312" w:hAnsi="仿宋_GB2312" w:eastAsia="仿宋_GB2312" w:cs="仿宋_GB2312"/>
                <w:sz w:val="20"/>
                <w:szCs w:val="20"/>
              </w:rPr>
            </w:pPr>
          </w:p>
        </w:tc>
      </w:tr>
      <w:tr w14:paraId="179D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43DB7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68</w:t>
            </w:r>
          </w:p>
        </w:tc>
        <w:tc>
          <w:tcPr>
            <w:tcW w:w="555" w:type="dxa"/>
            <w:vAlign w:val="center"/>
          </w:tcPr>
          <w:p w14:paraId="59639A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832F0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83C2B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647E2D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对不按照矿产资源开采登记管理办法的规定，不按期缴纳应当缴纳费用行为的处罚</w:t>
            </w:r>
          </w:p>
        </w:tc>
        <w:tc>
          <w:tcPr>
            <w:tcW w:w="660" w:type="dxa"/>
            <w:vAlign w:val="center"/>
          </w:tcPr>
          <w:p w14:paraId="34F3C1F7">
            <w:pPr>
              <w:snapToGrid w:val="0"/>
              <w:spacing w:line="240" w:lineRule="atLeast"/>
              <w:jc w:val="center"/>
              <w:rPr>
                <w:rFonts w:ascii="仿宋_GB2312" w:hAnsi="仿宋_GB2312" w:eastAsia="仿宋_GB2312" w:cs="仿宋_GB2312"/>
                <w:sz w:val="20"/>
                <w:szCs w:val="20"/>
              </w:rPr>
            </w:pPr>
          </w:p>
        </w:tc>
        <w:tc>
          <w:tcPr>
            <w:tcW w:w="615" w:type="dxa"/>
            <w:vAlign w:val="center"/>
          </w:tcPr>
          <w:p w14:paraId="18195F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ADB06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C8672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开采登记管理办法》（1998年国务院令第241号公布，2014年国务院令第653号修订）第二十一条：违反本办法规定，不按期缴纳本办法规定应当缴纳的费用的，由登记管理机关责令限期缴纳，并从滞纳之日起每日加收千分之二的滞纳金；逾期仍不缴纳的，由原发证机关吊销采矿许可证。</w:t>
            </w:r>
          </w:p>
          <w:p w14:paraId="265B5E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2.【部门规章】财政部、国土资源部《关于印发</w:t>
            </w:r>
            <w:r>
              <w:rPr>
                <w:rFonts w:hint="eastAsia" w:ascii="仿宋_GB2312" w:hAnsi="仿宋_GB2312" w:eastAsia="仿宋_GB2312" w:cs="仿宋_GB2312"/>
                <w:snapToGrid w:val="0"/>
                <w:color w:val="000000"/>
                <w:sz w:val="20"/>
                <w:szCs w:val="20"/>
              </w:rPr>
              <w:t>〈</w:t>
            </w:r>
            <w:r>
              <w:rPr>
                <w:rFonts w:hint="eastAsia" w:eastAsia="仿宋_GB2312"/>
                <w:snapToGrid w:val="0"/>
                <w:color w:val="000000"/>
                <w:sz w:val="20"/>
                <w:szCs w:val="20"/>
              </w:rPr>
              <w:t>探矿权采矿权使用费和价款管理办法</w:t>
            </w:r>
            <w:r>
              <w:rPr>
                <w:rFonts w:hint="eastAsia" w:ascii="仿宋_GB2312" w:hAnsi="仿宋_GB2312" w:eastAsia="仿宋_GB2312" w:cs="仿宋_GB2312"/>
                <w:snapToGrid w:val="0"/>
                <w:color w:val="000000"/>
                <w:sz w:val="20"/>
                <w:szCs w:val="20"/>
              </w:rPr>
              <w:t>〉</w:t>
            </w:r>
            <w:r>
              <w:rPr>
                <w:rFonts w:hint="eastAsia" w:eastAsia="仿宋_GB2312"/>
                <w:snapToGrid w:val="0"/>
                <w:color w:val="000000"/>
                <w:sz w:val="20"/>
                <w:szCs w:val="20"/>
              </w:rPr>
              <w:t>的通知》（财综字〔1999〕74号）第十二条：未按规定及时缴纳探矿权采矿权使用费和价款的，由探矿权采矿权登记管理机关责令其在30日内缴纳，并从滞纳之日起，每日加收2‰滞纳金；逾期仍不缴纳的，由探矿权、采矿权登记管理机关吊销其勘查许可证或采矿许可证。</w:t>
            </w:r>
          </w:p>
        </w:tc>
        <w:tc>
          <w:tcPr>
            <w:tcW w:w="3585" w:type="dxa"/>
            <w:vAlign w:val="center"/>
          </w:tcPr>
          <w:p w14:paraId="5A85A5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1F1FFF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4A2F0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FDC26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29459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E9DE2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85C15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C0AB9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6BE7117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39D266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CE83F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0CD0A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34ABA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87B05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3BFC3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47C493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A5C7B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015B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75C2F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A9D6F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60717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A5F4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7DC3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F73AF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761E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8D597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D2639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F9AA1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284DF32">
            <w:pPr>
              <w:snapToGrid w:val="0"/>
              <w:spacing w:line="240" w:lineRule="atLeast"/>
              <w:jc w:val="center"/>
              <w:rPr>
                <w:rFonts w:ascii="仿宋_GB2312" w:hAnsi="仿宋_GB2312" w:eastAsia="仿宋_GB2312" w:cs="仿宋_GB2312"/>
                <w:sz w:val="20"/>
                <w:szCs w:val="20"/>
              </w:rPr>
            </w:pPr>
          </w:p>
        </w:tc>
      </w:tr>
    </w:tbl>
    <w:p w14:paraId="0508DFC6"/>
    <w:p w14:paraId="4244BE2E"/>
    <w:p w14:paraId="0F74719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246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4D642E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DB198BA">
            <w:pPr>
              <w:spacing w:line="240" w:lineRule="atLeast"/>
              <w:rPr>
                <w:rFonts w:asciiTheme="majorEastAsia" w:hAnsiTheme="majorEastAsia" w:eastAsiaTheme="majorEastAsia" w:cstheme="majorEastAsia"/>
                <w:spacing w:val="-20"/>
                <w:sz w:val="20"/>
                <w:szCs w:val="20"/>
              </w:rPr>
            </w:pPr>
          </w:p>
          <w:p w14:paraId="4384219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E4BD60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7D0DE0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0A3817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41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36B4C18">
            <w:pPr>
              <w:spacing w:line="240" w:lineRule="atLeast"/>
              <w:jc w:val="left"/>
              <w:rPr>
                <w:rFonts w:ascii="仿宋_GB2312" w:hAnsi="仿宋_GB2312" w:eastAsia="仿宋_GB2312" w:cs="仿宋_GB2312"/>
                <w:sz w:val="20"/>
                <w:szCs w:val="20"/>
              </w:rPr>
            </w:pPr>
          </w:p>
        </w:tc>
        <w:tc>
          <w:tcPr>
            <w:tcW w:w="555" w:type="dxa"/>
            <w:vMerge w:val="continue"/>
          </w:tcPr>
          <w:p w14:paraId="77578839">
            <w:pPr>
              <w:spacing w:line="240" w:lineRule="atLeast"/>
              <w:jc w:val="left"/>
              <w:rPr>
                <w:rFonts w:ascii="仿宋_GB2312" w:hAnsi="仿宋_GB2312" w:eastAsia="仿宋_GB2312" w:cs="仿宋_GB2312"/>
                <w:sz w:val="20"/>
                <w:szCs w:val="20"/>
              </w:rPr>
            </w:pPr>
          </w:p>
        </w:tc>
        <w:tc>
          <w:tcPr>
            <w:tcW w:w="784" w:type="dxa"/>
            <w:vAlign w:val="center"/>
          </w:tcPr>
          <w:p w14:paraId="754573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02CB8E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49EE9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8A17E9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709550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ED955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264C16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94440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3C9259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F58997F">
            <w:pPr>
              <w:spacing w:line="240" w:lineRule="atLeast"/>
              <w:jc w:val="left"/>
              <w:rPr>
                <w:rFonts w:ascii="仿宋_GB2312" w:hAnsi="仿宋_GB2312" w:eastAsia="仿宋_GB2312" w:cs="仿宋_GB2312"/>
                <w:sz w:val="20"/>
                <w:szCs w:val="20"/>
              </w:rPr>
            </w:pPr>
          </w:p>
        </w:tc>
      </w:tr>
      <w:tr w14:paraId="7BB0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9654C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69</w:t>
            </w:r>
          </w:p>
        </w:tc>
        <w:tc>
          <w:tcPr>
            <w:tcW w:w="555" w:type="dxa"/>
            <w:vAlign w:val="center"/>
          </w:tcPr>
          <w:p w14:paraId="676B9C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48D9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010F7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1EA7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对采矿权人未按规定缴纳矿产资源补偿费和滞纳金行为的处罚</w:t>
            </w:r>
          </w:p>
        </w:tc>
        <w:tc>
          <w:tcPr>
            <w:tcW w:w="660" w:type="dxa"/>
            <w:vAlign w:val="center"/>
          </w:tcPr>
          <w:p w14:paraId="4E2A3030">
            <w:pPr>
              <w:snapToGrid w:val="0"/>
              <w:spacing w:line="240" w:lineRule="atLeast"/>
              <w:jc w:val="center"/>
              <w:rPr>
                <w:rFonts w:ascii="仿宋_GB2312" w:hAnsi="仿宋_GB2312" w:eastAsia="仿宋_GB2312" w:cs="仿宋_GB2312"/>
                <w:sz w:val="20"/>
                <w:szCs w:val="20"/>
              </w:rPr>
            </w:pPr>
          </w:p>
        </w:tc>
        <w:tc>
          <w:tcPr>
            <w:tcW w:w="615" w:type="dxa"/>
            <w:vAlign w:val="center"/>
          </w:tcPr>
          <w:p w14:paraId="09B911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67495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30038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【行政法规】《矿产资源补偿费征收管理规定》（1994年国务院令第150号发布，1997年国务院令第222号修订）第七条：矿产资源补偿费由地质矿产主管部门会同财政部门征收。</w:t>
            </w:r>
          </w:p>
          <w:p w14:paraId="5426EF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矿区在县级行政区域内的，矿产资源补偿费由矿区所在地的县级人民政府负责地质矿产管理工作的部门负责征收。</w:t>
            </w:r>
          </w:p>
          <w:p w14:paraId="06AFC9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矿区范围跨县级以上行政区域的，矿产资源补偿费由所涉及行政区域的共同上一级人民政府负责地质矿产管理工作的部门负责征收。</w:t>
            </w:r>
          </w:p>
          <w:p w14:paraId="1A530F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454EA2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 采矿权人在规定期限内未足额缴纳矿产资源补偿费的，由征收机关责令限期缴纳，并从滞纳之日起按日加收滞纳补偿费2‰的滞纳金。</w:t>
            </w:r>
          </w:p>
          <w:p w14:paraId="5DC8BE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采矿权人未按照前款规定缴纳矿产资源补偿费和滞纳金的，由征收机关处以应当缴纳的矿产资源补偿费3倍以下的罚款；情节严重的，由采矿许可证颁发机关吊销其采矿许可证。</w:t>
            </w:r>
          </w:p>
        </w:tc>
        <w:tc>
          <w:tcPr>
            <w:tcW w:w="3585" w:type="dxa"/>
            <w:vAlign w:val="center"/>
          </w:tcPr>
          <w:p w14:paraId="5672FD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21D6C6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4CEFC6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530B85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2C6557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19D1C9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2E6CE8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453BEA1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1C2903D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BE02AA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8EC71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A433F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ABB76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F50D55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272AA5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D5E539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2741A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AE08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458C3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EC96F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C4A13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BB451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5D178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F5B3E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E5C4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D8C63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B15C1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EDD95E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9A1C16B">
            <w:pPr>
              <w:snapToGrid w:val="0"/>
              <w:spacing w:line="240" w:lineRule="atLeast"/>
              <w:jc w:val="center"/>
              <w:rPr>
                <w:rFonts w:ascii="仿宋_GB2312" w:hAnsi="仿宋_GB2312" w:eastAsia="仿宋_GB2312" w:cs="仿宋_GB2312"/>
                <w:sz w:val="20"/>
                <w:szCs w:val="20"/>
              </w:rPr>
            </w:pPr>
          </w:p>
        </w:tc>
      </w:tr>
    </w:tbl>
    <w:p w14:paraId="415F5551"/>
    <w:p w14:paraId="78CC9EE3"/>
    <w:p w14:paraId="1F7D880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620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0433F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B56818A">
            <w:pPr>
              <w:spacing w:line="240" w:lineRule="atLeast"/>
              <w:rPr>
                <w:rFonts w:asciiTheme="majorEastAsia" w:hAnsiTheme="majorEastAsia" w:eastAsiaTheme="majorEastAsia" w:cstheme="majorEastAsia"/>
                <w:spacing w:val="-20"/>
                <w:sz w:val="20"/>
                <w:szCs w:val="20"/>
              </w:rPr>
            </w:pPr>
          </w:p>
          <w:p w14:paraId="62AE1DD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4677C0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F8D28A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9F5412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3D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3C998D">
            <w:pPr>
              <w:spacing w:line="240" w:lineRule="atLeast"/>
              <w:jc w:val="left"/>
              <w:rPr>
                <w:rFonts w:ascii="仿宋_GB2312" w:hAnsi="仿宋_GB2312" w:eastAsia="仿宋_GB2312" w:cs="仿宋_GB2312"/>
                <w:sz w:val="20"/>
                <w:szCs w:val="20"/>
              </w:rPr>
            </w:pPr>
          </w:p>
        </w:tc>
        <w:tc>
          <w:tcPr>
            <w:tcW w:w="555" w:type="dxa"/>
            <w:vMerge w:val="continue"/>
          </w:tcPr>
          <w:p w14:paraId="72189E93">
            <w:pPr>
              <w:spacing w:line="240" w:lineRule="atLeast"/>
              <w:jc w:val="left"/>
              <w:rPr>
                <w:rFonts w:ascii="仿宋_GB2312" w:hAnsi="仿宋_GB2312" w:eastAsia="仿宋_GB2312" w:cs="仿宋_GB2312"/>
                <w:sz w:val="20"/>
                <w:szCs w:val="20"/>
              </w:rPr>
            </w:pPr>
          </w:p>
        </w:tc>
        <w:tc>
          <w:tcPr>
            <w:tcW w:w="784" w:type="dxa"/>
            <w:vAlign w:val="center"/>
          </w:tcPr>
          <w:p w14:paraId="6DC85A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E4E4F9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520961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558BC0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083551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45F11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24538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21E75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B6965A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653139F">
            <w:pPr>
              <w:spacing w:line="240" w:lineRule="atLeast"/>
              <w:jc w:val="left"/>
              <w:rPr>
                <w:rFonts w:ascii="仿宋_GB2312" w:hAnsi="仿宋_GB2312" w:eastAsia="仿宋_GB2312" w:cs="仿宋_GB2312"/>
                <w:sz w:val="20"/>
                <w:szCs w:val="20"/>
              </w:rPr>
            </w:pPr>
          </w:p>
        </w:tc>
      </w:tr>
      <w:tr w14:paraId="6A49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8AC00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70</w:t>
            </w:r>
          </w:p>
        </w:tc>
        <w:tc>
          <w:tcPr>
            <w:tcW w:w="555" w:type="dxa"/>
            <w:vAlign w:val="center"/>
          </w:tcPr>
          <w:p w14:paraId="69346C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6085D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160BE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7C9C8A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对采矿权人采取伪报矿种，隐匿产量、销售数量，或者伪报销售价格、实际开采回采率等手段，不缴或者少缴矿产资源补偿费行为的处罚</w:t>
            </w:r>
          </w:p>
        </w:tc>
        <w:tc>
          <w:tcPr>
            <w:tcW w:w="660" w:type="dxa"/>
            <w:vAlign w:val="center"/>
          </w:tcPr>
          <w:p w14:paraId="1596A753">
            <w:pPr>
              <w:snapToGrid w:val="0"/>
              <w:spacing w:line="240" w:lineRule="atLeast"/>
              <w:jc w:val="center"/>
              <w:rPr>
                <w:rFonts w:ascii="仿宋_GB2312" w:hAnsi="仿宋_GB2312" w:eastAsia="仿宋_GB2312" w:cs="仿宋_GB2312"/>
                <w:sz w:val="20"/>
                <w:szCs w:val="20"/>
              </w:rPr>
            </w:pPr>
          </w:p>
        </w:tc>
        <w:tc>
          <w:tcPr>
            <w:tcW w:w="615" w:type="dxa"/>
            <w:vAlign w:val="center"/>
          </w:tcPr>
          <w:p w14:paraId="292096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F0382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C5EF7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【行政法规】《矿产资源补偿费征收管理规定》（</w:t>
            </w:r>
            <w:r>
              <w:rPr>
                <w:rFonts w:hint="eastAsia" w:eastAsia="仿宋_GB2312"/>
                <w:snapToGrid w:val="0"/>
                <w:color w:val="000000"/>
                <w:sz w:val="20"/>
                <w:szCs w:val="20"/>
              </w:rPr>
              <w:t>1994</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150</w:t>
            </w:r>
            <w:r>
              <w:rPr>
                <w:rFonts w:hint="eastAsia" w:eastAsia="仿宋_GB2312" w:cs="宋体"/>
                <w:snapToGrid w:val="0"/>
                <w:color w:val="000000"/>
                <w:sz w:val="20"/>
                <w:szCs w:val="20"/>
              </w:rPr>
              <w:t>号发布，</w:t>
            </w:r>
            <w:r>
              <w:rPr>
                <w:rFonts w:hint="eastAsia" w:eastAsia="仿宋_GB2312"/>
                <w:snapToGrid w:val="0"/>
                <w:color w:val="000000"/>
                <w:sz w:val="20"/>
                <w:szCs w:val="20"/>
              </w:rPr>
              <w:t>1997</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222</w:t>
            </w:r>
            <w:r>
              <w:rPr>
                <w:rFonts w:hint="eastAsia" w:eastAsia="仿宋_GB2312" w:cs="宋体"/>
                <w:snapToGrid w:val="0"/>
                <w:color w:val="000000"/>
                <w:sz w:val="20"/>
                <w:szCs w:val="20"/>
              </w:rPr>
              <w:t>号修订）第七条：矿产资源补偿费由地质矿产主管部门会同财政部门征收。</w:t>
            </w:r>
          </w:p>
          <w:p w14:paraId="44C928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矿区在县级行政区域内的，矿产资源补偿费由矿区所在地的县级人民政府负责地质矿产管理工作的部门负责征收。</w:t>
            </w:r>
          </w:p>
          <w:p w14:paraId="5540A4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矿区范围跨县级以上行政区域的，矿产资源补偿费由所涉及行政区域的共同上一级人民政府负责地质矿产管理工作的部门负责征收。</w:t>
            </w:r>
          </w:p>
          <w:p w14:paraId="1A2484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13E448C3">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第十五条：采矿权人采取伪报矿种，隐匿产量、销售数量，或者伪报销售价格、实际开采回采率等手段，不缴或者少缴矿产资源补偿费的，由征收机关追缴应当缴纳的矿产资源补偿费，并处以应当缴纳的矿产资源补偿费</w:t>
            </w:r>
            <w:r>
              <w:rPr>
                <w:rFonts w:hint="eastAsia" w:eastAsia="仿宋_GB2312"/>
                <w:snapToGrid w:val="0"/>
                <w:color w:val="000000"/>
                <w:sz w:val="20"/>
                <w:szCs w:val="20"/>
              </w:rPr>
              <w:t>5</w:t>
            </w:r>
            <w:r>
              <w:rPr>
                <w:rFonts w:hint="eastAsia" w:eastAsia="仿宋_GB2312" w:cs="宋体"/>
                <w:snapToGrid w:val="0"/>
                <w:color w:val="000000"/>
                <w:sz w:val="20"/>
                <w:szCs w:val="20"/>
              </w:rPr>
              <w:t>倍以下的罚款；情节严重的，由采矿许可证颁发机关吊销其采矿许可证。</w:t>
            </w:r>
          </w:p>
        </w:tc>
        <w:tc>
          <w:tcPr>
            <w:tcW w:w="3585" w:type="dxa"/>
            <w:vAlign w:val="center"/>
          </w:tcPr>
          <w:p w14:paraId="69C099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2741D2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6D153D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5ECF61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3DF2AC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705F57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6EA7DF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4F31B3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3E7312CF">
            <w:pPr>
              <w:widowControl/>
              <w:adjustRightInd w:val="0"/>
              <w:snapToGrid w:val="0"/>
              <w:spacing w:line="240"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B613B76">
            <w:pPr>
              <w:widowControl/>
              <w:adjustRightInd w:val="0"/>
              <w:snapToGrid w:val="0"/>
              <w:spacing w:line="240"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42B68A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60453AD">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8E0157B">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FF158C1">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B950F76">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E751EDB">
            <w:pPr>
              <w:widowControl/>
              <w:adjustRightInd w:val="0"/>
              <w:snapToGrid w:val="0"/>
              <w:spacing w:line="24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2CA5BA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8F74DEC">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AD2F39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E13C6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30AFC0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57AD7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DF84B9">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BC5AE9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29FDD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D7E84E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E0290B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09420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9564B92">
            <w:pPr>
              <w:snapToGrid w:val="0"/>
              <w:spacing w:line="240" w:lineRule="atLeast"/>
              <w:jc w:val="center"/>
              <w:rPr>
                <w:rFonts w:ascii="仿宋_GB2312" w:hAnsi="仿宋_GB2312" w:eastAsia="仿宋_GB2312" w:cs="仿宋_GB2312"/>
                <w:sz w:val="20"/>
                <w:szCs w:val="20"/>
              </w:rPr>
            </w:pPr>
          </w:p>
        </w:tc>
      </w:tr>
    </w:tbl>
    <w:p w14:paraId="4FAE9D99"/>
    <w:p w14:paraId="09A732E0"/>
    <w:p w14:paraId="77D05B1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312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E0A3C0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8F426A">
            <w:pPr>
              <w:spacing w:line="240" w:lineRule="atLeast"/>
              <w:rPr>
                <w:rFonts w:asciiTheme="majorEastAsia" w:hAnsiTheme="majorEastAsia" w:eastAsiaTheme="majorEastAsia" w:cstheme="majorEastAsia"/>
                <w:spacing w:val="-20"/>
                <w:sz w:val="20"/>
                <w:szCs w:val="20"/>
              </w:rPr>
            </w:pPr>
          </w:p>
          <w:p w14:paraId="2F9F6F5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28E92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1A67E3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FB9FF9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A29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5D76FA8">
            <w:pPr>
              <w:spacing w:line="240" w:lineRule="atLeast"/>
              <w:jc w:val="left"/>
              <w:rPr>
                <w:rFonts w:ascii="仿宋_GB2312" w:hAnsi="仿宋_GB2312" w:eastAsia="仿宋_GB2312" w:cs="仿宋_GB2312"/>
                <w:sz w:val="20"/>
                <w:szCs w:val="20"/>
              </w:rPr>
            </w:pPr>
          </w:p>
        </w:tc>
        <w:tc>
          <w:tcPr>
            <w:tcW w:w="555" w:type="dxa"/>
            <w:vMerge w:val="continue"/>
          </w:tcPr>
          <w:p w14:paraId="2B5C1C63">
            <w:pPr>
              <w:spacing w:line="240" w:lineRule="atLeast"/>
              <w:jc w:val="left"/>
              <w:rPr>
                <w:rFonts w:ascii="仿宋_GB2312" w:hAnsi="仿宋_GB2312" w:eastAsia="仿宋_GB2312" w:cs="仿宋_GB2312"/>
                <w:sz w:val="20"/>
                <w:szCs w:val="20"/>
              </w:rPr>
            </w:pPr>
          </w:p>
        </w:tc>
        <w:tc>
          <w:tcPr>
            <w:tcW w:w="784" w:type="dxa"/>
            <w:vAlign w:val="center"/>
          </w:tcPr>
          <w:p w14:paraId="15D4B84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BD2D0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EE04F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DE4EF4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BB294E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474A6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5E51C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2B5C6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99985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A98FD69">
            <w:pPr>
              <w:spacing w:line="240" w:lineRule="atLeast"/>
              <w:jc w:val="left"/>
              <w:rPr>
                <w:rFonts w:ascii="仿宋_GB2312" w:hAnsi="仿宋_GB2312" w:eastAsia="仿宋_GB2312" w:cs="仿宋_GB2312"/>
                <w:sz w:val="20"/>
                <w:szCs w:val="20"/>
              </w:rPr>
            </w:pPr>
          </w:p>
        </w:tc>
      </w:tr>
      <w:tr w14:paraId="70B8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E079D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71</w:t>
            </w:r>
          </w:p>
        </w:tc>
        <w:tc>
          <w:tcPr>
            <w:tcW w:w="555" w:type="dxa"/>
            <w:vAlign w:val="center"/>
          </w:tcPr>
          <w:p w14:paraId="5ED96B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7003D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DDACD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462FB1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对未按规定报送征收矿产资源补偿费有关资料行为的处罚</w:t>
            </w:r>
          </w:p>
        </w:tc>
        <w:tc>
          <w:tcPr>
            <w:tcW w:w="660" w:type="dxa"/>
            <w:vAlign w:val="center"/>
          </w:tcPr>
          <w:p w14:paraId="28510F3B">
            <w:pPr>
              <w:snapToGrid w:val="0"/>
              <w:spacing w:line="240" w:lineRule="atLeast"/>
              <w:jc w:val="center"/>
              <w:rPr>
                <w:rFonts w:ascii="仿宋_GB2312" w:hAnsi="仿宋_GB2312" w:eastAsia="仿宋_GB2312" w:cs="仿宋_GB2312"/>
                <w:sz w:val="20"/>
                <w:szCs w:val="20"/>
              </w:rPr>
            </w:pPr>
          </w:p>
        </w:tc>
        <w:tc>
          <w:tcPr>
            <w:tcW w:w="615" w:type="dxa"/>
            <w:vAlign w:val="center"/>
          </w:tcPr>
          <w:p w14:paraId="6267C8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20D05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421ED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【行政法规】《矿产资源补偿费征收管理规定》（1994年国务院令第150号发布，1997年国务院令第222号修订）第七条：矿产资源补偿费由地质矿产主管部门会同财政部门征收。</w:t>
            </w:r>
          </w:p>
          <w:p w14:paraId="279875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矿区在县级行政区域内的，矿产资源补偿费由矿区所在地的县级人民政府负责地质矿产管理工作的部门负责征收。</w:t>
            </w:r>
          </w:p>
          <w:p w14:paraId="0694A0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矿区范围跨县级以上行政区域的，矿产资源补偿费由所涉及行政区域的共同上一级人民政府负责地质矿产管理工作的部门负责征收。</w:t>
            </w:r>
          </w:p>
          <w:p w14:paraId="2411E5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464586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第十六条：采矿权人未按照本规定第九条的规定报送有关资料的，由征收机关责令限期报送；逾期不报送的，处以5000元以下罚款；仍不报送的，采矿许可证颁发机关可以吊销其采矿许可证。</w:t>
            </w:r>
          </w:p>
        </w:tc>
        <w:tc>
          <w:tcPr>
            <w:tcW w:w="3585" w:type="dxa"/>
            <w:vAlign w:val="center"/>
          </w:tcPr>
          <w:p w14:paraId="7A962A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048F68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604AD0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585FAD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3FFF8C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12534A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3966B2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5BFFD3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6975214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426C7D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B48D1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A2C479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4E57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F1293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894EA2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C3256A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8A4B1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768A0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3520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FCD38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E0DB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D1B4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3EACF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20933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2A0C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5985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2A844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4872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56164F4">
            <w:pPr>
              <w:snapToGrid w:val="0"/>
              <w:spacing w:line="240" w:lineRule="atLeast"/>
              <w:jc w:val="center"/>
              <w:rPr>
                <w:rFonts w:ascii="仿宋_GB2312" w:hAnsi="仿宋_GB2312" w:eastAsia="仿宋_GB2312" w:cs="仿宋_GB2312"/>
                <w:sz w:val="20"/>
                <w:szCs w:val="20"/>
              </w:rPr>
            </w:pPr>
          </w:p>
        </w:tc>
      </w:tr>
    </w:tbl>
    <w:p w14:paraId="5BAAEAE8"/>
    <w:p w14:paraId="39C95340"/>
    <w:p w14:paraId="593D575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ED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D5FD6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F658369">
            <w:pPr>
              <w:spacing w:line="240" w:lineRule="atLeast"/>
              <w:rPr>
                <w:rFonts w:asciiTheme="majorEastAsia" w:hAnsiTheme="majorEastAsia" w:eastAsiaTheme="majorEastAsia" w:cstheme="majorEastAsia"/>
                <w:spacing w:val="-20"/>
                <w:sz w:val="20"/>
                <w:szCs w:val="20"/>
              </w:rPr>
            </w:pPr>
          </w:p>
          <w:p w14:paraId="0ABF018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909D5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C194F5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EE4770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085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5122B5D">
            <w:pPr>
              <w:spacing w:line="240" w:lineRule="atLeast"/>
              <w:jc w:val="left"/>
              <w:rPr>
                <w:rFonts w:ascii="仿宋_GB2312" w:hAnsi="仿宋_GB2312" w:eastAsia="仿宋_GB2312" w:cs="仿宋_GB2312"/>
                <w:sz w:val="20"/>
                <w:szCs w:val="20"/>
              </w:rPr>
            </w:pPr>
          </w:p>
        </w:tc>
        <w:tc>
          <w:tcPr>
            <w:tcW w:w="555" w:type="dxa"/>
            <w:vMerge w:val="continue"/>
          </w:tcPr>
          <w:p w14:paraId="3796B2E6">
            <w:pPr>
              <w:spacing w:line="240" w:lineRule="atLeast"/>
              <w:jc w:val="left"/>
              <w:rPr>
                <w:rFonts w:ascii="仿宋_GB2312" w:hAnsi="仿宋_GB2312" w:eastAsia="仿宋_GB2312" w:cs="仿宋_GB2312"/>
                <w:sz w:val="20"/>
                <w:szCs w:val="20"/>
              </w:rPr>
            </w:pPr>
          </w:p>
        </w:tc>
        <w:tc>
          <w:tcPr>
            <w:tcW w:w="784" w:type="dxa"/>
            <w:vAlign w:val="center"/>
          </w:tcPr>
          <w:p w14:paraId="15D3F13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7CAC6E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0A847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92B952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C70B5E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265F3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31A4F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426A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49AD2A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EC5BACE">
            <w:pPr>
              <w:spacing w:line="240" w:lineRule="atLeast"/>
              <w:jc w:val="left"/>
              <w:rPr>
                <w:rFonts w:ascii="仿宋_GB2312" w:hAnsi="仿宋_GB2312" w:eastAsia="仿宋_GB2312" w:cs="仿宋_GB2312"/>
                <w:sz w:val="20"/>
                <w:szCs w:val="20"/>
              </w:rPr>
            </w:pPr>
          </w:p>
        </w:tc>
      </w:tr>
      <w:tr w14:paraId="0DD4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AC29C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72</w:t>
            </w:r>
          </w:p>
        </w:tc>
        <w:tc>
          <w:tcPr>
            <w:tcW w:w="555" w:type="dxa"/>
            <w:vAlign w:val="center"/>
          </w:tcPr>
          <w:p w14:paraId="4C6152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245C2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20E1D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8A74A3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对以承包等方式擅自转让采矿权行为的处罚</w:t>
            </w:r>
          </w:p>
        </w:tc>
        <w:tc>
          <w:tcPr>
            <w:tcW w:w="660" w:type="dxa"/>
            <w:vAlign w:val="center"/>
          </w:tcPr>
          <w:p w14:paraId="6FD8B564">
            <w:pPr>
              <w:snapToGrid w:val="0"/>
              <w:spacing w:line="240" w:lineRule="atLeast"/>
              <w:jc w:val="center"/>
              <w:rPr>
                <w:rFonts w:ascii="仿宋_GB2312" w:hAnsi="仿宋_GB2312" w:eastAsia="仿宋_GB2312" w:cs="仿宋_GB2312"/>
                <w:sz w:val="20"/>
                <w:szCs w:val="20"/>
              </w:rPr>
            </w:pPr>
          </w:p>
        </w:tc>
        <w:tc>
          <w:tcPr>
            <w:tcW w:w="615" w:type="dxa"/>
            <w:vAlign w:val="center"/>
          </w:tcPr>
          <w:p w14:paraId="6EFC75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74AE5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A66E1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【行政法规】《探矿权采矿权转让管理办法》（1998年国务院令第242号公布，2014年国务院令第653号修订）第三条：除按照下列规定可以转让外，探矿权、采矿权不得转让：</w:t>
            </w:r>
          </w:p>
          <w:p w14:paraId="780A92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（二）已经取得采矿权的矿山企业，因企业合并、分立，与他人合资、合作经营，或者因企业资产出售以及有其他变更企业资产产权的情形，需要变更采矿权主体的，经依法批准，可以将采矿权转让他人采矿。</w:t>
            </w:r>
          </w:p>
          <w:p w14:paraId="33DE50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第十五条： 违反本办法第三条第（二）项的规定，以承包等方式擅自将采矿权转给他人进行采矿的，由县级以上人民政府负责地质矿产管理工作的部门按照国务院地质矿产主管部门规定的权限，责令改正，没收违法所得，处10万元以下的罚款；情节严重的，由原发证机关吊销采矿许可证。</w:t>
            </w:r>
          </w:p>
        </w:tc>
        <w:tc>
          <w:tcPr>
            <w:tcW w:w="3585" w:type="dxa"/>
            <w:vAlign w:val="center"/>
          </w:tcPr>
          <w:p w14:paraId="56E09C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F9A9D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2E2C6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DC752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B0EEB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0343E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E7BA8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1EC2B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84A1FB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05CB18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BB72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E9B0E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146EA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5138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1CDF6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B48E4F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195BA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77F5A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92ECA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C8564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764BE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A447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0762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A9C60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4421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ACA1B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09F3C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B13CA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4564859">
            <w:pPr>
              <w:snapToGrid w:val="0"/>
              <w:spacing w:line="240" w:lineRule="atLeast"/>
              <w:jc w:val="center"/>
              <w:rPr>
                <w:rFonts w:ascii="仿宋_GB2312" w:hAnsi="仿宋_GB2312" w:eastAsia="仿宋_GB2312" w:cs="仿宋_GB2312"/>
                <w:sz w:val="20"/>
                <w:szCs w:val="20"/>
              </w:rPr>
            </w:pPr>
          </w:p>
        </w:tc>
      </w:tr>
    </w:tbl>
    <w:p w14:paraId="72C04E66"/>
    <w:p w14:paraId="3097DFCB"/>
    <w:p w14:paraId="2E0D4A3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18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16148F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6A6D8D3">
            <w:pPr>
              <w:spacing w:line="240" w:lineRule="atLeast"/>
              <w:rPr>
                <w:rFonts w:asciiTheme="majorEastAsia" w:hAnsiTheme="majorEastAsia" w:eastAsiaTheme="majorEastAsia" w:cstheme="majorEastAsia"/>
                <w:spacing w:val="-20"/>
                <w:sz w:val="20"/>
                <w:szCs w:val="20"/>
              </w:rPr>
            </w:pPr>
          </w:p>
          <w:p w14:paraId="23DE12D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E1FBFA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6E12D3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A77B16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FAF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E17D4E">
            <w:pPr>
              <w:spacing w:line="240" w:lineRule="atLeast"/>
              <w:jc w:val="left"/>
              <w:rPr>
                <w:rFonts w:ascii="仿宋_GB2312" w:hAnsi="仿宋_GB2312" w:eastAsia="仿宋_GB2312" w:cs="仿宋_GB2312"/>
                <w:sz w:val="20"/>
                <w:szCs w:val="20"/>
              </w:rPr>
            </w:pPr>
          </w:p>
        </w:tc>
        <w:tc>
          <w:tcPr>
            <w:tcW w:w="555" w:type="dxa"/>
            <w:vMerge w:val="continue"/>
          </w:tcPr>
          <w:p w14:paraId="576C1DCE">
            <w:pPr>
              <w:spacing w:line="240" w:lineRule="atLeast"/>
              <w:jc w:val="left"/>
              <w:rPr>
                <w:rFonts w:ascii="仿宋_GB2312" w:hAnsi="仿宋_GB2312" w:eastAsia="仿宋_GB2312" w:cs="仿宋_GB2312"/>
                <w:sz w:val="20"/>
                <w:szCs w:val="20"/>
              </w:rPr>
            </w:pPr>
          </w:p>
        </w:tc>
        <w:tc>
          <w:tcPr>
            <w:tcW w:w="784" w:type="dxa"/>
            <w:vAlign w:val="center"/>
          </w:tcPr>
          <w:p w14:paraId="0F38F50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1C3E74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CF9BC9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A9E832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353ED9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6A46F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08797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42AD5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71DFE1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89D5E61">
            <w:pPr>
              <w:spacing w:line="240" w:lineRule="atLeast"/>
              <w:jc w:val="left"/>
              <w:rPr>
                <w:rFonts w:ascii="仿宋_GB2312" w:hAnsi="仿宋_GB2312" w:eastAsia="仿宋_GB2312" w:cs="仿宋_GB2312"/>
                <w:sz w:val="20"/>
                <w:szCs w:val="20"/>
              </w:rPr>
            </w:pPr>
          </w:p>
        </w:tc>
      </w:tr>
      <w:tr w14:paraId="7227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783F2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73</w:t>
            </w:r>
          </w:p>
        </w:tc>
        <w:tc>
          <w:tcPr>
            <w:tcW w:w="555" w:type="dxa"/>
            <w:vAlign w:val="center"/>
          </w:tcPr>
          <w:p w14:paraId="240A18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99472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A8A1C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527964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对探矿权人未采取治理恢复措施行为的处罚</w:t>
            </w:r>
          </w:p>
        </w:tc>
        <w:tc>
          <w:tcPr>
            <w:tcW w:w="660" w:type="dxa"/>
            <w:vAlign w:val="center"/>
          </w:tcPr>
          <w:p w14:paraId="4B20803F">
            <w:pPr>
              <w:snapToGrid w:val="0"/>
              <w:spacing w:line="240" w:lineRule="atLeast"/>
              <w:jc w:val="center"/>
              <w:rPr>
                <w:rFonts w:ascii="仿宋_GB2312" w:hAnsi="仿宋_GB2312" w:eastAsia="仿宋_GB2312" w:cs="仿宋_GB2312"/>
                <w:sz w:val="20"/>
                <w:szCs w:val="20"/>
              </w:rPr>
            </w:pPr>
          </w:p>
        </w:tc>
        <w:tc>
          <w:tcPr>
            <w:tcW w:w="615" w:type="dxa"/>
            <w:vAlign w:val="center"/>
          </w:tcPr>
          <w:p w14:paraId="78C1AB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23A9E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C0C0E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55E7C0A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3FB8D3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十一条：以槽探、坑探方式勘查矿产资源，探矿权人在矿产资源勘查活动结束后未申请采矿权的，应当采取相应的治理恢复措施，对其勘查矿产资源遗留的钻孔、探井、探槽、巷道进行回填、封闭，对形成的危岩、危坡等进行治理恢复，消除安全隐患。</w:t>
            </w:r>
          </w:p>
          <w:p w14:paraId="3E59FF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第二十九条：违反本规定第二十一条规定，探矿权人未采取治理恢复措施的，由县级以上自然资源主管部门责令限期改正；逾期拒不改正的，处3万元以下的罚款，5年内不受理其新的探矿权、采矿权申请。</w:t>
            </w:r>
          </w:p>
        </w:tc>
        <w:tc>
          <w:tcPr>
            <w:tcW w:w="3585" w:type="dxa"/>
            <w:vAlign w:val="center"/>
          </w:tcPr>
          <w:p w14:paraId="56A108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59C7A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D4948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FD87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750F9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3814A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A0656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023B0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EB3BAA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F0ADA1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F91A4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36958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727A3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D8ED50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CC59D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416AB7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DF456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0119D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B6AEC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EB006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1297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6E16F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960C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B004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F7C1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87307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A2BB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05B3B9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8566342">
            <w:pPr>
              <w:snapToGrid w:val="0"/>
              <w:spacing w:line="240" w:lineRule="atLeast"/>
              <w:jc w:val="center"/>
              <w:rPr>
                <w:rFonts w:ascii="仿宋_GB2312" w:hAnsi="仿宋_GB2312" w:eastAsia="仿宋_GB2312" w:cs="仿宋_GB2312"/>
                <w:sz w:val="20"/>
                <w:szCs w:val="20"/>
              </w:rPr>
            </w:pPr>
          </w:p>
        </w:tc>
      </w:tr>
    </w:tbl>
    <w:p w14:paraId="0664C495"/>
    <w:p w14:paraId="33284303"/>
    <w:p w14:paraId="5BD971C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15"/>
        <w:gridCol w:w="600"/>
        <w:gridCol w:w="1140"/>
        <w:gridCol w:w="4425"/>
        <w:gridCol w:w="3585"/>
        <w:gridCol w:w="9515"/>
        <w:gridCol w:w="330"/>
      </w:tblGrid>
      <w:tr w14:paraId="44A4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39FCE1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CB8FFA3">
            <w:pPr>
              <w:spacing w:line="240" w:lineRule="atLeast"/>
              <w:rPr>
                <w:rFonts w:asciiTheme="majorEastAsia" w:hAnsiTheme="majorEastAsia" w:eastAsiaTheme="majorEastAsia" w:cstheme="majorEastAsia"/>
                <w:spacing w:val="-20"/>
                <w:sz w:val="20"/>
                <w:szCs w:val="20"/>
              </w:rPr>
            </w:pPr>
          </w:p>
          <w:p w14:paraId="62A0BA2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C134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52A4C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F7E95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45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B226E20">
            <w:pPr>
              <w:spacing w:line="240" w:lineRule="atLeast"/>
              <w:jc w:val="left"/>
              <w:rPr>
                <w:rFonts w:ascii="仿宋_GB2312" w:hAnsi="仿宋_GB2312" w:eastAsia="仿宋_GB2312" w:cs="仿宋_GB2312"/>
                <w:sz w:val="20"/>
                <w:szCs w:val="20"/>
              </w:rPr>
            </w:pPr>
          </w:p>
        </w:tc>
        <w:tc>
          <w:tcPr>
            <w:tcW w:w="555" w:type="dxa"/>
            <w:vMerge w:val="continue"/>
          </w:tcPr>
          <w:p w14:paraId="495EADC8">
            <w:pPr>
              <w:spacing w:line="240" w:lineRule="atLeast"/>
              <w:jc w:val="left"/>
              <w:rPr>
                <w:rFonts w:ascii="仿宋_GB2312" w:hAnsi="仿宋_GB2312" w:eastAsia="仿宋_GB2312" w:cs="仿宋_GB2312"/>
                <w:sz w:val="20"/>
                <w:szCs w:val="20"/>
              </w:rPr>
            </w:pPr>
          </w:p>
        </w:tc>
        <w:tc>
          <w:tcPr>
            <w:tcW w:w="994" w:type="dxa"/>
            <w:vAlign w:val="center"/>
          </w:tcPr>
          <w:p w14:paraId="44ECCA7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F650F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632C60E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5F5AA43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40" w:type="dxa"/>
            <w:vAlign w:val="center"/>
          </w:tcPr>
          <w:p w14:paraId="79CB97B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25" w:type="dxa"/>
            <w:vAlign w:val="center"/>
          </w:tcPr>
          <w:p w14:paraId="1BA588B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A0688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C8AE9F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FED084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1067279">
            <w:pPr>
              <w:spacing w:line="240" w:lineRule="atLeast"/>
              <w:jc w:val="left"/>
              <w:rPr>
                <w:rFonts w:ascii="仿宋_GB2312" w:hAnsi="仿宋_GB2312" w:eastAsia="仿宋_GB2312" w:cs="仿宋_GB2312"/>
                <w:sz w:val="20"/>
                <w:szCs w:val="20"/>
              </w:rPr>
            </w:pPr>
          </w:p>
        </w:tc>
      </w:tr>
      <w:tr w14:paraId="14C6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38879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74</w:t>
            </w:r>
          </w:p>
        </w:tc>
        <w:tc>
          <w:tcPr>
            <w:tcW w:w="555" w:type="dxa"/>
            <w:vAlign w:val="center"/>
          </w:tcPr>
          <w:p w14:paraId="4E813D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6044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D9451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69FB2D3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擅自移动和破坏碑石、界标，进行采石、取土、开矿、放牧、砍伐以及采集标本化石，对地质遗迹造成污染和破坏，不服从保护区管理机构管理以及从事科研活动未向管理单位提交研究成果副本行为的处罚</w:t>
            </w:r>
          </w:p>
        </w:tc>
        <w:tc>
          <w:tcPr>
            <w:tcW w:w="615" w:type="dxa"/>
            <w:vAlign w:val="center"/>
          </w:tcPr>
          <w:p w14:paraId="35C44B37">
            <w:pPr>
              <w:snapToGrid w:val="0"/>
              <w:spacing w:line="240" w:lineRule="atLeast"/>
              <w:jc w:val="center"/>
              <w:rPr>
                <w:rFonts w:ascii="仿宋_GB2312" w:hAnsi="仿宋_GB2312" w:eastAsia="仿宋_GB2312" w:cs="仿宋_GB2312"/>
                <w:sz w:val="20"/>
                <w:szCs w:val="20"/>
              </w:rPr>
            </w:pPr>
          </w:p>
        </w:tc>
        <w:tc>
          <w:tcPr>
            <w:tcW w:w="600" w:type="dxa"/>
            <w:vAlign w:val="center"/>
          </w:tcPr>
          <w:p w14:paraId="6FE650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40" w:type="dxa"/>
            <w:vAlign w:val="center"/>
          </w:tcPr>
          <w:p w14:paraId="1AF675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25" w:type="dxa"/>
            <w:vAlign w:val="center"/>
          </w:tcPr>
          <w:p w14:paraId="076956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1.【行政法规】《中华人民共和国自然保护区条例 》（1994年国务院令167号公布，2017年国务院令第687号修订）第三十四条：违反本条例规定，有下列行为之一的单位和个人，由自然保护区管理机构责令其改正，并可以根据不同情节处以100元以上5000元以下的罚款：</w:t>
            </w:r>
          </w:p>
          <w:p w14:paraId="6CDBAC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（一）擅自移动或者破坏自然保护区界标的；</w:t>
            </w:r>
          </w:p>
          <w:p w14:paraId="189F16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（二）未经批准进入自然保护区或者在自然保护区内不服从管理机构管理的；</w:t>
            </w:r>
          </w:p>
          <w:p w14:paraId="4DCBA3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（三）经批准在自然保护区的缓冲区内从事科学研究、教学实习和标本采集的单位和个人，不向自然保护区管理机构提交活动成果副本的。</w:t>
            </w:r>
          </w:p>
          <w:p w14:paraId="1FD872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五条：违反本条例规定，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10000元以下的罚款。</w:t>
            </w:r>
          </w:p>
          <w:p w14:paraId="378D06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第四十条：违反本条例规定，造成自然保护区重大污染或者破坏事故，导致公私财产重大损失或者人身伤亡的严重后果，构成犯罪的，对直接负责的主管人员和其他直接责任人员依法追究刑事责任。</w:t>
            </w:r>
          </w:p>
          <w:p w14:paraId="798196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14:paraId="0302E1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一、违反本规定第十四条，擅自移动和破坏碑石、界标的；</w:t>
            </w:r>
          </w:p>
          <w:p w14:paraId="46E268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二、违反本规定第十七条，进行采石、取土、开矿、放牧、砍伐以及采集标本化石的；</w:t>
            </w:r>
          </w:p>
          <w:p w14:paraId="46DCAB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三、违反本规定第十八条，对地质遗迹造成污染和破坏的；</w:t>
            </w:r>
          </w:p>
          <w:p w14:paraId="0775B6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四、违反本规定第十九条，不服从保护区管理机构管理以及从事科研活动未向管理单位提交研究成果副本的。</w:t>
            </w:r>
          </w:p>
          <w:p w14:paraId="484D2ED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tc>
        <w:tc>
          <w:tcPr>
            <w:tcW w:w="3585" w:type="dxa"/>
            <w:vAlign w:val="center"/>
          </w:tcPr>
          <w:p w14:paraId="7F9DDE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DA3F8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CE0E7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6EE89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B45A4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C251F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23396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5F102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AC1174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B6E3A8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CC194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9C7E6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C8E30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66F027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3D8D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2BBAD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07ED4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D43C3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80970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B43E5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69B30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E77B5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35EF1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A3991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1B58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26E1B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366F1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C153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299F5D5">
            <w:pPr>
              <w:snapToGrid w:val="0"/>
              <w:spacing w:line="240" w:lineRule="atLeast"/>
              <w:jc w:val="center"/>
              <w:rPr>
                <w:rFonts w:ascii="仿宋_GB2312" w:hAnsi="仿宋_GB2312" w:eastAsia="仿宋_GB2312" w:cs="仿宋_GB2312"/>
                <w:sz w:val="20"/>
                <w:szCs w:val="20"/>
              </w:rPr>
            </w:pPr>
          </w:p>
        </w:tc>
      </w:tr>
    </w:tbl>
    <w:p w14:paraId="6D015CE6"/>
    <w:p w14:paraId="2C0E94FA"/>
    <w:p w14:paraId="75B8858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C5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F9DBB2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3E86030">
            <w:pPr>
              <w:spacing w:line="240" w:lineRule="atLeast"/>
              <w:rPr>
                <w:rFonts w:asciiTheme="majorEastAsia" w:hAnsiTheme="majorEastAsia" w:eastAsiaTheme="majorEastAsia" w:cstheme="majorEastAsia"/>
                <w:spacing w:val="-20"/>
                <w:sz w:val="20"/>
                <w:szCs w:val="20"/>
              </w:rPr>
            </w:pPr>
          </w:p>
          <w:p w14:paraId="64B4991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7B6B2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84441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32A515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1E5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D791E3">
            <w:pPr>
              <w:spacing w:line="240" w:lineRule="atLeast"/>
              <w:jc w:val="left"/>
              <w:rPr>
                <w:rFonts w:ascii="仿宋_GB2312" w:hAnsi="仿宋_GB2312" w:eastAsia="仿宋_GB2312" w:cs="仿宋_GB2312"/>
                <w:sz w:val="20"/>
                <w:szCs w:val="20"/>
              </w:rPr>
            </w:pPr>
          </w:p>
        </w:tc>
        <w:tc>
          <w:tcPr>
            <w:tcW w:w="555" w:type="dxa"/>
            <w:vMerge w:val="continue"/>
          </w:tcPr>
          <w:p w14:paraId="4E94128C">
            <w:pPr>
              <w:spacing w:line="240" w:lineRule="atLeast"/>
              <w:jc w:val="left"/>
              <w:rPr>
                <w:rFonts w:ascii="仿宋_GB2312" w:hAnsi="仿宋_GB2312" w:eastAsia="仿宋_GB2312" w:cs="仿宋_GB2312"/>
                <w:sz w:val="20"/>
                <w:szCs w:val="20"/>
              </w:rPr>
            </w:pPr>
          </w:p>
        </w:tc>
        <w:tc>
          <w:tcPr>
            <w:tcW w:w="784" w:type="dxa"/>
            <w:vAlign w:val="center"/>
          </w:tcPr>
          <w:p w14:paraId="14B590E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A8D80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DBFE9C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35D08D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5A6A0B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88408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C4214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AD33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1E88C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B7B1CB2">
            <w:pPr>
              <w:spacing w:line="240" w:lineRule="atLeast"/>
              <w:jc w:val="left"/>
              <w:rPr>
                <w:rFonts w:ascii="仿宋_GB2312" w:hAnsi="仿宋_GB2312" w:eastAsia="仿宋_GB2312" w:cs="仿宋_GB2312"/>
                <w:sz w:val="20"/>
                <w:szCs w:val="20"/>
              </w:rPr>
            </w:pPr>
          </w:p>
        </w:tc>
      </w:tr>
      <w:tr w14:paraId="7542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EE488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75</w:t>
            </w:r>
          </w:p>
        </w:tc>
        <w:tc>
          <w:tcPr>
            <w:tcW w:w="555" w:type="dxa"/>
            <w:vAlign w:val="center"/>
          </w:tcPr>
          <w:p w14:paraId="6C7F31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BB1D7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218E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B63E50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对矿业权人不按照批准的勘查设计或者矿产资源开发利用方案施工行为的处罚</w:t>
            </w:r>
          </w:p>
        </w:tc>
        <w:tc>
          <w:tcPr>
            <w:tcW w:w="660" w:type="dxa"/>
            <w:vAlign w:val="center"/>
          </w:tcPr>
          <w:p w14:paraId="12157336">
            <w:pPr>
              <w:snapToGrid w:val="0"/>
              <w:spacing w:line="240" w:lineRule="atLeast"/>
              <w:jc w:val="center"/>
              <w:rPr>
                <w:rFonts w:ascii="仿宋_GB2312" w:hAnsi="仿宋_GB2312" w:eastAsia="仿宋_GB2312" w:cs="仿宋_GB2312"/>
                <w:sz w:val="20"/>
                <w:szCs w:val="20"/>
              </w:rPr>
            </w:pPr>
          </w:p>
        </w:tc>
        <w:tc>
          <w:tcPr>
            <w:tcW w:w="615" w:type="dxa"/>
            <w:vAlign w:val="center"/>
          </w:tcPr>
          <w:p w14:paraId="6C329F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DA387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14581F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四十一条：不按照批准的勘查设计或者矿产资源开发利用方案施工的，由地质矿产主管部门责令限期改正；逾期不改正的，处一千元以上五万元以下的罚款；情节严重的，原发证机关可以吊销勘查许可证或者采矿许可证。</w:t>
            </w:r>
          </w:p>
        </w:tc>
        <w:tc>
          <w:tcPr>
            <w:tcW w:w="3585" w:type="dxa"/>
            <w:vAlign w:val="center"/>
          </w:tcPr>
          <w:p w14:paraId="3E5EC8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BC547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D5A1B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7F765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B615D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CFED8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AE72A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7139A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5B08A8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9FA788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C68E4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590292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37C28D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6B6AE9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DA7DB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C75EC2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D2E0C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23567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DCC7F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9D05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806B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3478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7D5B0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88D71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D1D3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0C2F6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61C35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8A73E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418C3D6">
            <w:pPr>
              <w:snapToGrid w:val="0"/>
              <w:spacing w:line="240" w:lineRule="atLeast"/>
              <w:jc w:val="center"/>
              <w:rPr>
                <w:rFonts w:ascii="仿宋_GB2312" w:hAnsi="仿宋_GB2312" w:eastAsia="仿宋_GB2312" w:cs="仿宋_GB2312"/>
                <w:sz w:val="20"/>
                <w:szCs w:val="20"/>
              </w:rPr>
            </w:pPr>
          </w:p>
        </w:tc>
      </w:tr>
    </w:tbl>
    <w:p w14:paraId="46F2C5B8"/>
    <w:p w14:paraId="1C3565DD"/>
    <w:p w14:paraId="0070A55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D25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F1F81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05B682F">
            <w:pPr>
              <w:spacing w:line="240" w:lineRule="atLeast"/>
              <w:rPr>
                <w:rFonts w:asciiTheme="majorEastAsia" w:hAnsiTheme="majorEastAsia" w:eastAsiaTheme="majorEastAsia" w:cstheme="majorEastAsia"/>
                <w:spacing w:val="-20"/>
                <w:sz w:val="20"/>
                <w:szCs w:val="20"/>
              </w:rPr>
            </w:pPr>
          </w:p>
          <w:p w14:paraId="27965C6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BE7BFE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041765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104CEA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7DA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CA8AC0">
            <w:pPr>
              <w:spacing w:line="240" w:lineRule="atLeast"/>
              <w:jc w:val="left"/>
              <w:rPr>
                <w:rFonts w:ascii="仿宋_GB2312" w:hAnsi="仿宋_GB2312" w:eastAsia="仿宋_GB2312" w:cs="仿宋_GB2312"/>
                <w:sz w:val="20"/>
                <w:szCs w:val="20"/>
              </w:rPr>
            </w:pPr>
          </w:p>
        </w:tc>
        <w:tc>
          <w:tcPr>
            <w:tcW w:w="555" w:type="dxa"/>
            <w:vMerge w:val="continue"/>
          </w:tcPr>
          <w:p w14:paraId="3FBD2E97">
            <w:pPr>
              <w:spacing w:line="240" w:lineRule="atLeast"/>
              <w:jc w:val="left"/>
              <w:rPr>
                <w:rFonts w:ascii="仿宋_GB2312" w:hAnsi="仿宋_GB2312" w:eastAsia="仿宋_GB2312" w:cs="仿宋_GB2312"/>
                <w:sz w:val="20"/>
                <w:szCs w:val="20"/>
              </w:rPr>
            </w:pPr>
          </w:p>
        </w:tc>
        <w:tc>
          <w:tcPr>
            <w:tcW w:w="784" w:type="dxa"/>
            <w:vAlign w:val="center"/>
          </w:tcPr>
          <w:p w14:paraId="3E00735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7DD060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978A8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6C51BE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B407D1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847FE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00BCF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6366C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6BE192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EDC17CB">
            <w:pPr>
              <w:spacing w:line="240" w:lineRule="atLeast"/>
              <w:jc w:val="left"/>
              <w:rPr>
                <w:rFonts w:ascii="仿宋_GB2312" w:hAnsi="仿宋_GB2312" w:eastAsia="仿宋_GB2312" w:cs="仿宋_GB2312"/>
                <w:sz w:val="20"/>
                <w:szCs w:val="20"/>
              </w:rPr>
            </w:pPr>
          </w:p>
        </w:tc>
      </w:tr>
      <w:tr w14:paraId="2888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BD55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76</w:t>
            </w:r>
          </w:p>
        </w:tc>
        <w:tc>
          <w:tcPr>
            <w:tcW w:w="555" w:type="dxa"/>
            <w:vAlign w:val="center"/>
          </w:tcPr>
          <w:p w14:paraId="01D0F7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5BBA4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A777C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DA4F3E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对探矿权人不及时对遗留的钻孔、探井、巷道和形成的危岩、危坡采取回填、封闭或者其他消除地质灾害隐患措施行为的处罚</w:t>
            </w:r>
          </w:p>
        </w:tc>
        <w:tc>
          <w:tcPr>
            <w:tcW w:w="660" w:type="dxa"/>
            <w:vAlign w:val="center"/>
          </w:tcPr>
          <w:p w14:paraId="6BF01DE2">
            <w:pPr>
              <w:snapToGrid w:val="0"/>
              <w:spacing w:line="240" w:lineRule="atLeast"/>
              <w:jc w:val="center"/>
              <w:rPr>
                <w:rFonts w:ascii="仿宋_GB2312" w:hAnsi="仿宋_GB2312" w:eastAsia="仿宋_GB2312" w:cs="仿宋_GB2312"/>
                <w:sz w:val="20"/>
                <w:szCs w:val="20"/>
              </w:rPr>
            </w:pPr>
          </w:p>
        </w:tc>
        <w:tc>
          <w:tcPr>
            <w:tcW w:w="615" w:type="dxa"/>
            <w:vAlign w:val="center"/>
          </w:tcPr>
          <w:p w14:paraId="79BD1B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73A3F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368EA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　根据2019年7月25日广西壮族自治区第十三届人民代表大会常务委员会第十次会议《关于修改〈广西壮族自治区环境保护条例〉等二十一件地方性法规的决定》修正） 第十一条：探矿权人应当及时对勘查作业完毕后遗留的钻孔、探井、巷道和形成的危岩、危坡采取回填、封闭或者其他消除地质灾害隐患的措施。</w:t>
            </w:r>
          </w:p>
          <w:p w14:paraId="49E1851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 违反本条例第十一条规定，探矿权人不及时对遗留的钻孔、探井、巷道和形成的危岩、危坡采取回填、封闭或者其他消除地质灾害隐患措施的，由县级以上人民政府国土资源行政主管部门责令限期治理；逾期不治理的，可以处1万元以上10万元以下的罚款。</w:t>
            </w:r>
          </w:p>
        </w:tc>
        <w:tc>
          <w:tcPr>
            <w:tcW w:w="3585" w:type="dxa"/>
            <w:vAlign w:val="center"/>
          </w:tcPr>
          <w:p w14:paraId="30BF5E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BD266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E662B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CD66C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7B7AC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C07FC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1B716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4C22D4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8DA54D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546937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98B34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BAD3B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DAA56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0A22F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95A15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85B3E5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10DEA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812B4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1BC25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BF563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20536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8C1C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09F9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4541F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B170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F3677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B02D5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1FB1C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3693649">
            <w:pPr>
              <w:snapToGrid w:val="0"/>
              <w:spacing w:line="240" w:lineRule="atLeast"/>
              <w:jc w:val="center"/>
              <w:rPr>
                <w:rFonts w:ascii="仿宋_GB2312" w:hAnsi="仿宋_GB2312" w:eastAsia="仿宋_GB2312" w:cs="仿宋_GB2312"/>
                <w:sz w:val="20"/>
                <w:szCs w:val="20"/>
              </w:rPr>
            </w:pPr>
          </w:p>
        </w:tc>
      </w:tr>
    </w:tbl>
    <w:p w14:paraId="440F1F48"/>
    <w:p w14:paraId="5AFAF459"/>
    <w:p w14:paraId="56C860A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80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BCE0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C801F44">
            <w:pPr>
              <w:spacing w:line="240" w:lineRule="atLeast"/>
              <w:rPr>
                <w:rFonts w:asciiTheme="majorEastAsia" w:hAnsiTheme="majorEastAsia" w:eastAsiaTheme="majorEastAsia" w:cstheme="majorEastAsia"/>
                <w:spacing w:val="-20"/>
                <w:sz w:val="20"/>
                <w:szCs w:val="20"/>
              </w:rPr>
            </w:pPr>
          </w:p>
          <w:p w14:paraId="57B87FF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15773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0F65B7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A28E7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60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01622E">
            <w:pPr>
              <w:spacing w:line="240" w:lineRule="atLeast"/>
              <w:jc w:val="left"/>
              <w:rPr>
                <w:rFonts w:ascii="仿宋_GB2312" w:hAnsi="仿宋_GB2312" w:eastAsia="仿宋_GB2312" w:cs="仿宋_GB2312"/>
                <w:sz w:val="20"/>
                <w:szCs w:val="20"/>
              </w:rPr>
            </w:pPr>
          </w:p>
        </w:tc>
        <w:tc>
          <w:tcPr>
            <w:tcW w:w="555" w:type="dxa"/>
            <w:vMerge w:val="continue"/>
          </w:tcPr>
          <w:p w14:paraId="1911029C">
            <w:pPr>
              <w:spacing w:line="240" w:lineRule="atLeast"/>
              <w:jc w:val="left"/>
              <w:rPr>
                <w:rFonts w:ascii="仿宋_GB2312" w:hAnsi="仿宋_GB2312" w:eastAsia="仿宋_GB2312" w:cs="仿宋_GB2312"/>
                <w:sz w:val="20"/>
                <w:szCs w:val="20"/>
              </w:rPr>
            </w:pPr>
          </w:p>
        </w:tc>
        <w:tc>
          <w:tcPr>
            <w:tcW w:w="784" w:type="dxa"/>
            <w:vAlign w:val="center"/>
          </w:tcPr>
          <w:p w14:paraId="53DD0B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BFF35F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BD3DCE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5D3A8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82A77E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4D3D0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D8038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06FC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18FD44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7CE4B61">
            <w:pPr>
              <w:spacing w:line="240" w:lineRule="atLeast"/>
              <w:jc w:val="left"/>
              <w:rPr>
                <w:rFonts w:ascii="仿宋_GB2312" w:hAnsi="仿宋_GB2312" w:eastAsia="仿宋_GB2312" w:cs="仿宋_GB2312"/>
                <w:sz w:val="20"/>
                <w:szCs w:val="20"/>
              </w:rPr>
            </w:pPr>
          </w:p>
        </w:tc>
      </w:tr>
      <w:tr w14:paraId="5BAA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9013A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77</w:t>
            </w:r>
          </w:p>
        </w:tc>
        <w:tc>
          <w:tcPr>
            <w:tcW w:w="555" w:type="dxa"/>
            <w:vAlign w:val="center"/>
          </w:tcPr>
          <w:p w14:paraId="0AA636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BBDB8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5DA5E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4AABC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对采矿权人逾期履行地质环境治理责任行为的处罚</w:t>
            </w:r>
          </w:p>
        </w:tc>
        <w:tc>
          <w:tcPr>
            <w:tcW w:w="660" w:type="dxa"/>
            <w:vAlign w:val="center"/>
          </w:tcPr>
          <w:p w14:paraId="5193B731">
            <w:pPr>
              <w:snapToGrid w:val="0"/>
              <w:spacing w:line="240" w:lineRule="atLeast"/>
              <w:jc w:val="center"/>
              <w:rPr>
                <w:rFonts w:ascii="仿宋_GB2312" w:hAnsi="仿宋_GB2312" w:eastAsia="仿宋_GB2312" w:cs="仿宋_GB2312"/>
                <w:sz w:val="20"/>
                <w:szCs w:val="20"/>
              </w:rPr>
            </w:pPr>
          </w:p>
        </w:tc>
        <w:tc>
          <w:tcPr>
            <w:tcW w:w="615" w:type="dxa"/>
            <w:vAlign w:val="center"/>
          </w:tcPr>
          <w:p w14:paraId="15F2C8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83F5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29860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2019年7月25日广西壮族自治区第十三届人民代表大会常务委员会第十次会议修正）第十二条：采矿权人在采矿过程中，应当履行下列地质环境治理责任：</w:t>
            </w:r>
          </w:p>
          <w:p w14:paraId="04E87A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（一）整治被破坏的土地、河道、航道，使之能够种植、养殖、行洪、通航或者可供其他利用；</w:t>
            </w:r>
          </w:p>
          <w:p w14:paraId="7A307D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（二）整修露天采矿的边坡、断面并种草植树，使之与周围环境相协调；</w:t>
            </w:r>
          </w:p>
          <w:p w14:paraId="3DE128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（三）消除崩塌、滑坡、泥石流、地面塌陷等地质灾害隐患；</w:t>
            </w:r>
          </w:p>
          <w:p w14:paraId="7C3D7A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（四）采取封闭、充填或者人工放顶等措施，使地下井巷采空区及其地面安全稳定；</w:t>
            </w:r>
          </w:p>
          <w:p w14:paraId="7A816D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（五）法律、法规规定的其他地质环境治理责任。</w:t>
            </w:r>
          </w:p>
          <w:p w14:paraId="39C9DE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 违反本条例第十二条规定，采矿权人未依法履行地质环境治理责任的，由县级以上人民政府国土资源行政主管部门责令限期治理；逾期不治理的，可以处2万元以上20万元以下的罚款。</w:t>
            </w:r>
          </w:p>
        </w:tc>
        <w:tc>
          <w:tcPr>
            <w:tcW w:w="3585" w:type="dxa"/>
            <w:vAlign w:val="center"/>
          </w:tcPr>
          <w:p w14:paraId="5E8845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E591D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43D3A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21138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6790F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9A37F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3CF12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49373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9853AF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C5931A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72099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C46AC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2B511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F01DD5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7F6F3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BC8EC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61A75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C06EE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8161F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D553F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27A7B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41369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C5377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1A8DE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DEB3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98A3B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87AD3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3CA5A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E522CD9">
            <w:pPr>
              <w:snapToGrid w:val="0"/>
              <w:spacing w:line="240" w:lineRule="atLeast"/>
              <w:jc w:val="center"/>
              <w:rPr>
                <w:rFonts w:ascii="仿宋_GB2312" w:hAnsi="仿宋_GB2312" w:eastAsia="仿宋_GB2312" w:cs="仿宋_GB2312"/>
                <w:sz w:val="20"/>
                <w:szCs w:val="20"/>
              </w:rPr>
            </w:pPr>
          </w:p>
        </w:tc>
      </w:tr>
    </w:tbl>
    <w:p w14:paraId="58B682A1"/>
    <w:p w14:paraId="7BE33CF8"/>
    <w:p w14:paraId="7F28E67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313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DEC86C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3C74FB5">
            <w:pPr>
              <w:spacing w:line="240" w:lineRule="atLeast"/>
              <w:rPr>
                <w:rFonts w:asciiTheme="majorEastAsia" w:hAnsiTheme="majorEastAsia" w:eastAsiaTheme="majorEastAsia" w:cstheme="majorEastAsia"/>
                <w:spacing w:val="-20"/>
                <w:sz w:val="20"/>
                <w:szCs w:val="20"/>
              </w:rPr>
            </w:pPr>
          </w:p>
          <w:p w14:paraId="49B4F12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D0AD2F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41F23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2ABEA4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4DD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87CB48">
            <w:pPr>
              <w:spacing w:line="240" w:lineRule="atLeast"/>
              <w:jc w:val="left"/>
              <w:rPr>
                <w:rFonts w:ascii="仿宋_GB2312" w:hAnsi="仿宋_GB2312" w:eastAsia="仿宋_GB2312" w:cs="仿宋_GB2312"/>
                <w:sz w:val="20"/>
                <w:szCs w:val="20"/>
              </w:rPr>
            </w:pPr>
          </w:p>
        </w:tc>
        <w:tc>
          <w:tcPr>
            <w:tcW w:w="555" w:type="dxa"/>
            <w:vMerge w:val="continue"/>
          </w:tcPr>
          <w:p w14:paraId="21098635">
            <w:pPr>
              <w:spacing w:line="240" w:lineRule="atLeast"/>
              <w:jc w:val="left"/>
              <w:rPr>
                <w:rFonts w:ascii="仿宋_GB2312" w:hAnsi="仿宋_GB2312" w:eastAsia="仿宋_GB2312" w:cs="仿宋_GB2312"/>
                <w:sz w:val="20"/>
                <w:szCs w:val="20"/>
              </w:rPr>
            </w:pPr>
          </w:p>
        </w:tc>
        <w:tc>
          <w:tcPr>
            <w:tcW w:w="784" w:type="dxa"/>
            <w:vAlign w:val="center"/>
          </w:tcPr>
          <w:p w14:paraId="692C82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77BE0E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F76FF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3F4BBB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64323E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10D0B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34D34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F518C7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07962F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172F391">
            <w:pPr>
              <w:spacing w:line="240" w:lineRule="atLeast"/>
              <w:jc w:val="left"/>
              <w:rPr>
                <w:rFonts w:ascii="仿宋_GB2312" w:hAnsi="仿宋_GB2312" w:eastAsia="仿宋_GB2312" w:cs="仿宋_GB2312"/>
                <w:sz w:val="20"/>
                <w:szCs w:val="20"/>
              </w:rPr>
            </w:pPr>
          </w:p>
        </w:tc>
      </w:tr>
      <w:tr w14:paraId="3AA6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F55E2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78</w:t>
            </w:r>
          </w:p>
        </w:tc>
        <w:tc>
          <w:tcPr>
            <w:tcW w:w="555" w:type="dxa"/>
            <w:vAlign w:val="center"/>
          </w:tcPr>
          <w:p w14:paraId="767F5E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79E5B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3F9C8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66D9DB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对违反规定侵占、损毁和擅自移动地质环境监测和保护标志、设施，非法买卖和擅自采掘古生物化石，工程建设采石、施工开挖破坏地质地貌不予绿化或者治理行为的处罚</w:t>
            </w:r>
          </w:p>
        </w:tc>
        <w:tc>
          <w:tcPr>
            <w:tcW w:w="660" w:type="dxa"/>
            <w:vAlign w:val="center"/>
          </w:tcPr>
          <w:p w14:paraId="3F6B4500">
            <w:pPr>
              <w:snapToGrid w:val="0"/>
              <w:spacing w:line="240" w:lineRule="atLeast"/>
              <w:jc w:val="center"/>
              <w:rPr>
                <w:rFonts w:ascii="仿宋_GB2312" w:hAnsi="仿宋_GB2312" w:eastAsia="仿宋_GB2312" w:cs="仿宋_GB2312"/>
                <w:sz w:val="20"/>
                <w:szCs w:val="20"/>
              </w:rPr>
            </w:pPr>
          </w:p>
        </w:tc>
        <w:tc>
          <w:tcPr>
            <w:tcW w:w="615" w:type="dxa"/>
            <w:vAlign w:val="center"/>
          </w:tcPr>
          <w:p w14:paraId="39B719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913FF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61AFD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2019年7月25日广西壮族自治区第十三届人民代表大会常务委员会第十次会议修正） 第二十三条：违反本条例规定，有下列情形之一的，由县级以上人民政府国土资源行政主管部门责令改正或者停止违法行为；有违法所得的，没收违法所得；情节严重的，可以并处5千元以上5万元以下的罚款：</w:t>
            </w:r>
          </w:p>
          <w:p w14:paraId="713F03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（一）侵占、损毁和擅自移动地质环境监测和保护标志、设施的；</w:t>
            </w:r>
          </w:p>
          <w:p w14:paraId="0D7550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（二）非法买卖和擅自采掘古生物化石的；</w:t>
            </w:r>
          </w:p>
          <w:p w14:paraId="15CFE79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（三）工程建设采石、施工开挖破坏地质地貌不予绿化或者治理的。</w:t>
            </w:r>
          </w:p>
        </w:tc>
        <w:tc>
          <w:tcPr>
            <w:tcW w:w="3585" w:type="dxa"/>
            <w:vAlign w:val="center"/>
          </w:tcPr>
          <w:p w14:paraId="7E72C2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E0F35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FC9B2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5A05E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63140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7F52E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80997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C22A3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A7EE92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5E648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8F917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5BAC5A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C6A2B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51687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71425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994AC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A2F9E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0D5C2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AC0C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7822D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AFF5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84FDC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4748F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0E31C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4061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F3FE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A49F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F4B5A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501A02B">
            <w:pPr>
              <w:snapToGrid w:val="0"/>
              <w:spacing w:line="240" w:lineRule="atLeast"/>
              <w:jc w:val="center"/>
              <w:rPr>
                <w:rFonts w:ascii="仿宋_GB2312" w:hAnsi="仿宋_GB2312" w:eastAsia="仿宋_GB2312" w:cs="仿宋_GB2312"/>
                <w:sz w:val="20"/>
                <w:szCs w:val="20"/>
              </w:rPr>
            </w:pPr>
          </w:p>
        </w:tc>
      </w:tr>
    </w:tbl>
    <w:p w14:paraId="587DB648"/>
    <w:p w14:paraId="2AE4EE86"/>
    <w:p w14:paraId="5613716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809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8FACD2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3FCBC8C">
            <w:pPr>
              <w:spacing w:line="240" w:lineRule="atLeast"/>
              <w:rPr>
                <w:rFonts w:asciiTheme="majorEastAsia" w:hAnsiTheme="majorEastAsia" w:eastAsiaTheme="majorEastAsia" w:cstheme="majorEastAsia"/>
                <w:spacing w:val="-20"/>
                <w:sz w:val="20"/>
                <w:szCs w:val="20"/>
              </w:rPr>
            </w:pPr>
          </w:p>
          <w:p w14:paraId="3451EAD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CCCE2C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923B3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0631F1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869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21E4B9B">
            <w:pPr>
              <w:spacing w:line="240" w:lineRule="atLeast"/>
              <w:jc w:val="left"/>
              <w:rPr>
                <w:rFonts w:ascii="仿宋_GB2312" w:hAnsi="仿宋_GB2312" w:eastAsia="仿宋_GB2312" w:cs="仿宋_GB2312"/>
                <w:sz w:val="20"/>
                <w:szCs w:val="20"/>
              </w:rPr>
            </w:pPr>
          </w:p>
        </w:tc>
        <w:tc>
          <w:tcPr>
            <w:tcW w:w="555" w:type="dxa"/>
            <w:vMerge w:val="continue"/>
          </w:tcPr>
          <w:p w14:paraId="172C6F71">
            <w:pPr>
              <w:spacing w:line="240" w:lineRule="atLeast"/>
              <w:jc w:val="left"/>
              <w:rPr>
                <w:rFonts w:ascii="仿宋_GB2312" w:hAnsi="仿宋_GB2312" w:eastAsia="仿宋_GB2312" w:cs="仿宋_GB2312"/>
                <w:sz w:val="20"/>
                <w:szCs w:val="20"/>
              </w:rPr>
            </w:pPr>
          </w:p>
        </w:tc>
        <w:tc>
          <w:tcPr>
            <w:tcW w:w="784" w:type="dxa"/>
            <w:vAlign w:val="center"/>
          </w:tcPr>
          <w:p w14:paraId="248E0EC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EE36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BDCC3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A743F1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BDF92C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816B1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63E0A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9A12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9390A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A2EE610">
            <w:pPr>
              <w:spacing w:line="240" w:lineRule="atLeast"/>
              <w:jc w:val="left"/>
              <w:rPr>
                <w:rFonts w:ascii="仿宋_GB2312" w:hAnsi="仿宋_GB2312" w:eastAsia="仿宋_GB2312" w:cs="仿宋_GB2312"/>
                <w:sz w:val="20"/>
                <w:szCs w:val="20"/>
              </w:rPr>
            </w:pPr>
          </w:p>
        </w:tc>
      </w:tr>
      <w:tr w14:paraId="1251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D73A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79</w:t>
            </w:r>
          </w:p>
        </w:tc>
        <w:tc>
          <w:tcPr>
            <w:tcW w:w="555" w:type="dxa"/>
            <w:vAlign w:val="center"/>
          </w:tcPr>
          <w:p w14:paraId="2FB159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D1400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384E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3C9553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对违反规定侵占、破坏或者擅自开采钟乳石行为的处罚</w:t>
            </w:r>
          </w:p>
        </w:tc>
        <w:tc>
          <w:tcPr>
            <w:tcW w:w="660" w:type="dxa"/>
            <w:vAlign w:val="center"/>
          </w:tcPr>
          <w:p w14:paraId="33ABC7F1">
            <w:pPr>
              <w:snapToGrid w:val="0"/>
              <w:spacing w:line="240" w:lineRule="atLeast"/>
              <w:jc w:val="center"/>
              <w:rPr>
                <w:rFonts w:ascii="仿宋_GB2312" w:hAnsi="仿宋_GB2312" w:eastAsia="仿宋_GB2312" w:cs="仿宋_GB2312"/>
                <w:sz w:val="20"/>
                <w:szCs w:val="20"/>
              </w:rPr>
            </w:pPr>
          </w:p>
        </w:tc>
        <w:tc>
          <w:tcPr>
            <w:tcW w:w="615" w:type="dxa"/>
            <w:vAlign w:val="center"/>
          </w:tcPr>
          <w:p w14:paraId="27DD33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FEF4C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F112A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四条：钟乳石资源属于国家所有，禁止任何组织或者个人侵占、破坏、擅自开采或者非法经营。</w:t>
            </w:r>
          </w:p>
          <w:p w14:paraId="287503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违反本条例第四条规定，侵占、破坏或者擅自开采钟乳石的，由县级以上自然资源主管部门责令停止违法行为、赔偿损失，没收采出的钟乳石和违法所得，可以并处二千元以上十万元以下的罚款；构成犯罪的，依法追究刑事责任。</w:t>
            </w:r>
          </w:p>
        </w:tc>
        <w:tc>
          <w:tcPr>
            <w:tcW w:w="3585" w:type="dxa"/>
            <w:vAlign w:val="center"/>
          </w:tcPr>
          <w:p w14:paraId="6BB478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1A8F2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19FDA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8FF7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1D32B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14F1C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B7DC3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A761D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881A77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E3F443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1B728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8091A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60934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68A64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54826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19796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815B4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7A047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B5F8A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56FB3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4CBA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7A465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60A1A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93EBF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BF66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C0A2E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07D34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E870C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D89ADD8">
            <w:pPr>
              <w:snapToGrid w:val="0"/>
              <w:spacing w:line="240" w:lineRule="atLeast"/>
              <w:jc w:val="center"/>
              <w:rPr>
                <w:rFonts w:ascii="仿宋_GB2312" w:hAnsi="仿宋_GB2312" w:eastAsia="仿宋_GB2312" w:cs="仿宋_GB2312"/>
                <w:sz w:val="20"/>
                <w:szCs w:val="20"/>
              </w:rPr>
            </w:pPr>
          </w:p>
        </w:tc>
      </w:tr>
    </w:tbl>
    <w:p w14:paraId="64CA847F"/>
    <w:p w14:paraId="76608140"/>
    <w:p w14:paraId="6E6745D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32D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CD6D8D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A3A8604">
            <w:pPr>
              <w:spacing w:line="240" w:lineRule="atLeast"/>
              <w:rPr>
                <w:rFonts w:asciiTheme="majorEastAsia" w:hAnsiTheme="majorEastAsia" w:eastAsiaTheme="majorEastAsia" w:cstheme="majorEastAsia"/>
                <w:spacing w:val="-20"/>
                <w:sz w:val="20"/>
                <w:szCs w:val="20"/>
              </w:rPr>
            </w:pPr>
          </w:p>
          <w:p w14:paraId="6E80AE3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8EE113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A81F8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B59F22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E8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A542A8">
            <w:pPr>
              <w:spacing w:line="240" w:lineRule="atLeast"/>
              <w:jc w:val="left"/>
              <w:rPr>
                <w:rFonts w:ascii="仿宋_GB2312" w:hAnsi="仿宋_GB2312" w:eastAsia="仿宋_GB2312" w:cs="仿宋_GB2312"/>
                <w:sz w:val="20"/>
                <w:szCs w:val="20"/>
              </w:rPr>
            </w:pPr>
          </w:p>
        </w:tc>
        <w:tc>
          <w:tcPr>
            <w:tcW w:w="555" w:type="dxa"/>
            <w:vMerge w:val="continue"/>
          </w:tcPr>
          <w:p w14:paraId="1FF7F950">
            <w:pPr>
              <w:spacing w:line="240" w:lineRule="atLeast"/>
              <w:jc w:val="left"/>
              <w:rPr>
                <w:rFonts w:ascii="仿宋_GB2312" w:hAnsi="仿宋_GB2312" w:eastAsia="仿宋_GB2312" w:cs="仿宋_GB2312"/>
                <w:sz w:val="20"/>
                <w:szCs w:val="20"/>
              </w:rPr>
            </w:pPr>
          </w:p>
        </w:tc>
        <w:tc>
          <w:tcPr>
            <w:tcW w:w="784" w:type="dxa"/>
            <w:vAlign w:val="center"/>
          </w:tcPr>
          <w:p w14:paraId="161B05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EED354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515C08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8D778D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44E75A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39F210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E9C57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6DFA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68FCF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E197E32">
            <w:pPr>
              <w:spacing w:line="240" w:lineRule="atLeast"/>
              <w:jc w:val="left"/>
              <w:rPr>
                <w:rFonts w:ascii="仿宋_GB2312" w:hAnsi="仿宋_GB2312" w:eastAsia="仿宋_GB2312" w:cs="仿宋_GB2312"/>
                <w:sz w:val="20"/>
                <w:szCs w:val="20"/>
              </w:rPr>
            </w:pPr>
          </w:p>
        </w:tc>
      </w:tr>
      <w:tr w14:paraId="507E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618C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80</w:t>
            </w:r>
          </w:p>
        </w:tc>
        <w:tc>
          <w:tcPr>
            <w:tcW w:w="555" w:type="dxa"/>
            <w:vAlign w:val="center"/>
          </w:tcPr>
          <w:p w14:paraId="577DFE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A8D6E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2DF86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953A8B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对违反规定未取得采矿许可证擅自采集钟乳石行为的处罚</w:t>
            </w:r>
          </w:p>
        </w:tc>
        <w:tc>
          <w:tcPr>
            <w:tcW w:w="660" w:type="dxa"/>
            <w:vAlign w:val="center"/>
          </w:tcPr>
          <w:p w14:paraId="37D8F3F6">
            <w:pPr>
              <w:snapToGrid w:val="0"/>
              <w:spacing w:line="240" w:lineRule="atLeast"/>
              <w:jc w:val="center"/>
              <w:rPr>
                <w:rFonts w:ascii="仿宋_GB2312" w:hAnsi="仿宋_GB2312" w:eastAsia="仿宋_GB2312" w:cs="仿宋_GB2312"/>
                <w:sz w:val="20"/>
                <w:szCs w:val="20"/>
              </w:rPr>
            </w:pPr>
          </w:p>
        </w:tc>
        <w:tc>
          <w:tcPr>
            <w:tcW w:w="615" w:type="dxa"/>
            <w:vAlign w:val="center"/>
          </w:tcPr>
          <w:p w14:paraId="5BF3BF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7B7C3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521AE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七条：因铁路、公路、桥梁、机场、水利等重大工程建设致使钟乳石洞穴中的钟乳石无法保留，确需采集该洞穴内钟乳石的，建设单位应当及时向当地县级以上自然资源主管部门报告。采集人应当向自治区自然资源主管部门申请领取采矿许可证后，方可采集。</w:t>
            </w:r>
          </w:p>
          <w:p w14:paraId="2DC50A5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第二十二条：违反本条例第七条规定，未取得采矿许可证擅自采集钟乳石的，由县级以上自然资源主管部门责令停止采集、赔偿损失，没收采出的钟乳石；情节严重的，可以并处二千元以上十万元以下的罚款。</w:t>
            </w:r>
          </w:p>
        </w:tc>
        <w:tc>
          <w:tcPr>
            <w:tcW w:w="3585" w:type="dxa"/>
            <w:vAlign w:val="center"/>
          </w:tcPr>
          <w:p w14:paraId="613B7B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2F0D2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696AD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A66AE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49026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89B718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CEEF5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ACBBE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046530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B4B75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2ED2C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4E2B4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01A7F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1B837A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7E08D1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A102A9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CB4C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5E2B2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A1430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25294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A5FB3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B4DF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18EC4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4FF4B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9914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4206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62551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6AC82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34F1DB2">
            <w:pPr>
              <w:snapToGrid w:val="0"/>
              <w:spacing w:line="240" w:lineRule="atLeast"/>
              <w:jc w:val="center"/>
              <w:rPr>
                <w:rFonts w:ascii="仿宋_GB2312" w:hAnsi="仿宋_GB2312" w:eastAsia="仿宋_GB2312" w:cs="仿宋_GB2312"/>
                <w:sz w:val="20"/>
                <w:szCs w:val="20"/>
              </w:rPr>
            </w:pPr>
          </w:p>
        </w:tc>
      </w:tr>
    </w:tbl>
    <w:p w14:paraId="682DA2AF"/>
    <w:p w14:paraId="3644AA51"/>
    <w:p w14:paraId="00719B5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10D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96753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2CAF87C">
            <w:pPr>
              <w:spacing w:line="240" w:lineRule="atLeast"/>
              <w:rPr>
                <w:rFonts w:asciiTheme="majorEastAsia" w:hAnsiTheme="majorEastAsia" w:eastAsiaTheme="majorEastAsia" w:cstheme="majorEastAsia"/>
                <w:spacing w:val="-20"/>
                <w:sz w:val="20"/>
                <w:szCs w:val="20"/>
              </w:rPr>
            </w:pPr>
          </w:p>
          <w:p w14:paraId="6EEF9ED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2F7450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B7F02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E44CFE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00B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DEC568">
            <w:pPr>
              <w:spacing w:line="240" w:lineRule="atLeast"/>
              <w:jc w:val="left"/>
              <w:rPr>
                <w:rFonts w:ascii="仿宋_GB2312" w:hAnsi="仿宋_GB2312" w:eastAsia="仿宋_GB2312" w:cs="仿宋_GB2312"/>
                <w:sz w:val="20"/>
                <w:szCs w:val="20"/>
              </w:rPr>
            </w:pPr>
          </w:p>
        </w:tc>
        <w:tc>
          <w:tcPr>
            <w:tcW w:w="555" w:type="dxa"/>
            <w:vMerge w:val="continue"/>
          </w:tcPr>
          <w:p w14:paraId="0CA93F29">
            <w:pPr>
              <w:spacing w:line="240" w:lineRule="atLeast"/>
              <w:jc w:val="left"/>
              <w:rPr>
                <w:rFonts w:ascii="仿宋_GB2312" w:hAnsi="仿宋_GB2312" w:eastAsia="仿宋_GB2312" w:cs="仿宋_GB2312"/>
                <w:sz w:val="20"/>
                <w:szCs w:val="20"/>
              </w:rPr>
            </w:pPr>
          </w:p>
        </w:tc>
        <w:tc>
          <w:tcPr>
            <w:tcW w:w="784" w:type="dxa"/>
            <w:vAlign w:val="center"/>
          </w:tcPr>
          <w:p w14:paraId="3287606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42B36B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35C5D0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745D66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9494C3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52E4E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3BF4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B087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84D86A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CE75F0A">
            <w:pPr>
              <w:spacing w:line="240" w:lineRule="atLeast"/>
              <w:jc w:val="left"/>
              <w:rPr>
                <w:rFonts w:ascii="仿宋_GB2312" w:hAnsi="仿宋_GB2312" w:eastAsia="仿宋_GB2312" w:cs="仿宋_GB2312"/>
                <w:sz w:val="20"/>
                <w:szCs w:val="20"/>
              </w:rPr>
            </w:pPr>
          </w:p>
        </w:tc>
      </w:tr>
      <w:tr w14:paraId="3070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30913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81</w:t>
            </w:r>
          </w:p>
        </w:tc>
        <w:tc>
          <w:tcPr>
            <w:tcW w:w="555" w:type="dxa"/>
            <w:vAlign w:val="center"/>
          </w:tcPr>
          <w:p w14:paraId="1FAF01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96121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2C654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9BF07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对违反规定出售钟乳石样品行为的处罚</w:t>
            </w:r>
          </w:p>
        </w:tc>
        <w:tc>
          <w:tcPr>
            <w:tcW w:w="660" w:type="dxa"/>
            <w:vAlign w:val="center"/>
          </w:tcPr>
          <w:p w14:paraId="5D616331">
            <w:pPr>
              <w:snapToGrid w:val="0"/>
              <w:spacing w:line="240" w:lineRule="atLeast"/>
              <w:jc w:val="center"/>
              <w:rPr>
                <w:rFonts w:ascii="仿宋_GB2312" w:hAnsi="仿宋_GB2312" w:eastAsia="仿宋_GB2312" w:cs="仿宋_GB2312"/>
                <w:sz w:val="20"/>
                <w:szCs w:val="20"/>
              </w:rPr>
            </w:pPr>
          </w:p>
        </w:tc>
        <w:tc>
          <w:tcPr>
            <w:tcW w:w="615" w:type="dxa"/>
            <w:vAlign w:val="center"/>
          </w:tcPr>
          <w:p w14:paraId="02ABFF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F7758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185C0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第二款 ：依照前款规定采集的钟乳石样品，不得出售。</w:t>
            </w:r>
          </w:p>
          <w:p w14:paraId="7B714A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第二十三条：违反本条例第八条第二款规定，出售钟乳石样品的，由县级以上自然资源主管部门没收违法所得，可以并处一万元以下的罚款。</w:t>
            </w:r>
          </w:p>
        </w:tc>
        <w:tc>
          <w:tcPr>
            <w:tcW w:w="3585" w:type="dxa"/>
            <w:vAlign w:val="center"/>
          </w:tcPr>
          <w:p w14:paraId="384F99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CAEEA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0CED3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4BA6B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57DA4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2FF4B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4577F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342BFB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15B791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1F4A23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A027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F7D7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0C7DA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6009E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4C65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04925A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448B8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DA20E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1BDE1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D04B9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1FEF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FAC7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23715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E3C2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258D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381E0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9AA79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7BF1C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16D6925">
            <w:pPr>
              <w:snapToGrid w:val="0"/>
              <w:spacing w:line="240" w:lineRule="atLeast"/>
              <w:jc w:val="center"/>
              <w:rPr>
                <w:rFonts w:ascii="仿宋_GB2312" w:hAnsi="仿宋_GB2312" w:eastAsia="仿宋_GB2312" w:cs="仿宋_GB2312"/>
                <w:sz w:val="20"/>
                <w:szCs w:val="20"/>
              </w:rPr>
            </w:pPr>
          </w:p>
        </w:tc>
      </w:tr>
    </w:tbl>
    <w:p w14:paraId="4F57C805"/>
    <w:p w14:paraId="1A53FBCE"/>
    <w:p w14:paraId="15723CB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E5B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7D5424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73F85BE">
            <w:pPr>
              <w:spacing w:line="240" w:lineRule="atLeast"/>
              <w:rPr>
                <w:rFonts w:asciiTheme="majorEastAsia" w:hAnsiTheme="majorEastAsia" w:eastAsiaTheme="majorEastAsia" w:cstheme="majorEastAsia"/>
                <w:spacing w:val="-20"/>
                <w:sz w:val="20"/>
                <w:szCs w:val="20"/>
              </w:rPr>
            </w:pPr>
          </w:p>
          <w:p w14:paraId="136A8D6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84433B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6A6AF7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E2751C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617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3BA282">
            <w:pPr>
              <w:spacing w:line="240" w:lineRule="atLeast"/>
              <w:jc w:val="left"/>
              <w:rPr>
                <w:rFonts w:ascii="仿宋_GB2312" w:hAnsi="仿宋_GB2312" w:eastAsia="仿宋_GB2312" w:cs="仿宋_GB2312"/>
                <w:sz w:val="20"/>
                <w:szCs w:val="20"/>
              </w:rPr>
            </w:pPr>
          </w:p>
        </w:tc>
        <w:tc>
          <w:tcPr>
            <w:tcW w:w="555" w:type="dxa"/>
            <w:vMerge w:val="continue"/>
          </w:tcPr>
          <w:p w14:paraId="00AC6CAC">
            <w:pPr>
              <w:spacing w:line="240" w:lineRule="atLeast"/>
              <w:jc w:val="left"/>
              <w:rPr>
                <w:rFonts w:ascii="仿宋_GB2312" w:hAnsi="仿宋_GB2312" w:eastAsia="仿宋_GB2312" w:cs="仿宋_GB2312"/>
                <w:sz w:val="20"/>
                <w:szCs w:val="20"/>
              </w:rPr>
            </w:pPr>
          </w:p>
        </w:tc>
        <w:tc>
          <w:tcPr>
            <w:tcW w:w="784" w:type="dxa"/>
            <w:vAlign w:val="center"/>
          </w:tcPr>
          <w:p w14:paraId="311075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B69BF5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D1BE21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41791D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8CD031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FBFA8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D6F7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637C1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6D65DD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663514">
            <w:pPr>
              <w:spacing w:line="240" w:lineRule="atLeast"/>
              <w:jc w:val="left"/>
              <w:rPr>
                <w:rFonts w:ascii="仿宋_GB2312" w:hAnsi="仿宋_GB2312" w:eastAsia="仿宋_GB2312" w:cs="仿宋_GB2312"/>
                <w:sz w:val="20"/>
                <w:szCs w:val="20"/>
              </w:rPr>
            </w:pPr>
          </w:p>
        </w:tc>
      </w:tr>
      <w:tr w14:paraId="5538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6CC25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82</w:t>
            </w:r>
          </w:p>
        </w:tc>
        <w:tc>
          <w:tcPr>
            <w:tcW w:w="555" w:type="dxa"/>
            <w:vAlign w:val="center"/>
          </w:tcPr>
          <w:p w14:paraId="47C910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B9932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80BB0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C2386A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对违反规定未按照批准的采集方案采集或者使用破坏性的爆破、击打等方式采集钟乳石行为的处罚</w:t>
            </w:r>
          </w:p>
        </w:tc>
        <w:tc>
          <w:tcPr>
            <w:tcW w:w="660" w:type="dxa"/>
            <w:vAlign w:val="center"/>
          </w:tcPr>
          <w:p w14:paraId="3B46E74C">
            <w:pPr>
              <w:snapToGrid w:val="0"/>
              <w:spacing w:line="240" w:lineRule="atLeast"/>
              <w:jc w:val="center"/>
              <w:rPr>
                <w:rFonts w:ascii="仿宋_GB2312" w:hAnsi="仿宋_GB2312" w:eastAsia="仿宋_GB2312" w:cs="仿宋_GB2312"/>
                <w:sz w:val="20"/>
                <w:szCs w:val="20"/>
              </w:rPr>
            </w:pPr>
          </w:p>
        </w:tc>
        <w:tc>
          <w:tcPr>
            <w:tcW w:w="615" w:type="dxa"/>
            <w:vAlign w:val="center"/>
          </w:tcPr>
          <w:p w14:paraId="664808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A2E95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7996C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一条：钟乳石采集人必须按照批准的采集方案采集，禁止使用破坏性的爆破、击打等方式采集钟乳石。</w:t>
            </w:r>
          </w:p>
          <w:p w14:paraId="45B3ED8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四条：违反本条例第十一条规定，未按照批准的采集方案采集或者使用破坏性的爆破、击打等方式采集钟乳石的，由县级以上自然资源主管部门处以一千元以上五万元以下的罚款，可以并处吊销采矿许可证；造成矿产资源严重破坏的，依照刑法有关规定对直接责任人员追究刑事责任。</w:t>
            </w:r>
          </w:p>
        </w:tc>
        <w:tc>
          <w:tcPr>
            <w:tcW w:w="3585" w:type="dxa"/>
            <w:vAlign w:val="center"/>
          </w:tcPr>
          <w:p w14:paraId="1A41A7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C5361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16C47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8F97D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F890E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E35EF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DD036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539240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634A5E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9918FC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1DEB7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BC70C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418E5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66B7D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125E7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DE0CFD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FB88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3E4EE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11A3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7709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69B7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C688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2FEA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BB36B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22A4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A635B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1DDB3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384A5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FB1176F">
            <w:pPr>
              <w:snapToGrid w:val="0"/>
              <w:spacing w:line="240" w:lineRule="atLeast"/>
              <w:jc w:val="center"/>
              <w:rPr>
                <w:rFonts w:ascii="仿宋_GB2312" w:hAnsi="仿宋_GB2312" w:eastAsia="仿宋_GB2312" w:cs="仿宋_GB2312"/>
                <w:sz w:val="20"/>
                <w:szCs w:val="20"/>
              </w:rPr>
            </w:pPr>
          </w:p>
        </w:tc>
      </w:tr>
    </w:tbl>
    <w:p w14:paraId="425CA64F"/>
    <w:p w14:paraId="64936644"/>
    <w:p w14:paraId="3A03F5D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11"/>
        <w:gridCol w:w="784"/>
        <w:gridCol w:w="660"/>
        <w:gridCol w:w="615"/>
        <w:gridCol w:w="1110"/>
        <w:gridCol w:w="4605"/>
        <w:gridCol w:w="3585"/>
        <w:gridCol w:w="9515"/>
        <w:gridCol w:w="330"/>
      </w:tblGrid>
      <w:tr w14:paraId="2E73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 w:type="dxa"/>
            <w:vMerge w:val="restart"/>
            <w:vAlign w:val="center"/>
          </w:tcPr>
          <w:p w14:paraId="342BF54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611" w:type="dxa"/>
            <w:vMerge w:val="restart"/>
            <w:vAlign w:val="center"/>
          </w:tcPr>
          <w:p w14:paraId="351BEC7A">
            <w:pPr>
              <w:spacing w:line="240" w:lineRule="atLeast"/>
              <w:rPr>
                <w:rFonts w:asciiTheme="majorEastAsia" w:hAnsiTheme="majorEastAsia" w:eastAsiaTheme="majorEastAsia" w:cstheme="majorEastAsia"/>
                <w:spacing w:val="-20"/>
                <w:sz w:val="20"/>
                <w:szCs w:val="20"/>
              </w:rPr>
            </w:pPr>
          </w:p>
          <w:p w14:paraId="6ECEEBB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F9C17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C1A9B7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06854E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3D6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5" w:type="dxa"/>
            <w:vMerge w:val="continue"/>
          </w:tcPr>
          <w:p w14:paraId="4129D0C0">
            <w:pPr>
              <w:spacing w:line="240" w:lineRule="atLeast"/>
              <w:jc w:val="left"/>
              <w:rPr>
                <w:rFonts w:ascii="仿宋_GB2312" w:hAnsi="仿宋_GB2312" w:eastAsia="仿宋_GB2312" w:cs="仿宋_GB2312"/>
                <w:sz w:val="20"/>
                <w:szCs w:val="20"/>
              </w:rPr>
            </w:pPr>
          </w:p>
        </w:tc>
        <w:tc>
          <w:tcPr>
            <w:tcW w:w="611" w:type="dxa"/>
            <w:vMerge w:val="continue"/>
          </w:tcPr>
          <w:p w14:paraId="29A5A84E">
            <w:pPr>
              <w:spacing w:line="240" w:lineRule="atLeast"/>
              <w:jc w:val="left"/>
              <w:rPr>
                <w:rFonts w:ascii="仿宋_GB2312" w:hAnsi="仿宋_GB2312" w:eastAsia="仿宋_GB2312" w:cs="仿宋_GB2312"/>
                <w:sz w:val="20"/>
                <w:szCs w:val="20"/>
              </w:rPr>
            </w:pPr>
          </w:p>
        </w:tc>
        <w:tc>
          <w:tcPr>
            <w:tcW w:w="784" w:type="dxa"/>
            <w:vAlign w:val="center"/>
          </w:tcPr>
          <w:p w14:paraId="02C977D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5B740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558732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B66F1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45F79E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93427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94D1B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C11B6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E4DFC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D76A65">
            <w:pPr>
              <w:spacing w:line="240" w:lineRule="atLeast"/>
              <w:jc w:val="left"/>
              <w:rPr>
                <w:rFonts w:ascii="仿宋_GB2312" w:hAnsi="仿宋_GB2312" w:eastAsia="仿宋_GB2312" w:cs="仿宋_GB2312"/>
                <w:sz w:val="20"/>
                <w:szCs w:val="20"/>
              </w:rPr>
            </w:pPr>
          </w:p>
        </w:tc>
      </w:tr>
      <w:tr w14:paraId="4395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555" w:type="dxa"/>
            <w:vAlign w:val="center"/>
          </w:tcPr>
          <w:p w14:paraId="0F58AC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83</w:t>
            </w:r>
          </w:p>
        </w:tc>
        <w:tc>
          <w:tcPr>
            <w:tcW w:w="611" w:type="dxa"/>
            <w:vAlign w:val="center"/>
          </w:tcPr>
          <w:p w14:paraId="67E722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278D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66E8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05F401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对违反规定未经批准擅自开发钟乳石洞穴进行旅游活动行为的处罚</w:t>
            </w:r>
          </w:p>
        </w:tc>
        <w:tc>
          <w:tcPr>
            <w:tcW w:w="660" w:type="dxa"/>
            <w:vAlign w:val="center"/>
          </w:tcPr>
          <w:p w14:paraId="1CF04C3F">
            <w:pPr>
              <w:snapToGrid w:val="0"/>
              <w:spacing w:line="240" w:lineRule="atLeast"/>
              <w:jc w:val="center"/>
              <w:rPr>
                <w:rFonts w:ascii="仿宋_GB2312" w:hAnsi="仿宋_GB2312" w:eastAsia="仿宋_GB2312" w:cs="仿宋_GB2312"/>
                <w:sz w:val="20"/>
                <w:szCs w:val="20"/>
              </w:rPr>
            </w:pPr>
          </w:p>
        </w:tc>
        <w:tc>
          <w:tcPr>
            <w:tcW w:w="615" w:type="dxa"/>
            <w:vAlign w:val="center"/>
          </w:tcPr>
          <w:p w14:paraId="1FE112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2D8D0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5B654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 ：开发钟乳石洞穴进行旅游活动，由开发地设区的市自然资源主管部门征求设区的市文化和旅游主管部门的意见后批准。</w:t>
            </w:r>
          </w:p>
          <w:p w14:paraId="1C0861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第二十五条：违反本条例第十三条第一款规定，未经批准擅自开发钟乳石洞穴进行旅游活动的，由县级以上自然资源主管部门给予警告，责令停止开发行为；情节严重的，可以并处二千元以上十万元以下的罚款。</w:t>
            </w:r>
          </w:p>
        </w:tc>
        <w:tc>
          <w:tcPr>
            <w:tcW w:w="3585" w:type="dxa"/>
            <w:vAlign w:val="center"/>
          </w:tcPr>
          <w:p w14:paraId="355ACE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21F28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75ABE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7109B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D7A92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75409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E8BFD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643FB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A8E0A6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AD0DA9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72674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2F59D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5CB52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F1C9B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AF4EB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CD2691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2E61C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F04F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83DA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67EE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73EE0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1AAA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19230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A6D03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3B1B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4A4CC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66397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4E213E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0C01DA9">
            <w:pPr>
              <w:snapToGrid w:val="0"/>
              <w:spacing w:line="240" w:lineRule="atLeast"/>
              <w:jc w:val="center"/>
              <w:rPr>
                <w:rFonts w:ascii="仿宋_GB2312" w:hAnsi="仿宋_GB2312" w:eastAsia="仿宋_GB2312" w:cs="仿宋_GB2312"/>
                <w:sz w:val="20"/>
                <w:szCs w:val="20"/>
              </w:rPr>
            </w:pPr>
          </w:p>
        </w:tc>
      </w:tr>
    </w:tbl>
    <w:p w14:paraId="3780CEE5"/>
    <w:p w14:paraId="44FB09CB"/>
    <w:p w14:paraId="7654156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0E2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93980F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AAB333E">
            <w:pPr>
              <w:spacing w:line="240" w:lineRule="atLeast"/>
              <w:rPr>
                <w:rFonts w:asciiTheme="majorEastAsia" w:hAnsiTheme="majorEastAsia" w:eastAsiaTheme="majorEastAsia" w:cstheme="majorEastAsia"/>
                <w:spacing w:val="-20"/>
                <w:sz w:val="20"/>
                <w:szCs w:val="20"/>
              </w:rPr>
            </w:pPr>
          </w:p>
          <w:p w14:paraId="13B302B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40D1D0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773CC6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C9B87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0DD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74373EE">
            <w:pPr>
              <w:spacing w:line="240" w:lineRule="atLeast"/>
              <w:jc w:val="left"/>
              <w:rPr>
                <w:rFonts w:ascii="仿宋_GB2312" w:hAnsi="仿宋_GB2312" w:eastAsia="仿宋_GB2312" w:cs="仿宋_GB2312"/>
                <w:sz w:val="20"/>
                <w:szCs w:val="20"/>
              </w:rPr>
            </w:pPr>
          </w:p>
        </w:tc>
        <w:tc>
          <w:tcPr>
            <w:tcW w:w="555" w:type="dxa"/>
            <w:vMerge w:val="continue"/>
          </w:tcPr>
          <w:p w14:paraId="05ADDADE">
            <w:pPr>
              <w:spacing w:line="240" w:lineRule="atLeast"/>
              <w:jc w:val="left"/>
              <w:rPr>
                <w:rFonts w:ascii="仿宋_GB2312" w:hAnsi="仿宋_GB2312" w:eastAsia="仿宋_GB2312" w:cs="仿宋_GB2312"/>
                <w:sz w:val="20"/>
                <w:szCs w:val="20"/>
              </w:rPr>
            </w:pPr>
          </w:p>
        </w:tc>
        <w:tc>
          <w:tcPr>
            <w:tcW w:w="784" w:type="dxa"/>
            <w:vAlign w:val="center"/>
          </w:tcPr>
          <w:p w14:paraId="18370B3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58EAF0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E4D9C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E57315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73B0B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8B523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F8692B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FD8D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0DAA84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4993433">
            <w:pPr>
              <w:spacing w:line="240" w:lineRule="atLeast"/>
              <w:jc w:val="left"/>
              <w:rPr>
                <w:rFonts w:ascii="仿宋_GB2312" w:hAnsi="仿宋_GB2312" w:eastAsia="仿宋_GB2312" w:cs="仿宋_GB2312"/>
                <w:sz w:val="20"/>
                <w:szCs w:val="20"/>
              </w:rPr>
            </w:pPr>
          </w:p>
        </w:tc>
      </w:tr>
      <w:tr w14:paraId="039A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7065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84</w:t>
            </w:r>
          </w:p>
        </w:tc>
        <w:tc>
          <w:tcPr>
            <w:tcW w:w="555" w:type="dxa"/>
            <w:vAlign w:val="center"/>
          </w:tcPr>
          <w:p w14:paraId="580767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82F34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02D46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E3E40E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对违反规定采集钟乳石的类型、数量、具体位置未经核准或者经核准后未委托有相应资质条件的专业人员采集行为的处罚</w:t>
            </w:r>
          </w:p>
        </w:tc>
        <w:tc>
          <w:tcPr>
            <w:tcW w:w="660" w:type="dxa"/>
            <w:vAlign w:val="center"/>
          </w:tcPr>
          <w:p w14:paraId="5A66679F">
            <w:pPr>
              <w:snapToGrid w:val="0"/>
              <w:spacing w:line="240" w:lineRule="atLeast"/>
              <w:jc w:val="center"/>
              <w:rPr>
                <w:rFonts w:ascii="仿宋_GB2312" w:hAnsi="仿宋_GB2312" w:eastAsia="仿宋_GB2312" w:cs="仿宋_GB2312"/>
                <w:sz w:val="20"/>
                <w:szCs w:val="20"/>
              </w:rPr>
            </w:pPr>
          </w:p>
        </w:tc>
        <w:tc>
          <w:tcPr>
            <w:tcW w:w="615" w:type="dxa"/>
            <w:vAlign w:val="center"/>
          </w:tcPr>
          <w:p w14:paraId="1CDFC8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03325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FBC87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四条第二款 ： 因兴建洞穴内游览道路、照明灯光等旅游设施确需采集钟乳石的，采集钟乳石的类型、数量、具体位置应当报自治区自然资源主管部门核准。</w:t>
            </w:r>
          </w:p>
          <w:p w14:paraId="66DC2B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第二十六条：违反本条例第十四条第二款规定，采集钟乳石的类型、数量、具体位置未经核准的，由县级以上自然资源主管部门责令停止采集，可以并处一千元以上五万元以下的罚款。</w:t>
            </w:r>
          </w:p>
        </w:tc>
        <w:tc>
          <w:tcPr>
            <w:tcW w:w="3585" w:type="dxa"/>
            <w:vAlign w:val="center"/>
          </w:tcPr>
          <w:p w14:paraId="2E833D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4E6DEE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C5C20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D4B5B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438A7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FE3FB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FE30D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8681B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505F15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F14827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2214B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E58DD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05684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56B8B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1890D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68FC4D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C969E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C497D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53AA7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EB826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3BC2C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DB62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F9B0D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42B1C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55AB4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39809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B91E6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AA015E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D96C6D8">
            <w:pPr>
              <w:snapToGrid w:val="0"/>
              <w:spacing w:line="240" w:lineRule="atLeast"/>
              <w:jc w:val="center"/>
              <w:rPr>
                <w:rFonts w:ascii="仿宋_GB2312" w:hAnsi="仿宋_GB2312" w:eastAsia="仿宋_GB2312" w:cs="仿宋_GB2312"/>
                <w:sz w:val="20"/>
                <w:szCs w:val="20"/>
              </w:rPr>
            </w:pPr>
          </w:p>
        </w:tc>
      </w:tr>
    </w:tbl>
    <w:p w14:paraId="6AB6C05E"/>
    <w:p w14:paraId="37E79F9A"/>
    <w:p w14:paraId="43A9B6F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31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EE706C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8FA8B9D">
            <w:pPr>
              <w:spacing w:line="240" w:lineRule="atLeast"/>
              <w:rPr>
                <w:rFonts w:asciiTheme="majorEastAsia" w:hAnsiTheme="majorEastAsia" w:eastAsiaTheme="majorEastAsia" w:cstheme="majorEastAsia"/>
                <w:spacing w:val="-20"/>
                <w:sz w:val="20"/>
                <w:szCs w:val="20"/>
              </w:rPr>
            </w:pPr>
          </w:p>
          <w:p w14:paraId="6E865A7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FDF9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83E4E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80D09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900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8DE2F1">
            <w:pPr>
              <w:spacing w:line="240" w:lineRule="atLeast"/>
              <w:jc w:val="left"/>
              <w:rPr>
                <w:rFonts w:ascii="仿宋_GB2312" w:hAnsi="仿宋_GB2312" w:eastAsia="仿宋_GB2312" w:cs="仿宋_GB2312"/>
                <w:sz w:val="20"/>
                <w:szCs w:val="20"/>
              </w:rPr>
            </w:pPr>
          </w:p>
        </w:tc>
        <w:tc>
          <w:tcPr>
            <w:tcW w:w="555" w:type="dxa"/>
            <w:vMerge w:val="continue"/>
          </w:tcPr>
          <w:p w14:paraId="5D0CB1A7">
            <w:pPr>
              <w:spacing w:line="240" w:lineRule="atLeast"/>
              <w:jc w:val="left"/>
              <w:rPr>
                <w:rFonts w:ascii="仿宋_GB2312" w:hAnsi="仿宋_GB2312" w:eastAsia="仿宋_GB2312" w:cs="仿宋_GB2312"/>
                <w:sz w:val="20"/>
                <w:szCs w:val="20"/>
              </w:rPr>
            </w:pPr>
          </w:p>
        </w:tc>
        <w:tc>
          <w:tcPr>
            <w:tcW w:w="784" w:type="dxa"/>
            <w:vAlign w:val="center"/>
          </w:tcPr>
          <w:p w14:paraId="0432B6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BE100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437BFE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19443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032761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E2BF5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D103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237C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C80DF2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AA48A66">
            <w:pPr>
              <w:spacing w:line="240" w:lineRule="atLeast"/>
              <w:jc w:val="left"/>
              <w:rPr>
                <w:rFonts w:ascii="仿宋_GB2312" w:hAnsi="仿宋_GB2312" w:eastAsia="仿宋_GB2312" w:cs="仿宋_GB2312"/>
                <w:sz w:val="20"/>
                <w:szCs w:val="20"/>
              </w:rPr>
            </w:pPr>
          </w:p>
        </w:tc>
      </w:tr>
      <w:tr w14:paraId="3B47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1233C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85</w:t>
            </w:r>
          </w:p>
        </w:tc>
        <w:tc>
          <w:tcPr>
            <w:tcW w:w="555" w:type="dxa"/>
            <w:vAlign w:val="center"/>
          </w:tcPr>
          <w:p w14:paraId="139A90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B249A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FE294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1EF2E2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对违反规定实施损坏钟乳石行为的处罚</w:t>
            </w:r>
          </w:p>
        </w:tc>
        <w:tc>
          <w:tcPr>
            <w:tcW w:w="660" w:type="dxa"/>
            <w:vAlign w:val="center"/>
          </w:tcPr>
          <w:p w14:paraId="4CCE5C97">
            <w:pPr>
              <w:snapToGrid w:val="0"/>
              <w:spacing w:line="240" w:lineRule="atLeast"/>
              <w:jc w:val="center"/>
              <w:rPr>
                <w:rFonts w:ascii="仿宋_GB2312" w:hAnsi="仿宋_GB2312" w:eastAsia="仿宋_GB2312" w:cs="仿宋_GB2312"/>
                <w:sz w:val="20"/>
                <w:szCs w:val="20"/>
              </w:rPr>
            </w:pPr>
          </w:p>
        </w:tc>
        <w:tc>
          <w:tcPr>
            <w:tcW w:w="615" w:type="dxa"/>
            <w:vAlign w:val="center"/>
          </w:tcPr>
          <w:p w14:paraId="17CB91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E777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81F9A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五条第二款：进入洞穴的旅游者和其他人员不得损坏钟乳石。</w:t>
            </w:r>
          </w:p>
          <w:p w14:paraId="5CC10DD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第二十七条：违反本条例第十五条第二款规定，实施损坏钟乳石行为的，由县级以上自然资源主管部门给予警告，责令停止损坏行为；造成钟乳石损坏的，责令赔偿损失。</w:t>
            </w:r>
          </w:p>
        </w:tc>
        <w:tc>
          <w:tcPr>
            <w:tcW w:w="3585" w:type="dxa"/>
            <w:vAlign w:val="center"/>
          </w:tcPr>
          <w:p w14:paraId="6E78CE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77F97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394F3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F7566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0A167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2B8EA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F3385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D79BB0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D108FF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0D4CF3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7E18A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88B2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E1E2D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8803B9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C35669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9485B8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FB867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7E8F4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C9D97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AE80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BED4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5098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B9B23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991CA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9CE8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8C6E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63BFC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004D6F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BA5E408">
            <w:pPr>
              <w:snapToGrid w:val="0"/>
              <w:spacing w:line="240" w:lineRule="atLeast"/>
              <w:jc w:val="center"/>
              <w:rPr>
                <w:rFonts w:ascii="仿宋_GB2312" w:hAnsi="仿宋_GB2312" w:eastAsia="仿宋_GB2312" w:cs="仿宋_GB2312"/>
                <w:sz w:val="20"/>
                <w:szCs w:val="20"/>
              </w:rPr>
            </w:pPr>
          </w:p>
        </w:tc>
      </w:tr>
    </w:tbl>
    <w:p w14:paraId="2C3DFF99"/>
    <w:p w14:paraId="0DFFB7FD"/>
    <w:p w14:paraId="2B0E905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1054"/>
        <w:gridCol w:w="645"/>
        <w:gridCol w:w="645"/>
        <w:gridCol w:w="960"/>
        <w:gridCol w:w="4470"/>
        <w:gridCol w:w="3585"/>
        <w:gridCol w:w="9515"/>
        <w:gridCol w:w="330"/>
      </w:tblGrid>
      <w:tr w14:paraId="7088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4F07D5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0DCCD34">
            <w:pPr>
              <w:spacing w:line="240" w:lineRule="atLeast"/>
              <w:rPr>
                <w:rFonts w:asciiTheme="majorEastAsia" w:hAnsiTheme="majorEastAsia" w:eastAsiaTheme="majorEastAsia" w:cstheme="majorEastAsia"/>
                <w:spacing w:val="-20"/>
                <w:sz w:val="20"/>
                <w:szCs w:val="20"/>
              </w:rPr>
            </w:pPr>
          </w:p>
          <w:p w14:paraId="7703B04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7B355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9DE6D3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2A93F7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49C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806F2D">
            <w:pPr>
              <w:spacing w:line="240" w:lineRule="atLeast"/>
              <w:jc w:val="left"/>
              <w:rPr>
                <w:rFonts w:ascii="仿宋_GB2312" w:hAnsi="仿宋_GB2312" w:eastAsia="仿宋_GB2312" w:cs="仿宋_GB2312"/>
                <w:sz w:val="20"/>
                <w:szCs w:val="20"/>
              </w:rPr>
            </w:pPr>
          </w:p>
        </w:tc>
        <w:tc>
          <w:tcPr>
            <w:tcW w:w="555" w:type="dxa"/>
            <w:vMerge w:val="continue"/>
          </w:tcPr>
          <w:p w14:paraId="7937A35D">
            <w:pPr>
              <w:spacing w:line="240" w:lineRule="atLeast"/>
              <w:jc w:val="left"/>
              <w:rPr>
                <w:rFonts w:ascii="仿宋_GB2312" w:hAnsi="仿宋_GB2312" w:eastAsia="仿宋_GB2312" w:cs="仿宋_GB2312"/>
                <w:sz w:val="20"/>
                <w:szCs w:val="20"/>
              </w:rPr>
            </w:pPr>
          </w:p>
        </w:tc>
        <w:tc>
          <w:tcPr>
            <w:tcW w:w="1054" w:type="dxa"/>
            <w:vAlign w:val="center"/>
          </w:tcPr>
          <w:p w14:paraId="58D1DD5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C661D4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10BD8E1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45" w:type="dxa"/>
            <w:vAlign w:val="center"/>
          </w:tcPr>
          <w:p w14:paraId="03F0E6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3AEC161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70" w:type="dxa"/>
            <w:vAlign w:val="center"/>
          </w:tcPr>
          <w:p w14:paraId="70E9A70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D9CD8C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7FBD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C18C2E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CA6F94">
            <w:pPr>
              <w:spacing w:line="240" w:lineRule="atLeast"/>
              <w:jc w:val="left"/>
              <w:rPr>
                <w:rFonts w:ascii="仿宋_GB2312" w:hAnsi="仿宋_GB2312" w:eastAsia="仿宋_GB2312" w:cs="仿宋_GB2312"/>
                <w:sz w:val="20"/>
                <w:szCs w:val="20"/>
              </w:rPr>
            </w:pPr>
          </w:p>
        </w:tc>
      </w:tr>
      <w:tr w14:paraId="6FA4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2C3F2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86</w:t>
            </w:r>
          </w:p>
        </w:tc>
        <w:tc>
          <w:tcPr>
            <w:tcW w:w="555" w:type="dxa"/>
            <w:vAlign w:val="center"/>
          </w:tcPr>
          <w:p w14:paraId="466B6C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3F55B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94E91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1054" w:type="dxa"/>
            <w:vAlign w:val="center"/>
          </w:tcPr>
          <w:p w14:paraId="5C7BF63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钟乳石经营者未在其经营的钟乳石上标明来源、采集的时间、地点和钟乳石类型、未随附该钟乳石采集人依法取得的采矿许可证复印件或者未将《广西壮族自治区钟乳石资源保护条例》施行前已采集的钟乳石的有关资料报送当地县级以上自然资源主管部门登记、造册行为的处罚</w:t>
            </w:r>
          </w:p>
        </w:tc>
        <w:tc>
          <w:tcPr>
            <w:tcW w:w="645" w:type="dxa"/>
            <w:vAlign w:val="center"/>
          </w:tcPr>
          <w:p w14:paraId="738E6A6D">
            <w:pPr>
              <w:snapToGrid w:val="0"/>
              <w:spacing w:line="240" w:lineRule="atLeast"/>
              <w:jc w:val="center"/>
              <w:rPr>
                <w:rFonts w:ascii="仿宋_GB2312" w:hAnsi="仿宋_GB2312" w:eastAsia="仿宋_GB2312" w:cs="仿宋_GB2312"/>
                <w:sz w:val="20"/>
                <w:szCs w:val="20"/>
              </w:rPr>
            </w:pPr>
          </w:p>
        </w:tc>
        <w:tc>
          <w:tcPr>
            <w:tcW w:w="645" w:type="dxa"/>
            <w:vAlign w:val="center"/>
          </w:tcPr>
          <w:p w14:paraId="56A701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2FE398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70" w:type="dxa"/>
            <w:vAlign w:val="center"/>
          </w:tcPr>
          <w:p w14:paraId="53ABA8C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二十八条第二款：钟乳石经营者违反本条例第十八条第二款、第四款规定，未在其经营的钟乳石上标明来源、采集的时间、地点和钟乳石类型、未随附该钟乳石采集人依法取得的采矿许可证复印件或者未将本条例施行前已采集的钟乳石的有关资料报送当地县级以上自然资源主管部门登记、造册的，由县级以上市场监督管理部门没收钟乳石和违法所得，可以并处货值一倍以下的罚款。</w:t>
            </w:r>
          </w:p>
        </w:tc>
        <w:tc>
          <w:tcPr>
            <w:tcW w:w="3585" w:type="dxa"/>
            <w:vAlign w:val="center"/>
          </w:tcPr>
          <w:p w14:paraId="16DE28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6CCC9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B4A53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A6D41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37BAA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9F68F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DC633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6F659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DBE30F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124BBD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5CE0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5CCCF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37C84B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1292DE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5667A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23EEA1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B1293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13757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E44ED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052F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DFF79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023D1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CD395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C0B74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4366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10953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797AB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9039A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0090D2D">
            <w:pPr>
              <w:snapToGrid w:val="0"/>
              <w:spacing w:line="240" w:lineRule="atLeast"/>
              <w:jc w:val="center"/>
              <w:rPr>
                <w:rFonts w:ascii="仿宋_GB2312" w:hAnsi="仿宋_GB2312" w:eastAsia="仿宋_GB2312" w:cs="仿宋_GB2312"/>
                <w:sz w:val="20"/>
                <w:szCs w:val="20"/>
              </w:rPr>
            </w:pPr>
          </w:p>
        </w:tc>
      </w:tr>
    </w:tbl>
    <w:p w14:paraId="45C233CA"/>
    <w:p w14:paraId="12D4012E"/>
    <w:p w14:paraId="0F34258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DD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24F787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F3191D1">
            <w:pPr>
              <w:spacing w:line="240" w:lineRule="atLeast"/>
              <w:rPr>
                <w:rFonts w:asciiTheme="majorEastAsia" w:hAnsiTheme="majorEastAsia" w:eastAsiaTheme="majorEastAsia" w:cstheme="majorEastAsia"/>
                <w:spacing w:val="-20"/>
                <w:sz w:val="20"/>
                <w:szCs w:val="20"/>
              </w:rPr>
            </w:pPr>
          </w:p>
          <w:p w14:paraId="23DECCD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ABCE6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408E9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B5DFB1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52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DB183B2">
            <w:pPr>
              <w:spacing w:line="240" w:lineRule="atLeast"/>
              <w:jc w:val="left"/>
              <w:rPr>
                <w:rFonts w:ascii="仿宋_GB2312" w:hAnsi="仿宋_GB2312" w:eastAsia="仿宋_GB2312" w:cs="仿宋_GB2312"/>
                <w:sz w:val="20"/>
                <w:szCs w:val="20"/>
              </w:rPr>
            </w:pPr>
          </w:p>
        </w:tc>
        <w:tc>
          <w:tcPr>
            <w:tcW w:w="555" w:type="dxa"/>
            <w:vMerge w:val="continue"/>
          </w:tcPr>
          <w:p w14:paraId="48912050">
            <w:pPr>
              <w:spacing w:line="240" w:lineRule="atLeast"/>
              <w:jc w:val="left"/>
              <w:rPr>
                <w:rFonts w:ascii="仿宋_GB2312" w:hAnsi="仿宋_GB2312" w:eastAsia="仿宋_GB2312" w:cs="仿宋_GB2312"/>
                <w:sz w:val="20"/>
                <w:szCs w:val="20"/>
              </w:rPr>
            </w:pPr>
          </w:p>
        </w:tc>
        <w:tc>
          <w:tcPr>
            <w:tcW w:w="784" w:type="dxa"/>
            <w:vAlign w:val="center"/>
          </w:tcPr>
          <w:p w14:paraId="1CBD918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FDD87A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4F3F97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8DB994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FDCD35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F0AE0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74AF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F5B9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F181B0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0F39028">
            <w:pPr>
              <w:spacing w:line="240" w:lineRule="atLeast"/>
              <w:jc w:val="left"/>
              <w:rPr>
                <w:rFonts w:ascii="仿宋_GB2312" w:hAnsi="仿宋_GB2312" w:eastAsia="仿宋_GB2312" w:cs="仿宋_GB2312"/>
                <w:sz w:val="20"/>
                <w:szCs w:val="20"/>
              </w:rPr>
            </w:pPr>
          </w:p>
        </w:tc>
      </w:tr>
      <w:tr w14:paraId="7A37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D1F53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87</w:t>
            </w:r>
          </w:p>
        </w:tc>
        <w:tc>
          <w:tcPr>
            <w:tcW w:w="555" w:type="dxa"/>
            <w:vAlign w:val="center"/>
          </w:tcPr>
          <w:p w14:paraId="12E20F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33C19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A296C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639888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对钟乳石经营者依法取得营业执照，未办理备案手续行为的处罚</w:t>
            </w:r>
          </w:p>
        </w:tc>
        <w:tc>
          <w:tcPr>
            <w:tcW w:w="660" w:type="dxa"/>
            <w:vAlign w:val="center"/>
          </w:tcPr>
          <w:p w14:paraId="55081B7D">
            <w:pPr>
              <w:snapToGrid w:val="0"/>
              <w:spacing w:line="240" w:lineRule="atLeast"/>
              <w:jc w:val="center"/>
              <w:rPr>
                <w:rFonts w:ascii="仿宋_GB2312" w:hAnsi="仿宋_GB2312" w:eastAsia="仿宋_GB2312" w:cs="仿宋_GB2312"/>
                <w:sz w:val="20"/>
                <w:szCs w:val="20"/>
              </w:rPr>
            </w:pPr>
          </w:p>
        </w:tc>
        <w:tc>
          <w:tcPr>
            <w:tcW w:w="615" w:type="dxa"/>
            <w:vAlign w:val="center"/>
          </w:tcPr>
          <w:p w14:paraId="3CA2A9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FC60B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4F52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八条第一款：从事钟乳石经营活动，应当在依法取得营业执照后，向经营地县级以自然资源主管部门办理备案手续。</w:t>
            </w:r>
          </w:p>
          <w:p w14:paraId="3A3664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第二十八条：违反本条例第十八条第一款规定，未办理备案手续的，由县级以上自然资源主管部门，责令限期改正。</w:t>
            </w:r>
          </w:p>
        </w:tc>
        <w:tc>
          <w:tcPr>
            <w:tcW w:w="3585" w:type="dxa"/>
            <w:vAlign w:val="center"/>
          </w:tcPr>
          <w:p w14:paraId="103F5E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65BBC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B52F1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6FE3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9529B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F35A2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BCCC48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8CE12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697EAC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F34F59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8A651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2B7AB6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10356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9DCC7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BEA3F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DA7E82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05CBA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BCA49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57171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4134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0D66F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5BB0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08CC2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BB966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866B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FEDB8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6AE03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69F97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F62014E">
            <w:pPr>
              <w:snapToGrid w:val="0"/>
              <w:spacing w:line="240" w:lineRule="atLeast"/>
              <w:jc w:val="center"/>
              <w:rPr>
                <w:rFonts w:ascii="仿宋_GB2312" w:hAnsi="仿宋_GB2312" w:eastAsia="仿宋_GB2312" w:cs="仿宋_GB2312"/>
                <w:sz w:val="20"/>
                <w:szCs w:val="20"/>
              </w:rPr>
            </w:pPr>
          </w:p>
        </w:tc>
      </w:tr>
    </w:tbl>
    <w:p w14:paraId="09E04A33"/>
    <w:p w14:paraId="1EA9CFE8"/>
    <w:p w14:paraId="48F8D67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8AB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8F93B5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C030C57">
            <w:pPr>
              <w:spacing w:line="240" w:lineRule="atLeast"/>
              <w:rPr>
                <w:rFonts w:asciiTheme="majorEastAsia" w:hAnsiTheme="majorEastAsia" w:eastAsiaTheme="majorEastAsia" w:cstheme="majorEastAsia"/>
                <w:spacing w:val="-20"/>
                <w:sz w:val="20"/>
                <w:szCs w:val="20"/>
              </w:rPr>
            </w:pPr>
          </w:p>
          <w:p w14:paraId="35C9EB7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84337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7710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B202D8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AB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902A00">
            <w:pPr>
              <w:spacing w:line="240" w:lineRule="atLeast"/>
              <w:jc w:val="left"/>
              <w:rPr>
                <w:rFonts w:ascii="仿宋_GB2312" w:hAnsi="仿宋_GB2312" w:eastAsia="仿宋_GB2312" w:cs="仿宋_GB2312"/>
                <w:sz w:val="20"/>
                <w:szCs w:val="20"/>
              </w:rPr>
            </w:pPr>
          </w:p>
        </w:tc>
        <w:tc>
          <w:tcPr>
            <w:tcW w:w="555" w:type="dxa"/>
            <w:vMerge w:val="continue"/>
          </w:tcPr>
          <w:p w14:paraId="72DCD051">
            <w:pPr>
              <w:spacing w:line="240" w:lineRule="atLeast"/>
              <w:jc w:val="left"/>
              <w:rPr>
                <w:rFonts w:ascii="仿宋_GB2312" w:hAnsi="仿宋_GB2312" w:eastAsia="仿宋_GB2312" w:cs="仿宋_GB2312"/>
                <w:sz w:val="20"/>
                <w:szCs w:val="20"/>
              </w:rPr>
            </w:pPr>
          </w:p>
        </w:tc>
        <w:tc>
          <w:tcPr>
            <w:tcW w:w="784" w:type="dxa"/>
            <w:vAlign w:val="center"/>
          </w:tcPr>
          <w:p w14:paraId="3D12B53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A5E2F8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806AA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0F1E8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DC9EE0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F041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82F832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DA15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AFA1AD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0E256BF">
            <w:pPr>
              <w:spacing w:line="240" w:lineRule="atLeast"/>
              <w:jc w:val="left"/>
              <w:rPr>
                <w:rFonts w:ascii="仿宋_GB2312" w:hAnsi="仿宋_GB2312" w:eastAsia="仿宋_GB2312" w:cs="仿宋_GB2312"/>
                <w:sz w:val="20"/>
                <w:szCs w:val="20"/>
              </w:rPr>
            </w:pPr>
          </w:p>
        </w:tc>
      </w:tr>
      <w:tr w14:paraId="7212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8389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88</w:t>
            </w:r>
          </w:p>
        </w:tc>
        <w:tc>
          <w:tcPr>
            <w:tcW w:w="555" w:type="dxa"/>
            <w:vAlign w:val="center"/>
          </w:tcPr>
          <w:p w14:paraId="5A0F2B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829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48496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CC21C3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对违反规定未建立钟乳石采集、经营档案或者未将钟乳石经营档案报当地县级以上自然资源主管部门备案行为的处罚</w:t>
            </w:r>
          </w:p>
        </w:tc>
        <w:tc>
          <w:tcPr>
            <w:tcW w:w="660" w:type="dxa"/>
            <w:vAlign w:val="center"/>
          </w:tcPr>
          <w:p w14:paraId="2C96C728">
            <w:pPr>
              <w:snapToGrid w:val="0"/>
              <w:spacing w:line="240" w:lineRule="atLeast"/>
              <w:jc w:val="center"/>
              <w:rPr>
                <w:rFonts w:ascii="仿宋_GB2312" w:hAnsi="仿宋_GB2312" w:eastAsia="仿宋_GB2312" w:cs="仿宋_GB2312"/>
                <w:sz w:val="20"/>
                <w:szCs w:val="20"/>
              </w:rPr>
            </w:pPr>
          </w:p>
        </w:tc>
        <w:tc>
          <w:tcPr>
            <w:tcW w:w="615" w:type="dxa"/>
            <w:vAlign w:val="center"/>
          </w:tcPr>
          <w:p w14:paraId="3987EA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8214B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66FF4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条：钟乳石采集人应当建立钟乳石采集档案，载明采集的钟乳石类型、数量、销售去向等内容。</w:t>
            </w:r>
          </w:p>
          <w:p w14:paraId="6952D0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第十八条第三款：钟乳石经营者应当建立钟乳石经营档案，载明经营的钟乳石来源、类型、数量、销售去向等内容，并报当地县级以上自然资源主管部门备案。</w:t>
            </w:r>
          </w:p>
          <w:p w14:paraId="5ACFFA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钟乳石经营者应当建立钟乳石经营档案，载明经营的钟乳石来源、类型、数量、销售去向等内容，并报当地县级以上自然资源主管部门备案。</w:t>
            </w:r>
          </w:p>
          <w:p w14:paraId="08D3D3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违反本条例第十条、第十八条第三款规定，未建立钟乳石采集、经营档案或者未将钟乳石经营档案报当地县级以上自然资源主管部门备案的，由县级以上自然资源主管部门给予警告，责令限期改正；逾期不改正的，可以处一万元以下的罚款。</w:t>
            </w:r>
          </w:p>
        </w:tc>
        <w:tc>
          <w:tcPr>
            <w:tcW w:w="3585" w:type="dxa"/>
            <w:vAlign w:val="center"/>
          </w:tcPr>
          <w:p w14:paraId="25E324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965A0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E013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0E542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876AB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7E0B3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361BC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DCCEF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D0632F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E18790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2311E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BC92B8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00EB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C3C64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795F3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509680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C54A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3984E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7E869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378DD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0615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A6B87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ED4A9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FF4BF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1176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A52C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2F182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B805B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598FF9C">
            <w:pPr>
              <w:snapToGrid w:val="0"/>
              <w:spacing w:line="240" w:lineRule="atLeast"/>
              <w:jc w:val="center"/>
              <w:rPr>
                <w:rFonts w:ascii="仿宋_GB2312" w:hAnsi="仿宋_GB2312" w:eastAsia="仿宋_GB2312" w:cs="仿宋_GB2312"/>
                <w:sz w:val="20"/>
                <w:szCs w:val="20"/>
              </w:rPr>
            </w:pPr>
          </w:p>
        </w:tc>
      </w:tr>
    </w:tbl>
    <w:p w14:paraId="0023A265"/>
    <w:p w14:paraId="44A81DC5"/>
    <w:p w14:paraId="4BD5C8E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D82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A47B12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00EA0A1">
            <w:pPr>
              <w:spacing w:line="240" w:lineRule="atLeast"/>
              <w:rPr>
                <w:rFonts w:asciiTheme="majorEastAsia" w:hAnsiTheme="majorEastAsia" w:eastAsiaTheme="majorEastAsia" w:cstheme="majorEastAsia"/>
                <w:spacing w:val="-20"/>
                <w:sz w:val="20"/>
                <w:szCs w:val="20"/>
              </w:rPr>
            </w:pPr>
          </w:p>
          <w:p w14:paraId="179C9B0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DDDCF1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96E1AC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F4E553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4D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596F265">
            <w:pPr>
              <w:spacing w:line="240" w:lineRule="atLeast"/>
              <w:jc w:val="left"/>
              <w:rPr>
                <w:rFonts w:ascii="仿宋_GB2312" w:hAnsi="仿宋_GB2312" w:eastAsia="仿宋_GB2312" w:cs="仿宋_GB2312"/>
                <w:sz w:val="20"/>
                <w:szCs w:val="20"/>
              </w:rPr>
            </w:pPr>
          </w:p>
        </w:tc>
        <w:tc>
          <w:tcPr>
            <w:tcW w:w="555" w:type="dxa"/>
            <w:vMerge w:val="continue"/>
          </w:tcPr>
          <w:p w14:paraId="3E670542">
            <w:pPr>
              <w:spacing w:line="240" w:lineRule="atLeast"/>
              <w:jc w:val="left"/>
              <w:rPr>
                <w:rFonts w:ascii="仿宋_GB2312" w:hAnsi="仿宋_GB2312" w:eastAsia="仿宋_GB2312" w:cs="仿宋_GB2312"/>
                <w:sz w:val="20"/>
                <w:szCs w:val="20"/>
              </w:rPr>
            </w:pPr>
          </w:p>
        </w:tc>
        <w:tc>
          <w:tcPr>
            <w:tcW w:w="784" w:type="dxa"/>
            <w:vAlign w:val="center"/>
          </w:tcPr>
          <w:p w14:paraId="46F6A36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ABE0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A2118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44B89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345EA0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F2771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6977D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7A653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E57589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67EAB01">
            <w:pPr>
              <w:spacing w:line="240" w:lineRule="atLeast"/>
              <w:jc w:val="left"/>
              <w:rPr>
                <w:rFonts w:ascii="仿宋_GB2312" w:hAnsi="仿宋_GB2312" w:eastAsia="仿宋_GB2312" w:cs="仿宋_GB2312"/>
                <w:sz w:val="20"/>
                <w:szCs w:val="20"/>
              </w:rPr>
            </w:pPr>
          </w:p>
        </w:tc>
      </w:tr>
      <w:tr w14:paraId="17B3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23A9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89</w:t>
            </w:r>
          </w:p>
        </w:tc>
        <w:tc>
          <w:tcPr>
            <w:tcW w:w="555" w:type="dxa"/>
            <w:vAlign w:val="center"/>
          </w:tcPr>
          <w:p w14:paraId="38D744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177D5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41B53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AEE448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对违反规定未携带采矿许可证在自治区境内运输钟乳石行为的处罚</w:t>
            </w:r>
          </w:p>
        </w:tc>
        <w:tc>
          <w:tcPr>
            <w:tcW w:w="660" w:type="dxa"/>
            <w:vAlign w:val="center"/>
          </w:tcPr>
          <w:p w14:paraId="4891C952">
            <w:pPr>
              <w:snapToGrid w:val="0"/>
              <w:spacing w:line="240" w:lineRule="atLeast"/>
              <w:jc w:val="center"/>
              <w:rPr>
                <w:rFonts w:ascii="仿宋_GB2312" w:hAnsi="仿宋_GB2312" w:eastAsia="仿宋_GB2312" w:cs="仿宋_GB2312"/>
                <w:sz w:val="20"/>
                <w:szCs w:val="20"/>
              </w:rPr>
            </w:pPr>
          </w:p>
        </w:tc>
        <w:tc>
          <w:tcPr>
            <w:tcW w:w="615" w:type="dxa"/>
            <w:vAlign w:val="center"/>
          </w:tcPr>
          <w:p w14:paraId="5C137B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B5C97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66A6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九条第一款：钟乳石采集者在自治区境内运输钟乳石，应当携带采矿许可证。</w:t>
            </w:r>
          </w:p>
          <w:p w14:paraId="1F076A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违反本条例第十九条第一款规定，未携带采矿许可证的，由县级以上自然资源主管部门责令限期提供采矿许可证，逾期未能提供的，没收运输的钟乳石；情节严重的，可以并处二千元以上十万元以下的罚款。</w:t>
            </w:r>
          </w:p>
        </w:tc>
        <w:tc>
          <w:tcPr>
            <w:tcW w:w="3585" w:type="dxa"/>
            <w:vAlign w:val="center"/>
          </w:tcPr>
          <w:p w14:paraId="493711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68EC7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59C48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F93D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939FF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D557D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C1B35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651C88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57A96F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0E1A4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9BCF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C6648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E3AF3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20AAD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38DEA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33ED2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651CB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569CB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AFBC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547F6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119FA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C7F2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056A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4266A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41571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5E6EC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9A2F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DC5E5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05C4F95">
            <w:pPr>
              <w:snapToGrid w:val="0"/>
              <w:spacing w:line="240" w:lineRule="atLeast"/>
              <w:jc w:val="center"/>
              <w:rPr>
                <w:rFonts w:ascii="仿宋_GB2312" w:hAnsi="仿宋_GB2312" w:eastAsia="仿宋_GB2312" w:cs="仿宋_GB2312"/>
                <w:sz w:val="20"/>
                <w:szCs w:val="20"/>
              </w:rPr>
            </w:pPr>
          </w:p>
        </w:tc>
      </w:tr>
    </w:tbl>
    <w:p w14:paraId="19DFAE62"/>
    <w:p w14:paraId="3D518F63"/>
    <w:p w14:paraId="3CF0C2D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64"/>
        <w:gridCol w:w="645"/>
        <w:gridCol w:w="675"/>
        <w:gridCol w:w="1200"/>
        <w:gridCol w:w="4290"/>
        <w:gridCol w:w="3585"/>
        <w:gridCol w:w="9515"/>
        <w:gridCol w:w="330"/>
      </w:tblGrid>
      <w:tr w14:paraId="3881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BA7D34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716362">
            <w:pPr>
              <w:spacing w:line="240" w:lineRule="atLeast"/>
              <w:rPr>
                <w:rFonts w:asciiTheme="majorEastAsia" w:hAnsiTheme="majorEastAsia" w:eastAsiaTheme="majorEastAsia" w:cstheme="majorEastAsia"/>
                <w:spacing w:val="-20"/>
                <w:sz w:val="20"/>
                <w:szCs w:val="20"/>
              </w:rPr>
            </w:pPr>
          </w:p>
          <w:p w14:paraId="0866062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0AD9B9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E4CE8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F177F9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52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FE62805">
            <w:pPr>
              <w:spacing w:line="240" w:lineRule="atLeast"/>
              <w:jc w:val="left"/>
              <w:rPr>
                <w:rFonts w:ascii="仿宋_GB2312" w:hAnsi="仿宋_GB2312" w:eastAsia="仿宋_GB2312" w:cs="仿宋_GB2312"/>
                <w:sz w:val="20"/>
                <w:szCs w:val="20"/>
              </w:rPr>
            </w:pPr>
          </w:p>
        </w:tc>
        <w:tc>
          <w:tcPr>
            <w:tcW w:w="555" w:type="dxa"/>
            <w:vMerge w:val="continue"/>
          </w:tcPr>
          <w:p w14:paraId="7CAC48B3">
            <w:pPr>
              <w:spacing w:line="240" w:lineRule="atLeast"/>
              <w:jc w:val="left"/>
              <w:rPr>
                <w:rFonts w:ascii="仿宋_GB2312" w:hAnsi="仿宋_GB2312" w:eastAsia="仿宋_GB2312" w:cs="仿宋_GB2312"/>
                <w:sz w:val="20"/>
                <w:szCs w:val="20"/>
              </w:rPr>
            </w:pPr>
          </w:p>
        </w:tc>
        <w:tc>
          <w:tcPr>
            <w:tcW w:w="964" w:type="dxa"/>
            <w:vAlign w:val="center"/>
          </w:tcPr>
          <w:p w14:paraId="6347148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8D1B8F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3547504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75" w:type="dxa"/>
            <w:vAlign w:val="center"/>
          </w:tcPr>
          <w:p w14:paraId="12FCCE9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200" w:type="dxa"/>
            <w:vAlign w:val="center"/>
          </w:tcPr>
          <w:p w14:paraId="5D4706D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290" w:type="dxa"/>
            <w:vAlign w:val="center"/>
          </w:tcPr>
          <w:p w14:paraId="032067A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90776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E07D94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0DA2CC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9621CAE">
            <w:pPr>
              <w:spacing w:line="240" w:lineRule="atLeast"/>
              <w:jc w:val="left"/>
              <w:rPr>
                <w:rFonts w:ascii="仿宋_GB2312" w:hAnsi="仿宋_GB2312" w:eastAsia="仿宋_GB2312" w:cs="仿宋_GB2312"/>
                <w:sz w:val="20"/>
                <w:szCs w:val="20"/>
              </w:rPr>
            </w:pPr>
          </w:p>
        </w:tc>
      </w:tr>
      <w:tr w14:paraId="29AC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6AD62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90</w:t>
            </w:r>
          </w:p>
        </w:tc>
        <w:tc>
          <w:tcPr>
            <w:tcW w:w="555" w:type="dxa"/>
            <w:vAlign w:val="center"/>
          </w:tcPr>
          <w:p w14:paraId="129C33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E43B3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3997F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64" w:type="dxa"/>
            <w:vAlign w:val="center"/>
          </w:tcPr>
          <w:p w14:paraId="10F2A59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对建设单位未按照规定对地质灾害易发区内的建设工程进行地质灾害危险性评估、配套的地质灾害治理工程未经验收或者经验收不合格主体工程即投入生产或者使用行为的处罚</w:t>
            </w:r>
          </w:p>
        </w:tc>
        <w:tc>
          <w:tcPr>
            <w:tcW w:w="645" w:type="dxa"/>
            <w:vAlign w:val="center"/>
          </w:tcPr>
          <w:p w14:paraId="0F443673">
            <w:pPr>
              <w:snapToGrid w:val="0"/>
              <w:spacing w:line="240" w:lineRule="atLeast"/>
              <w:jc w:val="center"/>
              <w:rPr>
                <w:rFonts w:ascii="仿宋_GB2312" w:hAnsi="仿宋_GB2312" w:eastAsia="仿宋_GB2312" w:cs="仿宋_GB2312"/>
                <w:sz w:val="20"/>
                <w:szCs w:val="20"/>
              </w:rPr>
            </w:pPr>
          </w:p>
        </w:tc>
        <w:tc>
          <w:tcPr>
            <w:tcW w:w="675" w:type="dxa"/>
            <w:vAlign w:val="center"/>
          </w:tcPr>
          <w:p w14:paraId="2234B0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200" w:type="dxa"/>
            <w:vAlign w:val="center"/>
          </w:tcPr>
          <w:p w14:paraId="058D5D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290" w:type="dxa"/>
            <w:vAlign w:val="center"/>
          </w:tcPr>
          <w:p w14:paraId="3A3DAA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一条：违反本条例规定，建设单位有下列行为之一的，由县级以上地方人民政府国土资源主管部门责令限期改正；逾期不改正的，责令停止生产、施工或者使用，处10万元以上50万元以下的罚款；构成犯罪的，依法追究刑事责任：</w:t>
            </w:r>
          </w:p>
          <w:p w14:paraId="243BFC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（一）未按照规定对地质灾害易发区内的建设工程进行地质灾害危险性评估的；</w:t>
            </w:r>
          </w:p>
          <w:p w14:paraId="40512F1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（二）配套的地质灾害治理工程未经验收或者经验收不合格，主体工程即投入生产或者使用的。</w:t>
            </w:r>
          </w:p>
        </w:tc>
        <w:tc>
          <w:tcPr>
            <w:tcW w:w="3585" w:type="dxa"/>
            <w:vAlign w:val="center"/>
          </w:tcPr>
          <w:p w14:paraId="53D0E0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0D830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C672D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C0170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5A3C8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E212D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52368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59C3DC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9656C8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F58A41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6C92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122B1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00A9B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C0F23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1331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E8F882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AA3F8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94032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82AE2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464D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B476B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A98D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74E7C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F92C7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BC577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C01FB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88E2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FBD08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84CFFCC">
            <w:pPr>
              <w:snapToGrid w:val="0"/>
              <w:spacing w:line="240" w:lineRule="atLeast"/>
              <w:jc w:val="center"/>
              <w:rPr>
                <w:rFonts w:ascii="仿宋_GB2312" w:hAnsi="仿宋_GB2312" w:eastAsia="仿宋_GB2312" w:cs="仿宋_GB2312"/>
                <w:sz w:val="20"/>
                <w:szCs w:val="20"/>
              </w:rPr>
            </w:pPr>
          </w:p>
        </w:tc>
      </w:tr>
    </w:tbl>
    <w:p w14:paraId="70C2799C"/>
    <w:p w14:paraId="7CBC1E88"/>
    <w:p w14:paraId="4F78F87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88C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3BA57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40CE624">
            <w:pPr>
              <w:spacing w:line="240" w:lineRule="atLeast"/>
              <w:rPr>
                <w:rFonts w:asciiTheme="majorEastAsia" w:hAnsiTheme="majorEastAsia" w:eastAsiaTheme="majorEastAsia" w:cstheme="majorEastAsia"/>
                <w:spacing w:val="-20"/>
                <w:sz w:val="20"/>
                <w:szCs w:val="20"/>
              </w:rPr>
            </w:pPr>
          </w:p>
          <w:p w14:paraId="31163F4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D0660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6468E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F93551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F1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6FCFB1">
            <w:pPr>
              <w:spacing w:line="240" w:lineRule="atLeast"/>
              <w:jc w:val="left"/>
              <w:rPr>
                <w:rFonts w:ascii="仿宋_GB2312" w:hAnsi="仿宋_GB2312" w:eastAsia="仿宋_GB2312" w:cs="仿宋_GB2312"/>
                <w:sz w:val="20"/>
                <w:szCs w:val="20"/>
              </w:rPr>
            </w:pPr>
          </w:p>
        </w:tc>
        <w:tc>
          <w:tcPr>
            <w:tcW w:w="555" w:type="dxa"/>
            <w:vMerge w:val="continue"/>
          </w:tcPr>
          <w:p w14:paraId="7666F086">
            <w:pPr>
              <w:spacing w:line="240" w:lineRule="atLeast"/>
              <w:jc w:val="left"/>
              <w:rPr>
                <w:rFonts w:ascii="仿宋_GB2312" w:hAnsi="仿宋_GB2312" w:eastAsia="仿宋_GB2312" w:cs="仿宋_GB2312"/>
                <w:sz w:val="20"/>
                <w:szCs w:val="20"/>
              </w:rPr>
            </w:pPr>
          </w:p>
        </w:tc>
        <w:tc>
          <w:tcPr>
            <w:tcW w:w="784" w:type="dxa"/>
            <w:vAlign w:val="center"/>
          </w:tcPr>
          <w:p w14:paraId="6E70E74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03D70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35DC7A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A60E3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0C59EA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7647C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7CD24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A32D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7E3E23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5058979">
            <w:pPr>
              <w:spacing w:line="240" w:lineRule="atLeast"/>
              <w:jc w:val="left"/>
              <w:rPr>
                <w:rFonts w:ascii="仿宋_GB2312" w:hAnsi="仿宋_GB2312" w:eastAsia="仿宋_GB2312" w:cs="仿宋_GB2312"/>
                <w:sz w:val="20"/>
                <w:szCs w:val="20"/>
              </w:rPr>
            </w:pPr>
          </w:p>
        </w:tc>
      </w:tr>
      <w:tr w14:paraId="4C68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5AA3D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91</w:t>
            </w:r>
          </w:p>
        </w:tc>
        <w:tc>
          <w:tcPr>
            <w:tcW w:w="555" w:type="dxa"/>
            <w:vAlign w:val="center"/>
          </w:tcPr>
          <w:p w14:paraId="69B792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F8D0D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02F93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4A25E8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对工程建设等人为活动引发的地质灾害不予治理、逾期不治理或者治理不符合要求行为的处罚</w:t>
            </w:r>
          </w:p>
        </w:tc>
        <w:tc>
          <w:tcPr>
            <w:tcW w:w="660" w:type="dxa"/>
            <w:vAlign w:val="center"/>
          </w:tcPr>
          <w:p w14:paraId="0BA5800E">
            <w:pPr>
              <w:snapToGrid w:val="0"/>
              <w:spacing w:line="240" w:lineRule="atLeast"/>
              <w:jc w:val="center"/>
              <w:rPr>
                <w:rFonts w:ascii="仿宋_GB2312" w:hAnsi="仿宋_GB2312" w:eastAsia="仿宋_GB2312" w:cs="仿宋_GB2312"/>
                <w:sz w:val="20"/>
                <w:szCs w:val="20"/>
              </w:rPr>
            </w:pPr>
          </w:p>
        </w:tc>
        <w:tc>
          <w:tcPr>
            <w:tcW w:w="615" w:type="dxa"/>
            <w:vAlign w:val="center"/>
          </w:tcPr>
          <w:p w14:paraId="33429F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B231B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A738B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二条：违反本条例规定，对工程建设等人为活动引发的地质灾害不予治理的，由县级以上人民政府国土资源主管部门责令限期治理；逾期不治理或者治理不符合要求的，由责令限期治理的国土资源主管部门组织治理，所需费用由责任单位承担，处10万元以上50万元以下的罚款；给他人造成损失的，依法承担赔偿责任。</w:t>
            </w:r>
          </w:p>
        </w:tc>
        <w:tc>
          <w:tcPr>
            <w:tcW w:w="3585" w:type="dxa"/>
            <w:vAlign w:val="center"/>
          </w:tcPr>
          <w:p w14:paraId="44C6C9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73637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DC639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0B8ECD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AA3B4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46125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3F7FF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A8C03E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A99879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1897B9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913B7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7836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3ED12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988228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56FC3F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44EB72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DC421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E78AC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1EB59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A3B1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F1BC3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2C8F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BFF7C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7EC02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4568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ACC6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6537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3E63C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4138F06">
            <w:pPr>
              <w:snapToGrid w:val="0"/>
              <w:spacing w:line="240" w:lineRule="atLeast"/>
              <w:jc w:val="center"/>
              <w:rPr>
                <w:rFonts w:ascii="仿宋_GB2312" w:hAnsi="仿宋_GB2312" w:eastAsia="仿宋_GB2312" w:cs="仿宋_GB2312"/>
                <w:sz w:val="20"/>
                <w:szCs w:val="20"/>
              </w:rPr>
            </w:pPr>
          </w:p>
        </w:tc>
      </w:tr>
    </w:tbl>
    <w:p w14:paraId="0CCF8A5B"/>
    <w:p w14:paraId="6F0D0CCA"/>
    <w:p w14:paraId="4BE285A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3B2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D1F4A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F96BE82">
            <w:pPr>
              <w:spacing w:line="240" w:lineRule="atLeast"/>
              <w:rPr>
                <w:rFonts w:asciiTheme="majorEastAsia" w:hAnsiTheme="majorEastAsia" w:eastAsiaTheme="majorEastAsia" w:cstheme="majorEastAsia"/>
                <w:spacing w:val="-20"/>
                <w:sz w:val="20"/>
                <w:szCs w:val="20"/>
              </w:rPr>
            </w:pPr>
          </w:p>
          <w:p w14:paraId="51A94C2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33BEA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BF98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B53CB2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3F0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78D6C8">
            <w:pPr>
              <w:spacing w:line="240" w:lineRule="atLeast"/>
              <w:jc w:val="left"/>
              <w:rPr>
                <w:rFonts w:ascii="仿宋_GB2312" w:hAnsi="仿宋_GB2312" w:eastAsia="仿宋_GB2312" w:cs="仿宋_GB2312"/>
                <w:sz w:val="20"/>
                <w:szCs w:val="20"/>
              </w:rPr>
            </w:pPr>
          </w:p>
        </w:tc>
        <w:tc>
          <w:tcPr>
            <w:tcW w:w="555" w:type="dxa"/>
            <w:vMerge w:val="continue"/>
          </w:tcPr>
          <w:p w14:paraId="30950CBB">
            <w:pPr>
              <w:spacing w:line="240" w:lineRule="atLeast"/>
              <w:jc w:val="left"/>
              <w:rPr>
                <w:rFonts w:ascii="仿宋_GB2312" w:hAnsi="仿宋_GB2312" w:eastAsia="仿宋_GB2312" w:cs="仿宋_GB2312"/>
                <w:sz w:val="20"/>
                <w:szCs w:val="20"/>
              </w:rPr>
            </w:pPr>
          </w:p>
        </w:tc>
        <w:tc>
          <w:tcPr>
            <w:tcW w:w="784" w:type="dxa"/>
            <w:vAlign w:val="center"/>
          </w:tcPr>
          <w:p w14:paraId="5C0DE6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E0995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016DD5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E119D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C68908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85D434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18E7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34CF63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5DB07F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FCAF64">
            <w:pPr>
              <w:spacing w:line="240" w:lineRule="atLeast"/>
              <w:jc w:val="left"/>
              <w:rPr>
                <w:rFonts w:ascii="仿宋_GB2312" w:hAnsi="仿宋_GB2312" w:eastAsia="仿宋_GB2312" w:cs="仿宋_GB2312"/>
                <w:sz w:val="20"/>
                <w:szCs w:val="20"/>
              </w:rPr>
            </w:pPr>
          </w:p>
        </w:tc>
      </w:tr>
      <w:tr w14:paraId="46BC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E5197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92</w:t>
            </w:r>
          </w:p>
        </w:tc>
        <w:tc>
          <w:tcPr>
            <w:tcW w:w="555" w:type="dxa"/>
            <w:vAlign w:val="center"/>
          </w:tcPr>
          <w:p w14:paraId="5AA44F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9923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EC3D8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02AA0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对在地质灾害危险区内爆破、削坡、进行工程建设以及从事其他可能引发地质灾害活动行为的处罚</w:t>
            </w:r>
          </w:p>
        </w:tc>
        <w:tc>
          <w:tcPr>
            <w:tcW w:w="660" w:type="dxa"/>
            <w:vAlign w:val="center"/>
          </w:tcPr>
          <w:p w14:paraId="61AA48D6">
            <w:pPr>
              <w:snapToGrid w:val="0"/>
              <w:spacing w:line="240" w:lineRule="atLeast"/>
              <w:jc w:val="center"/>
              <w:rPr>
                <w:rFonts w:ascii="仿宋_GB2312" w:hAnsi="仿宋_GB2312" w:eastAsia="仿宋_GB2312" w:cs="仿宋_GB2312"/>
                <w:sz w:val="20"/>
                <w:szCs w:val="20"/>
              </w:rPr>
            </w:pPr>
          </w:p>
        </w:tc>
        <w:tc>
          <w:tcPr>
            <w:tcW w:w="615" w:type="dxa"/>
            <w:vAlign w:val="center"/>
          </w:tcPr>
          <w:p w14:paraId="106628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2D9BD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D9EA57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三条：违反本条例规定，在地质灾害危险区内爆破、削坡、进行工程建设以及从事其他可能引发地质灾害活动的，由县级以上地方人民政府国土资源主管部门责令停止违法行为，对单位处5万元以上20万元以下的罚款，对个人处1万元以上5万元以下的罚款；构成犯罪的，依法追究刑事责任；给他人造成损失的，依法承担赔偿责任。</w:t>
            </w:r>
          </w:p>
        </w:tc>
        <w:tc>
          <w:tcPr>
            <w:tcW w:w="3585" w:type="dxa"/>
            <w:vAlign w:val="center"/>
          </w:tcPr>
          <w:p w14:paraId="301C9B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6E717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917BC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6548AC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4C6A7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5912E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40F6D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66BDD8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B459B1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96CB6C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DEF15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F2EB4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EA1EB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3046B9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72094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D02061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091B4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CB3B0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B046A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BC760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BCAA6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863C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9FAF4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839A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4818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72316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62D7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649F54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C6D8974">
            <w:pPr>
              <w:snapToGrid w:val="0"/>
              <w:spacing w:line="240" w:lineRule="atLeast"/>
              <w:jc w:val="center"/>
              <w:rPr>
                <w:rFonts w:ascii="仿宋_GB2312" w:hAnsi="仿宋_GB2312" w:eastAsia="仿宋_GB2312" w:cs="仿宋_GB2312"/>
                <w:sz w:val="20"/>
                <w:szCs w:val="20"/>
              </w:rPr>
            </w:pPr>
          </w:p>
        </w:tc>
      </w:tr>
    </w:tbl>
    <w:p w14:paraId="7942BCB6"/>
    <w:p w14:paraId="104C97D1"/>
    <w:p w14:paraId="0A40816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EFF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D570AA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B598524">
            <w:pPr>
              <w:spacing w:line="240" w:lineRule="atLeast"/>
              <w:rPr>
                <w:rFonts w:asciiTheme="majorEastAsia" w:hAnsiTheme="majorEastAsia" w:eastAsiaTheme="majorEastAsia" w:cstheme="majorEastAsia"/>
                <w:spacing w:val="-20"/>
                <w:sz w:val="20"/>
                <w:szCs w:val="20"/>
              </w:rPr>
            </w:pPr>
          </w:p>
          <w:p w14:paraId="678AACD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D4C7CE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95AA6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A828C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2B5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D0D523A">
            <w:pPr>
              <w:spacing w:line="240" w:lineRule="atLeast"/>
              <w:jc w:val="left"/>
              <w:rPr>
                <w:rFonts w:ascii="仿宋_GB2312" w:hAnsi="仿宋_GB2312" w:eastAsia="仿宋_GB2312" w:cs="仿宋_GB2312"/>
                <w:sz w:val="20"/>
                <w:szCs w:val="20"/>
              </w:rPr>
            </w:pPr>
          </w:p>
        </w:tc>
        <w:tc>
          <w:tcPr>
            <w:tcW w:w="555" w:type="dxa"/>
            <w:vMerge w:val="continue"/>
          </w:tcPr>
          <w:p w14:paraId="597777D2">
            <w:pPr>
              <w:spacing w:line="240" w:lineRule="atLeast"/>
              <w:jc w:val="left"/>
              <w:rPr>
                <w:rFonts w:ascii="仿宋_GB2312" w:hAnsi="仿宋_GB2312" w:eastAsia="仿宋_GB2312" w:cs="仿宋_GB2312"/>
                <w:sz w:val="20"/>
                <w:szCs w:val="20"/>
              </w:rPr>
            </w:pPr>
          </w:p>
        </w:tc>
        <w:tc>
          <w:tcPr>
            <w:tcW w:w="784" w:type="dxa"/>
            <w:vAlign w:val="center"/>
          </w:tcPr>
          <w:p w14:paraId="61FD0C5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8B953D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0A0D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91F63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A4FF7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510983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B2FD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BC11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B9CA36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7B9908D">
            <w:pPr>
              <w:spacing w:line="240" w:lineRule="atLeast"/>
              <w:jc w:val="left"/>
              <w:rPr>
                <w:rFonts w:ascii="仿宋_GB2312" w:hAnsi="仿宋_GB2312" w:eastAsia="仿宋_GB2312" w:cs="仿宋_GB2312"/>
                <w:sz w:val="20"/>
                <w:szCs w:val="20"/>
              </w:rPr>
            </w:pPr>
          </w:p>
        </w:tc>
      </w:tr>
      <w:tr w14:paraId="4D55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12E2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93</w:t>
            </w:r>
          </w:p>
        </w:tc>
        <w:tc>
          <w:tcPr>
            <w:tcW w:w="555" w:type="dxa"/>
            <w:vAlign w:val="center"/>
          </w:tcPr>
          <w:p w14:paraId="281D5E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E2E9C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40B5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05766B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对在地质灾害危险性评估中弄虚作假或者故意隐瞒地质灾害真实情况行为的处罚</w:t>
            </w:r>
          </w:p>
        </w:tc>
        <w:tc>
          <w:tcPr>
            <w:tcW w:w="660" w:type="dxa"/>
            <w:vAlign w:val="center"/>
          </w:tcPr>
          <w:p w14:paraId="1A278203">
            <w:pPr>
              <w:snapToGrid w:val="0"/>
              <w:spacing w:line="240" w:lineRule="atLeast"/>
              <w:jc w:val="center"/>
              <w:rPr>
                <w:rFonts w:ascii="仿宋_GB2312" w:hAnsi="仿宋_GB2312" w:eastAsia="仿宋_GB2312" w:cs="仿宋_GB2312"/>
                <w:sz w:val="20"/>
                <w:szCs w:val="20"/>
              </w:rPr>
            </w:pPr>
          </w:p>
        </w:tc>
        <w:tc>
          <w:tcPr>
            <w:tcW w:w="615" w:type="dxa"/>
            <w:vAlign w:val="center"/>
          </w:tcPr>
          <w:p w14:paraId="1FEE5A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B57D9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60466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199DF9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（一）在地质灾害危险性评估中弄虚作假或者故意隐瞒地质灾害真实情况的。</w:t>
            </w:r>
          </w:p>
        </w:tc>
        <w:tc>
          <w:tcPr>
            <w:tcW w:w="3585" w:type="dxa"/>
            <w:vAlign w:val="center"/>
          </w:tcPr>
          <w:p w14:paraId="00451F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B9B7A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BAB12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660C1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7AACA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79FE1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51ACE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C87F65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ABB601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6EFF0D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4E8AC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F4899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6454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16DED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88917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21B1A9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A2657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36AA4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7E17C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C997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137C6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7AE9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20EED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342B0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D344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AC06F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FFABE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393E4C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B5196FA">
            <w:pPr>
              <w:snapToGrid w:val="0"/>
              <w:spacing w:line="240" w:lineRule="atLeast"/>
              <w:jc w:val="center"/>
              <w:rPr>
                <w:rFonts w:ascii="仿宋_GB2312" w:hAnsi="仿宋_GB2312" w:eastAsia="仿宋_GB2312" w:cs="仿宋_GB2312"/>
                <w:sz w:val="20"/>
                <w:szCs w:val="20"/>
              </w:rPr>
            </w:pPr>
          </w:p>
        </w:tc>
      </w:tr>
    </w:tbl>
    <w:p w14:paraId="3472D2F8"/>
    <w:p w14:paraId="2D64B38B"/>
    <w:p w14:paraId="57D4F98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AB5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4B2D80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D30DBB3">
            <w:pPr>
              <w:spacing w:line="240" w:lineRule="atLeast"/>
              <w:rPr>
                <w:rFonts w:asciiTheme="majorEastAsia" w:hAnsiTheme="majorEastAsia" w:eastAsiaTheme="majorEastAsia" w:cstheme="majorEastAsia"/>
                <w:spacing w:val="-20"/>
                <w:sz w:val="20"/>
                <w:szCs w:val="20"/>
              </w:rPr>
            </w:pPr>
          </w:p>
          <w:p w14:paraId="32B735D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E3232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207E93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EA9B86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5F3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2EAA2BD">
            <w:pPr>
              <w:spacing w:line="240" w:lineRule="atLeast"/>
              <w:jc w:val="left"/>
              <w:rPr>
                <w:rFonts w:ascii="仿宋_GB2312" w:hAnsi="仿宋_GB2312" w:eastAsia="仿宋_GB2312" w:cs="仿宋_GB2312"/>
                <w:sz w:val="20"/>
                <w:szCs w:val="20"/>
              </w:rPr>
            </w:pPr>
          </w:p>
        </w:tc>
        <w:tc>
          <w:tcPr>
            <w:tcW w:w="555" w:type="dxa"/>
            <w:vMerge w:val="continue"/>
          </w:tcPr>
          <w:p w14:paraId="716D229B">
            <w:pPr>
              <w:spacing w:line="240" w:lineRule="atLeast"/>
              <w:jc w:val="left"/>
              <w:rPr>
                <w:rFonts w:ascii="仿宋_GB2312" w:hAnsi="仿宋_GB2312" w:eastAsia="仿宋_GB2312" w:cs="仿宋_GB2312"/>
                <w:sz w:val="20"/>
                <w:szCs w:val="20"/>
              </w:rPr>
            </w:pPr>
          </w:p>
        </w:tc>
        <w:tc>
          <w:tcPr>
            <w:tcW w:w="784" w:type="dxa"/>
            <w:vAlign w:val="center"/>
          </w:tcPr>
          <w:p w14:paraId="04CEA01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83D4AB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18BF4A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55E9BB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60129B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57BD0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90317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90AD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FE73C8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D166ACF">
            <w:pPr>
              <w:spacing w:line="240" w:lineRule="atLeast"/>
              <w:jc w:val="left"/>
              <w:rPr>
                <w:rFonts w:ascii="仿宋_GB2312" w:hAnsi="仿宋_GB2312" w:eastAsia="仿宋_GB2312" w:cs="仿宋_GB2312"/>
                <w:sz w:val="20"/>
                <w:szCs w:val="20"/>
              </w:rPr>
            </w:pPr>
          </w:p>
        </w:tc>
      </w:tr>
      <w:tr w14:paraId="783D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7AF6A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94</w:t>
            </w:r>
          </w:p>
        </w:tc>
        <w:tc>
          <w:tcPr>
            <w:tcW w:w="555" w:type="dxa"/>
            <w:vAlign w:val="center"/>
          </w:tcPr>
          <w:p w14:paraId="3B8CFC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7F8CE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547FF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20A9B4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对在地质灾害治理工程勘查、设计、施工以及监理活动中弄虚作假、降低工程质量行为的处罚</w:t>
            </w:r>
          </w:p>
        </w:tc>
        <w:tc>
          <w:tcPr>
            <w:tcW w:w="660" w:type="dxa"/>
            <w:vAlign w:val="center"/>
          </w:tcPr>
          <w:p w14:paraId="2EBE808A">
            <w:pPr>
              <w:snapToGrid w:val="0"/>
              <w:spacing w:line="240" w:lineRule="atLeast"/>
              <w:jc w:val="center"/>
              <w:rPr>
                <w:rFonts w:ascii="仿宋_GB2312" w:hAnsi="仿宋_GB2312" w:eastAsia="仿宋_GB2312" w:cs="仿宋_GB2312"/>
                <w:sz w:val="20"/>
                <w:szCs w:val="20"/>
              </w:rPr>
            </w:pPr>
          </w:p>
        </w:tc>
        <w:tc>
          <w:tcPr>
            <w:tcW w:w="615" w:type="dxa"/>
            <w:vAlign w:val="center"/>
          </w:tcPr>
          <w:p w14:paraId="49CFC8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94AD6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F37A6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1AE601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（二）在地质灾害治理工程勘查、设计、施工以及监理活动中弄虚作假、降低工程质量的。</w:t>
            </w:r>
          </w:p>
        </w:tc>
        <w:tc>
          <w:tcPr>
            <w:tcW w:w="3585" w:type="dxa"/>
            <w:vAlign w:val="center"/>
          </w:tcPr>
          <w:p w14:paraId="5558EB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2792F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CCED1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F761C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6F118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04054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26E8B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3058A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0021C8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C18A7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14DD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DDBD1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EDB7FB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E7B37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EB715E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D5344A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C4DD8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65836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1550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41AA1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9EF54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9CC8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817D6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A680B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90E5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B6909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03C5E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0CCF2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44DDF5E">
            <w:pPr>
              <w:snapToGrid w:val="0"/>
              <w:spacing w:line="240" w:lineRule="atLeast"/>
              <w:jc w:val="center"/>
              <w:rPr>
                <w:rFonts w:ascii="仿宋_GB2312" w:hAnsi="仿宋_GB2312" w:eastAsia="仿宋_GB2312" w:cs="仿宋_GB2312"/>
                <w:sz w:val="20"/>
                <w:szCs w:val="20"/>
              </w:rPr>
            </w:pPr>
          </w:p>
        </w:tc>
      </w:tr>
    </w:tbl>
    <w:p w14:paraId="1D2E06E0"/>
    <w:p w14:paraId="1E22CD79"/>
    <w:p w14:paraId="77A26D7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B2F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CE311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0FC17BA">
            <w:pPr>
              <w:spacing w:line="240" w:lineRule="atLeast"/>
              <w:rPr>
                <w:rFonts w:asciiTheme="majorEastAsia" w:hAnsiTheme="majorEastAsia" w:eastAsiaTheme="majorEastAsia" w:cstheme="majorEastAsia"/>
                <w:spacing w:val="-20"/>
                <w:sz w:val="20"/>
                <w:szCs w:val="20"/>
              </w:rPr>
            </w:pPr>
          </w:p>
          <w:p w14:paraId="5CD8891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90D16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423B2E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F6F687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B37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C7688D0">
            <w:pPr>
              <w:spacing w:line="240" w:lineRule="atLeast"/>
              <w:jc w:val="left"/>
              <w:rPr>
                <w:rFonts w:ascii="仿宋_GB2312" w:hAnsi="仿宋_GB2312" w:eastAsia="仿宋_GB2312" w:cs="仿宋_GB2312"/>
                <w:sz w:val="20"/>
                <w:szCs w:val="20"/>
              </w:rPr>
            </w:pPr>
          </w:p>
        </w:tc>
        <w:tc>
          <w:tcPr>
            <w:tcW w:w="555" w:type="dxa"/>
            <w:vMerge w:val="continue"/>
          </w:tcPr>
          <w:p w14:paraId="52FAE86D">
            <w:pPr>
              <w:spacing w:line="240" w:lineRule="atLeast"/>
              <w:jc w:val="left"/>
              <w:rPr>
                <w:rFonts w:ascii="仿宋_GB2312" w:hAnsi="仿宋_GB2312" w:eastAsia="仿宋_GB2312" w:cs="仿宋_GB2312"/>
                <w:sz w:val="20"/>
                <w:szCs w:val="20"/>
              </w:rPr>
            </w:pPr>
          </w:p>
        </w:tc>
        <w:tc>
          <w:tcPr>
            <w:tcW w:w="784" w:type="dxa"/>
            <w:vAlign w:val="center"/>
          </w:tcPr>
          <w:p w14:paraId="0D64404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8A1C04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576BBA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002C9B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5F1903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E69DC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9D63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2DC42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96909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1A615E6">
            <w:pPr>
              <w:spacing w:line="240" w:lineRule="atLeast"/>
              <w:jc w:val="left"/>
              <w:rPr>
                <w:rFonts w:ascii="仿宋_GB2312" w:hAnsi="仿宋_GB2312" w:eastAsia="仿宋_GB2312" w:cs="仿宋_GB2312"/>
                <w:sz w:val="20"/>
                <w:szCs w:val="20"/>
              </w:rPr>
            </w:pPr>
          </w:p>
        </w:tc>
      </w:tr>
      <w:tr w14:paraId="3E9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D837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95</w:t>
            </w:r>
          </w:p>
        </w:tc>
        <w:tc>
          <w:tcPr>
            <w:tcW w:w="555" w:type="dxa"/>
            <w:vAlign w:val="center"/>
          </w:tcPr>
          <w:p w14:paraId="60D411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077B4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475A4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ADDAE4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对无资质证书或者超越其资质等级许可的范围承揽地质灾害危险性评估、地质灾害治理工程勘查、设计、施工及监理业务行为的处罚</w:t>
            </w:r>
          </w:p>
        </w:tc>
        <w:tc>
          <w:tcPr>
            <w:tcW w:w="660" w:type="dxa"/>
            <w:vAlign w:val="center"/>
          </w:tcPr>
          <w:p w14:paraId="6AA52930">
            <w:pPr>
              <w:snapToGrid w:val="0"/>
              <w:spacing w:line="240" w:lineRule="atLeast"/>
              <w:jc w:val="center"/>
              <w:rPr>
                <w:rFonts w:ascii="仿宋_GB2312" w:hAnsi="仿宋_GB2312" w:eastAsia="仿宋_GB2312" w:cs="仿宋_GB2312"/>
                <w:sz w:val="20"/>
                <w:szCs w:val="20"/>
              </w:rPr>
            </w:pPr>
          </w:p>
        </w:tc>
        <w:tc>
          <w:tcPr>
            <w:tcW w:w="615" w:type="dxa"/>
            <w:vAlign w:val="center"/>
          </w:tcPr>
          <w:p w14:paraId="281A40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96DD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E641F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7BFEB9A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（三）无资质证书或者超越其资质等级许可的范围承揽地质灾害危险性评估、地质灾害治理工程勘查、设计、施工及监理业务的。</w:t>
            </w:r>
          </w:p>
        </w:tc>
        <w:tc>
          <w:tcPr>
            <w:tcW w:w="3585" w:type="dxa"/>
            <w:vAlign w:val="center"/>
          </w:tcPr>
          <w:p w14:paraId="37B402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B940C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1B204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12E0C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37739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F1E6E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839EF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653D4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3EC8F2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006CD6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65E0A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3B7C5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08C542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C4F22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68534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CF2942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C84CF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CEFA1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7D7F8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BC41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DBB69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F83B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39C30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DAC39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7A9C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9F31B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F934B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C7C0E8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110CA5E">
            <w:pPr>
              <w:snapToGrid w:val="0"/>
              <w:spacing w:line="240" w:lineRule="atLeast"/>
              <w:jc w:val="center"/>
              <w:rPr>
                <w:rFonts w:ascii="仿宋_GB2312" w:hAnsi="仿宋_GB2312" w:eastAsia="仿宋_GB2312" w:cs="仿宋_GB2312"/>
                <w:sz w:val="20"/>
                <w:szCs w:val="20"/>
              </w:rPr>
            </w:pPr>
          </w:p>
        </w:tc>
      </w:tr>
    </w:tbl>
    <w:p w14:paraId="6B9433A1"/>
    <w:p w14:paraId="20027C87"/>
    <w:p w14:paraId="2519F65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CC5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81D764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FCE0F07">
            <w:pPr>
              <w:spacing w:line="240" w:lineRule="atLeast"/>
              <w:rPr>
                <w:rFonts w:asciiTheme="majorEastAsia" w:hAnsiTheme="majorEastAsia" w:eastAsiaTheme="majorEastAsia" w:cstheme="majorEastAsia"/>
                <w:spacing w:val="-20"/>
                <w:sz w:val="20"/>
                <w:szCs w:val="20"/>
              </w:rPr>
            </w:pPr>
          </w:p>
          <w:p w14:paraId="202DDAB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80857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23FF0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19401F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AA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D35FBFB">
            <w:pPr>
              <w:spacing w:line="240" w:lineRule="atLeast"/>
              <w:jc w:val="left"/>
              <w:rPr>
                <w:rFonts w:ascii="仿宋_GB2312" w:hAnsi="仿宋_GB2312" w:eastAsia="仿宋_GB2312" w:cs="仿宋_GB2312"/>
                <w:sz w:val="20"/>
                <w:szCs w:val="20"/>
              </w:rPr>
            </w:pPr>
          </w:p>
        </w:tc>
        <w:tc>
          <w:tcPr>
            <w:tcW w:w="555" w:type="dxa"/>
            <w:vMerge w:val="continue"/>
          </w:tcPr>
          <w:p w14:paraId="6BCE401E">
            <w:pPr>
              <w:spacing w:line="240" w:lineRule="atLeast"/>
              <w:jc w:val="left"/>
              <w:rPr>
                <w:rFonts w:ascii="仿宋_GB2312" w:hAnsi="仿宋_GB2312" w:eastAsia="仿宋_GB2312" w:cs="仿宋_GB2312"/>
                <w:sz w:val="20"/>
                <w:szCs w:val="20"/>
              </w:rPr>
            </w:pPr>
          </w:p>
        </w:tc>
        <w:tc>
          <w:tcPr>
            <w:tcW w:w="784" w:type="dxa"/>
            <w:vAlign w:val="center"/>
          </w:tcPr>
          <w:p w14:paraId="43E2DB7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DC749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DEFA9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3A4077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69F2D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FDD17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FA6E95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E6488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C000A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9D5E32E">
            <w:pPr>
              <w:spacing w:line="240" w:lineRule="atLeast"/>
              <w:jc w:val="left"/>
              <w:rPr>
                <w:rFonts w:ascii="仿宋_GB2312" w:hAnsi="仿宋_GB2312" w:eastAsia="仿宋_GB2312" w:cs="仿宋_GB2312"/>
                <w:sz w:val="20"/>
                <w:szCs w:val="20"/>
              </w:rPr>
            </w:pPr>
          </w:p>
        </w:tc>
      </w:tr>
      <w:tr w14:paraId="4053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0D50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96</w:t>
            </w:r>
          </w:p>
        </w:tc>
        <w:tc>
          <w:tcPr>
            <w:tcW w:w="555" w:type="dxa"/>
            <w:vAlign w:val="center"/>
          </w:tcPr>
          <w:p w14:paraId="345C2C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6B79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07328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9F92D8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对以其他单位的名义或者允许其他单位以本单位的名义承揽地质灾害危险性评估、地质灾害治理工程勘查、设计、施工和监理业务行为的处罚</w:t>
            </w:r>
          </w:p>
        </w:tc>
        <w:tc>
          <w:tcPr>
            <w:tcW w:w="660" w:type="dxa"/>
            <w:vAlign w:val="center"/>
          </w:tcPr>
          <w:p w14:paraId="174138BE">
            <w:pPr>
              <w:snapToGrid w:val="0"/>
              <w:spacing w:line="240" w:lineRule="atLeast"/>
              <w:jc w:val="center"/>
              <w:rPr>
                <w:rFonts w:ascii="仿宋_GB2312" w:hAnsi="仿宋_GB2312" w:eastAsia="仿宋_GB2312" w:cs="仿宋_GB2312"/>
                <w:sz w:val="20"/>
                <w:szCs w:val="20"/>
              </w:rPr>
            </w:pPr>
          </w:p>
        </w:tc>
        <w:tc>
          <w:tcPr>
            <w:tcW w:w="615" w:type="dxa"/>
            <w:vAlign w:val="center"/>
          </w:tcPr>
          <w:p w14:paraId="660E1D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F2368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174E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2BBDF0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（四）以其他单位的名义或者允许其他单位以本单位的名义承揽地质灾害危险性评估、地质灾害治理工程勘查、设计、施工和监理业务的。</w:t>
            </w:r>
          </w:p>
        </w:tc>
        <w:tc>
          <w:tcPr>
            <w:tcW w:w="3585" w:type="dxa"/>
            <w:vAlign w:val="center"/>
          </w:tcPr>
          <w:p w14:paraId="44AFB7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6C02E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BF9A9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035B0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41D7D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036B6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CEBCD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00C75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4EBD00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3AA302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CBE4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B25387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8BBC2D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D281F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3255E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35BA7C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BF967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748F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8A588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FF7B0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473E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D4F3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EED3E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7B120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7E65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83555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C46FF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FC81B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2F43483">
            <w:pPr>
              <w:snapToGrid w:val="0"/>
              <w:spacing w:line="240" w:lineRule="atLeast"/>
              <w:jc w:val="center"/>
              <w:rPr>
                <w:rFonts w:ascii="仿宋_GB2312" w:hAnsi="仿宋_GB2312" w:eastAsia="仿宋_GB2312" w:cs="仿宋_GB2312"/>
                <w:sz w:val="20"/>
                <w:szCs w:val="20"/>
              </w:rPr>
            </w:pPr>
          </w:p>
        </w:tc>
      </w:tr>
    </w:tbl>
    <w:p w14:paraId="61D94128"/>
    <w:p w14:paraId="3CC4E4BF"/>
    <w:p w14:paraId="3C1B565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B43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F3FFB0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033689E">
            <w:pPr>
              <w:spacing w:line="240" w:lineRule="atLeast"/>
              <w:rPr>
                <w:rFonts w:asciiTheme="majorEastAsia" w:hAnsiTheme="majorEastAsia" w:eastAsiaTheme="majorEastAsia" w:cstheme="majorEastAsia"/>
                <w:spacing w:val="-20"/>
                <w:sz w:val="20"/>
                <w:szCs w:val="20"/>
              </w:rPr>
            </w:pPr>
          </w:p>
          <w:p w14:paraId="02D41C5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15C36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71424F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268A6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6E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10AED21">
            <w:pPr>
              <w:spacing w:line="240" w:lineRule="atLeast"/>
              <w:jc w:val="left"/>
              <w:rPr>
                <w:rFonts w:ascii="仿宋_GB2312" w:hAnsi="仿宋_GB2312" w:eastAsia="仿宋_GB2312" w:cs="仿宋_GB2312"/>
                <w:sz w:val="20"/>
                <w:szCs w:val="20"/>
              </w:rPr>
            </w:pPr>
          </w:p>
        </w:tc>
        <w:tc>
          <w:tcPr>
            <w:tcW w:w="555" w:type="dxa"/>
            <w:vMerge w:val="continue"/>
          </w:tcPr>
          <w:p w14:paraId="129D0BD8">
            <w:pPr>
              <w:spacing w:line="240" w:lineRule="atLeast"/>
              <w:jc w:val="left"/>
              <w:rPr>
                <w:rFonts w:ascii="仿宋_GB2312" w:hAnsi="仿宋_GB2312" w:eastAsia="仿宋_GB2312" w:cs="仿宋_GB2312"/>
                <w:sz w:val="20"/>
                <w:szCs w:val="20"/>
              </w:rPr>
            </w:pPr>
          </w:p>
        </w:tc>
        <w:tc>
          <w:tcPr>
            <w:tcW w:w="784" w:type="dxa"/>
            <w:vAlign w:val="center"/>
          </w:tcPr>
          <w:p w14:paraId="1FA7C7F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35A82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437E2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CCBBBC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ADDF9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A6007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A608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2B582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1D57D5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0F27C42">
            <w:pPr>
              <w:spacing w:line="240" w:lineRule="atLeast"/>
              <w:jc w:val="left"/>
              <w:rPr>
                <w:rFonts w:ascii="仿宋_GB2312" w:hAnsi="仿宋_GB2312" w:eastAsia="仿宋_GB2312" w:cs="仿宋_GB2312"/>
                <w:sz w:val="20"/>
                <w:szCs w:val="20"/>
              </w:rPr>
            </w:pPr>
          </w:p>
        </w:tc>
      </w:tr>
      <w:tr w14:paraId="4873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FAC9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97</w:t>
            </w:r>
          </w:p>
        </w:tc>
        <w:tc>
          <w:tcPr>
            <w:tcW w:w="555" w:type="dxa"/>
            <w:vAlign w:val="center"/>
          </w:tcPr>
          <w:p w14:paraId="3BF961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CDAFC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079FA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FED34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对侵占、损毁、损坏地质灾害监测设施或者地质灾害治理工程设施行为的处罚</w:t>
            </w:r>
          </w:p>
        </w:tc>
        <w:tc>
          <w:tcPr>
            <w:tcW w:w="660" w:type="dxa"/>
            <w:vAlign w:val="center"/>
          </w:tcPr>
          <w:p w14:paraId="41EFA81B">
            <w:pPr>
              <w:snapToGrid w:val="0"/>
              <w:spacing w:line="240" w:lineRule="atLeast"/>
              <w:jc w:val="center"/>
              <w:rPr>
                <w:rFonts w:ascii="仿宋_GB2312" w:hAnsi="仿宋_GB2312" w:eastAsia="仿宋_GB2312" w:cs="仿宋_GB2312"/>
                <w:sz w:val="20"/>
                <w:szCs w:val="20"/>
              </w:rPr>
            </w:pPr>
          </w:p>
        </w:tc>
        <w:tc>
          <w:tcPr>
            <w:tcW w:w="615" w:type="dxa"/>
            <w:vAlign w:val="center"/>
          </w:tcPr>
          <w:p w14:paraId="595B5C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7BD2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20B18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六条：违反本条例规定，侵占、损毁、损坏地质灾害监测设施或者地质灾害治理工程设施的，由县级以上地方人民政府国土资源主管部门责令停止违法行为，限期恢复原状或者采取补救措施，可以处5万元以下的罚款；构成犯罪的，依法追究刑事责任。</w:t>
            </w:r>
          </w:p>
        </w:tc>
        <w:tc>
          <w:tcPr>
            <w:tcW w:w="3585" w:type="dxa"/>
            <w:vAlign w:val="center"/>
          </w:tcPr>
          <w:p w14:paraId="4617A1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A0EAE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651BF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1368B0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7BE34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C3FFC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8464D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302B11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9255F8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4E858F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9EFD5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4D400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D94C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4FACA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66E95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035533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E6DF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95988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0E243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B7681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E7FD5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EE1E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959E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6563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2FFA9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AA4C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746A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29163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FB71706">
            <w:pPr>
              <w:snapToGrid w:val="0"/>
              <w:spacing w:line="240" w:lineRule="atLeast"/>
              <w:jc w:val="center"/>
              <w:rPr>
                <w:rFonts w:ascii="仿宋_GB2312" w:hAnsi="仿宋_GB2312" w:eastAsia="仿宋_GB2312" w:cs="仿宋_GB2312"/>
                <w:sz w:val="20"/>
                <w:szCs w:val="20"/>
              </w:rPr>
            </w:pPr>
          </w:p>
        </w:tc>
      </w:tr>
    </w:tbl>
    <w:p w14:paraId="277A3111"/>
    <w:p w14:paraId="42D5CEFB"/>
    <w:p w14:paraId="7EAA4DA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05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454E5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871406">
            <w:pPr>
              <w:spacing w:line="240" w:lineRule="atLeast"/>
              <w:rPr>
                <w:rFonts w:asciiTheme="majorEastAsia" w:hAnsiTheme="majorEastAsia" w:eastAsiaTheme="majorEastAsia" w:cstheme="majorEastAsia"/>
                <w:spacing w:val="-20"/>
                <w:sz w:val="20"/>
                <w:szCs w:val="20"/>
              </w:rPr>
            </w:pPr>
          </w:p>
          <w:p w14:paraId="4157EEE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6C8512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54D071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92F0AF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E0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846C95">
            <w:pPr>
              <w:spacing w:line="240" w:lineRule="atLeast"/>
              <w:jc w:val="left"/>
              <w:rPr>
                <w:rFonts w:ascii="仿宋_GB2312" w:hAnsi="仿宋_GB2312" w:eastAsia="仿宋_GB2312" w:cs="仿宋_GB2312"/>
                <w:sz w:val="20"/>
                <w:szCs w:val="20"/>
              </w:rPr>
            </w:pPr>
          </w:p>
        </w:tc>
        <w:tc>
          <w:tcPr>
            <w:tcW w:w="555" w:type="dxa"/>
            <w:vMerge w:val="continue"/>
          </w:tcPr>
          <w:p w14:paraId="13F719F2">
            <w:pPr>
              <w:spacing w:line="240" w:lineRule="atLeast"/>
              <w:jc w:val="left"/>
              <w:rPr>
                <w:rFonts w:ascii="仿宋_GB2312" w:hAnsi="仿宋_GB2312" w:eastAsia="仿宋_GB2312" w:cs="仿宋_GB2312"/>
                <w:sz w:val="20"/>
                <w:szCs w:val="20"/>
              </w:rPr>
            </w:pPr>
          </w:p>
        </w:tc>
        <w:tc>
          <w:tcPr>
            <w:tcW w:w="784" w:type="dxa"/>
            <w:vAlign w:val="center"/>
          </w:tcPr>
          <w:p w14:paraId="7FA935B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CCCA9B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087B9C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C4A6F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5C6505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24B68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35461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121BB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49721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8CF354">
            <w:pPr>
              <w:spacing w:line="240" w:lineRule="atLeast"/>
              <w:jc w:val="left"/>
              <w:rPr>
                <w:rFonts w:ascii="仿宋_GB2312" w:hAnsi="仿宋_GB2312" w:eastAsia="仿宋_GB2312" w:cs="仿宋_GB2312"/>
                <w:sz w:val="20"/>
                <w:szCs w:val="20"/>
              </w:rPr>
            </w:pPr>
          </w:p>
        </w:tc>
      </w:tr>
      <w:tr w14:paraId="0CE7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DB31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98</w:t>
            </w:r>
          </w:p>
        </w:tc>
        <w:tc>
          <w:tcPr>
            <w:tcW w:w="555" w:type="dxa"/>
            <w:vAlign w:val="center"/>
          </w:tcPr>
          <w:p w14:paraId="291CC9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2F473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938D9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6815D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对不及时办理地质灾害危险性评估资质证书变更、注销手续行为的处罚</w:t>
            </w:r>
          </w:p>
        </w:tc>
        <w:tc>
          <w:tcPr>
            <w:tcW w:w="660" w:type="dxa"/>
            <w:vAlign w:val="center"/>
          </w:tcPr>
          <w:p w14:paraId="77CDE3ED">
            <w:pPr>
              <w:snapToGrid w:val="0"/>
              <w:spacing w:line="240" w:lineRule="atLeast"/>
              <w:jc w:val="center"/>
              <w:rPr>
                <w:rFonts w:ascii="仿宋_GB2312" w:hAnsi="仿宋_GB2312" w:eastAsia="仿宋_GB2312" w:cs="仿宋_GB2312"/>
                <w:sz w:val="20"/>
                <w:szCs w:val="20"/>
              </w:rPr>
            </w:pPr>
          </w:p>
        </w:tc>
        <w:tc>
          <w:tcPr>
            <w:tcW w:w="615" w:type="dxa"/>
            <w:vAlign w:val="center"/>
          </w:tcPr>
          <w:p w14:paraId="152BCC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A54F3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2DBBA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自然资源部令第5号修正）第二十二条：资质单位发生合并或者分立的，应当及时到原审批机关办理资质证书注销手续。需要继续从业的，应当重新申请。资质单位名称、地址、法定代表人、技术负责人等事项发生变更的，应当在变更后三十日内，到原审批机关办理资质证书变更手续。资质单位破产、歇业或者因其他原因终止业务活动的，应当在办理营业执照注销手续后十五日内，到原审批机关办理资质证书注销手续。</w:t>
            </w:r>
          </w:p>
          <w:p w14:paraId="5379FBD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第二十九条：资质单位违反本办法第二十二条的规定，不及时办理资质证书变更、注销手续的，由县级以上自然资源主管部门责令限期改正；逾期不改的，可以处五千元以下罚款。</w:t>
            </w:r>
          </w:p>
        </w:tc>
        <w:tc>
          <w:tcPr>
            <w:tcW w:w="3585" w:type="dxa"/>
            <w:vAlign w:val="center"/>
          </w:tcPr>
          <w:p w14:paraId="651A11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A3423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1F48C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DE08A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BBE1B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6196B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808FC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9A69A7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5EDF36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405187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CC524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0FFB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EBF0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D13E5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C4828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56C246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455B6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2CEF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37203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91E8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8497E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C3E6F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5F6B6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0CCC4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48CC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C674F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51DE9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5E40D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22A42D3">
            <w:pPr>
              <w:snapToGrid w:val="0"/>
              <w:spacing w:line="240" w:lineRule="atLeast"/>
              <w:jc w:val="center"/>
              <w:rPr>
                <w:rFonts w:ascii="仿宋_GB2312" w:hAnsi="仿宋_GB2312" w:eastAsia="仿宋_GB2312" w:cs="仿宋_GB2312"/>
                <w:sz w:val="20"/>
                <w:szCs w:val="20"/>
              </w:rPr>
            </w:pPr>
          </w:p>
        </w:tc>
      </w:tr>
    </w:tbl>
    <w:p w14:paraId="733F428B"/>
    <w:p w14:paraId="0662E63C"/>
    <w:p w14:paraId="069192F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916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BF9CA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BB8A852">
            <w:pPr>
              <w:spacing w:line="240" w:lineRule="atLeast"/>
              <w:rPr>
                <w:rFonts w:asciiTheme="majorEastAsia" w:hAnsiTheme="majorEastAsia" w:eastAsiaTheme="majorEastAsia" w:cstheme="majorEastAsia"/>
                <w:spacing w:val="-20"/>
                <w:sz w:val="20"/>
                <w:szCs w:val="20"/>
              </w:rPr>
            </w:pPr>
          </w:p>
          <w:p w14:paraId="582DF72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258BD5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D819F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F8217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80B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FFB9BD9">
            <w:pPr>
              <w:spacing w:line="240" w:lineRule="atLeast"/>
              <w:jc w:val="left"/>
              <w:rPr>
                <w:rFonts w:ascii="仿宋_GB2312" w:hAnsi="仿宋_GB2312" w:eastAsia="仿宋_GB2312" w:cs="仿宋_GB2312"/>
                <w:sz w:val="20"/>
                <w:szCs w:val="20"/>
              </w:rPr>
            </w:pPr>
          </w:p>
        </w:tc>
        <w:tc>
          <w:tcPr>
            <w:tcW w:w="555" w:type="dxa"/>
            <w:vMerge w:val="continue"/>
          </w:tcPr>
          <w:p w14:paraId="4EDD4193">
            <w:pPr>
              <w:spacing w:line="240" w:lineRule="atLeast"/>
              <w:jc w:val="left"/>
              <w:rPr>
                <w:rFonts w:ascii="仿宋_GB2312" w:hAnsi="仿宋_GB2312" w:eastAsia="仿宋_GB2312" w:cs="仿宋_GB2312"/>
                <w:sz w:val="20"/>
                <w:szCs w:val="20"/>
              </w:rPr>
            </w:pPr>
          </w:p>
        </w:tc>
        <w:tc>
          <w:tcPr>
            <w:tcW w:w="784" w:type="dxa"/>
            <w:vAlign w:val="center"/>
          </w:tcPr>
          <w:p w14:paraId="610FEEA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A8A201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70D72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99ECD5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03D141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33D28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2D9E1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29AC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F36F5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70E9CC">
            <w:pPr>
              <w:spacing w:line="240" w:lineRule="atLeast"/>
              <w:jc w:val="left"/>
              <w:rPr>
                <w:rFonts w:ascii="仿宋_GB2312" w:hAnsi="仿宋_GB2312" w:eastAsia="仿宋_GB2312" w:cs="仿宋_GB2312"/>
                <w:sz w:val="20"/>
                <w:szCs w:val="20"/>
              </w:rPr>
            </w:pPr>
          </w:p>
        </w:tc>
      </w:tr>
      <w:tr w14:paraId="43E8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B9C57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99</w:t>
            </w:r>
          </w:p>
        </w:tc>
        <w:tc>
          <w:tcPr>
            <w:tcW w:w="555" w:type="dxa"/>
            <w:vAlign w:val="center"/>
          </w:tcPr>
          <w:p w14:paraId="5E203F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4722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96FA7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79E288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对不按时办理地质灾害危险性评估单位资质和项目备案行为的处罚</w:t>
            </w:r>
          </w:p>
        </w:tc>
        <w:tc>
          <w:tcPr>
            <w:tcW w:w="660" w:type="dxa"/>
            <w:vAlign w:val="center"/>
          </w:tcPr>
          <w:p w14:paraId="7265A267">
            <w:pPr>
              <w:snapToGrid w:val="0"/>
              <w:spacing w:line="240" w:lineRule="atLeast"/>
              <w:jc w:val="center"/>
              <w:rPr>
                <w:rFonts w:ascii="仿宋_GB2312" w:hAnsi="仿宋_GB2312" w:eastAsia="仿宋_GB2312" w:cs="仿宋_GB2312"/>
                <w:sz w:val="20"/>
                <w:szCs w:val="20"/>
              </w:rPr>
            </w:pPr>
          </w:p>
        </w:tc>
        <w:tc>
          <w:tcPr>
            <w:tcW w:w="615" w:type="dxa"/>
            <w:vAlign w:val="center"/>
          </w:tcPr>
          <w:p w14:paraId="21A1F7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668BC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C30BF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自然资源部令第5号修正）第二十七条：资质单位应当在签订地质灾害危险性评估项目合同后十日内，到项目所在地的县级自然资源主管部门进行资质和项目备案。</w:t>
            </w:r>
          </w:p>
          <w:p w14:paraId="20FE4C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评估项目跨行政区域的，资质单位应当向项目所跨行政区域共同的上一级自然资源主管部门备案。</w:t>
            </w:r>
          </w:p>
          <w:p w14:paraId="3A24AD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第三十条：资质单位违反本办法第二十七条的规定，不按时进行资质和项目备案的，由县级以上自然资源主管部门责令限期改正；逾期不改的，可以处一万元以下的罚款。</w:t>
            </w:r>
          </w:p>
        </w:tc>
        <w:tc>
          <w:tcPr>
            <w:tcW w:w="3585" w:type="dxa"/>
            <w:vAlign w:val="center"/>
          </w:tcPr>
          <w:p w14:paraId="0CF0BF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E334C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48533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13D1F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A1012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948B5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DE845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37C737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96C7DF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6C6956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75B32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7F0D0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974DE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8A77F8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801CA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B21537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BDAF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28B19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2301C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0A16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A9386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00F3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F3D78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186AB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B491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10CC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2121D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AD6A5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7174E28">
            <w:pPr>
              <w:snapToGrid w:val="0"/>
              <w:spacing w:line="240" w:lineRule="atLeast"/>
              <w:jc w:val="center"/>
              <w:rPr>
                <w:rFonts w:ascii="仿宋_GB2312" w:hAnsi="仿宋_GB2312" w:eastAsia="仿宋_GB2312" w:cs="仿宋_GB2312"/>
                <w:sz w:val="20"/>
                <w:szCs w:val="20"/>
              </w:rPr>
            </w:pPr>
          </w:p>
        </w:tc>
      </w:tr>
    </w:tbl>
    <w:p w14:paraId="562FA0C3"/>
    <w:p w14:paraId="048F7889"/>
    <w:p w14:paraId="6FE6FF0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890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3FEE2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48DB601">
            <w:pPr>
              <w:spacing w:line="240" w:lineRule="atLeast"/>
              <w:rPr>
                <w:rFonts w:asciiTheme="majorEastAsia" w:hAnsiTheme="majorEastAsia" w:eastAsiaTheme="majorEastAsia" w:cstheme="majorEastAsia"/>
                <w:spacing w:val="-20"/>
                <w:sz w:val="20"/>
                <w:szCs w:val="20"/>
              </w:rPr>
            </w:pPr>
          </w:p>
          <w:p w14:paraId="6C4F48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6B896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C4CF1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7402EF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B14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E5F346">
            <w:pPr>
              <w:spacing w:line="240" w:lineRule="atLeast"/>
              <w:jc w:val="left"/>
              <w:rPr>
                <w:rFonts w:ascii="仿宋_GB2312" w:hAnsi="仿宋_GB2312" w:eastAsia="仿宋_GB2312" w:cs="仿宋_GB2312"/>
                <w:sz w:val="20"/>
                <w:szCs w:val="20"/>
              </w:rPr>
            </w:pPr>
          </w:p>
        </w:tc>
        <w:tc>
          <w:tcPr>
            <w:tcW w:w="555" w:type="dxa"/>
            <w:vMerge w:val="continue"/>
          </w:tcPr>
          <w:p w14:paraId="385A0034">
            <w:pPr>
              <w:spacing w:line="240" w:lineRule="atLeast"/>
              <w:jc w:val="left"/>
              <w:rPr>
                <w:rFonts w:ascii="仿宋_GB2312" w:hAnsi="仿宋_GB2312" w:eastAsia="仿宋_GB2312" w:cs="仿宋_GB2312"/>
                <w:sz w:val="20"/>
                <w:szCs w:val="20"/>
              </w:rPr>
            </w:pPr>
          </w:p>
        </w:tc>
        <w:tc>
          <w:tcPr>
            <w:tcW w:w="784" w:type="dxa"/>
            <w:vAlign w:val="center"/>
          </w:tcPr>
          <w:p w14:paraId="5DFC4BC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F617C0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7023C2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60071E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D2A62B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5318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CDEA0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F60B0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279F1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2FB6DEB">
            <w:pPr>
              <w:spacing w:line="240" w:lineRule="atLeast"/>
              <w:jc w:val="left"/>
              <w:rPr>
                <w:rFonts w:ascii="仿宋_GB2312" w:hAnsi="仿宋_GB2312" w:eastAsia="仿宋_GB2312" w:cs="仿宋_GB2312"/>
                <w:sz w:val="20"/>
                <w:szCs w:val="20"/>
              </w:rPr>
            </w:pPr>
          </w:p>
        </w:tc>
      </w:tr>
      <w:tr w14:paraId="7B97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AEEC1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100</w:t>
            </w:r>
          </w:p>
        </w:tc>
        <w:tc>
          <w:tcPr>
            <w:tcW w:w="555" w:type="dxa"/>
            <w:vAlign w:val="center"/>
          </w:tcPr>
          <w:p w14:paraId="61E9D7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B14F9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82E69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9351B1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对不及时办理地质灾害治理工程勘查设计施工单位资质证书变更、注销手续行为的处罚</w:t>
            </w:r>
          </w:p>
        </w:tc>
        <w:tc>
          <w:tcPr>
            <w:tcW w:w="660" w:type="dxa"/>
            <w:vAlign w:val="center"/>
          </w:tcPr>
          <w:p w14:paraId="22B83DFE">
            <w:pPr>
              <w:snapToGrid w:val="0"/>
              <w:spacing w:line="240" w:lineRule="atLeast"/>
              <w:jc w:val="center"/>
              <w:rPr>
                <w:rFonts w:ascii="仿宋_GB2312" w:hAnsi="仿宋_GB2312" w:eastAsia="仿宋_GB2312" w:cs="仿宋_GB2312"/>
                <w:sz w:val="20"/>
                <w:szCs w:val="20"/>
              </w:rPr>
            </w:pPr>
          </w:p>
        </w:tc>
        <w:tc>
          <w:tcPr>
            <w:tcW w:w="615" w:type="dxa"/>
            <w:vAlign w:val="center"/>
          </w:tcPr>
          <w:p w14:paraId="6DF4F9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EC483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51EAB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勘查设计施工单位资质管理办法》（2005年国土资源部令第30号公布，2019年自然资源部令第5号修正）第二十八条：资质单位不按照本办法第二十一条的规定及时办理资质证书变更、注销手续的，由县级以上自然资源主管部门责令限期改正；逾期不改的，可以处五千元以下罚款。</w:t>
            </w:r>
          </w:p>
          <w:p w14:paraId="5C929D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第二十一条：资质单位发生合并或者分立的，应当及时到原审批机关办理资质证书注销手续。需要继续从业的，应当重新申请。</w:t>
            </w:r>
          </w:p>
          <w:p w14:paraId="37A864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资质单位名称、地址、法定代表人、技术负责人等事项发生变更的，应当在变更后三十日内，到原审批机关办理资质证书变更手续。</w:t>
            </w:r>
          </w:p>
          <w:p w14:paraId="0741AD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资质单位破产、歇业或者因其他原因终止业务活动的，应当在办理营业执照注销手续后十五日内，到原审批机关办理资质证书注销手续。</w:t>
            </w:r>
          </w:p>
        </w:tc>
        <w:tc>
          <w:tcPr>
            <w:tcW w:w="3585" w:type="dxa"/>
            <w:vAlign w:val="center"/>
          </w:tcPr>
          <w:p w14:paraId="52D7E6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B10C3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4F953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D6AE9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6FB27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F1197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1EEA1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C3A59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6398D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078300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94492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89AEB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44BBC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CA3D0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865CC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90441F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7C677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5EB51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65182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8FDD1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A4838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FF84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C1F55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EE9F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8D0F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6FB9F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549DA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94153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4CCCB5">
            <w:pPr>
              <w:snapToGrid w:val="0"/>
              <w:spacing w:line="240" w:lineRule="atLeast"/>
              <w:jc w:val="center"/>
              <w:rPr>
                <w:rFonts w:ascii="仿宋_GB2312" w:hAnsi="仿宋_GB2312" w:eastAsia="仿宋_GB2312" w:cs="仿宋_GB2312"/>
                <w:sz w:val="20"/>
                <w:szCs w:val="20"/>
              </w:rPr>
            </w:pPr>
          </w:p>
        </w:tc>
      </w:tr>
    </w:tbl>
    <w:p w14:paraId="6F028044"/>
    <w:p w14:paraId="096EBD56"/>
    <w:p w14:paraId="061CAFA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976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21343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28DF7E1">
            <w:pPr>
              <w:spacing w:line="240" w:lineRule="atLeast"/>
              <w:rPr>
                <w:rFonts w:asciiTheme="majorEastAsia" w:hAnsiTheme="majorEastAsia" w:eastAsiaTheme="majorEastAsia" w:cstheme="majorEastAsia"/>
                <w:spacing w:val="-20"/>
                <w:sz w:val="20"/>
                <w:szCs w:val="20"/>
              </w:rPr>
            </w:pPr>
          </w:p>
          <w:p w14:paraId="0C8E842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58A5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7D3C8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8FFB1B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21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90A9F0">
            <w:pPr>
              <w:spacing w:line="240" w:lineRule="atLeast"/>
              <w:jc w:val="left"/>
              <w:rPr>
                <w:rFonts w:ascii="仿宋_GB2312" w:hAnsi="仿宋_GB2312" w:eastAsia="仿宋_GB2312" w:cs="仿宋_GB2312"/>
                <w:sz w:val="20"/>
                <w:szCs w:val="20"/>
              </w:rPr>
            </w:pPr>
          </w:p>
        </w:tc>
        <w:tc>
          <w:tcPr>
            <w:tcW w:w="555" w:type="dxa"/>
            <w:vMerge w:val="continue"/>
          </w:tcPr>
          <w:p w14:paraId="2C9EEF57">
            <w:pPr>
              <w:spacing w:line="240" w:lineRule="atLeast"/>
              <w:jc w:val="left"/>
              <w:rPr>
                <w:rFonts w:ascii="仿宋_GB2312" w:hAnsi="仿宋_GB2312" w:eastAsia="仿宋_GB2312" w:cs="仿宋_GB2312"/>
                <w:sz w:val="20"/>
                <w:szCs w:val="20"/>
              </w:rPr>
            </w:pPr>
          </w:p>
        </w:tc>
        <w:tc>
          <w:tcPr>
            <w:tcW w:w="784" w:type="dxa"/>
            <w:vAlign w:val="center"/>
          </w:tcPr>
          <w:p w14:paraId="315A41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B2336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20DFDC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37FA6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7F447C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7EFD28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7C076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6DAE2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D25755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0EE73F">
            <w:pPr>
              <w:spacing w:line="240" w:lineRule="atLeast"/>
              <w:jc w:val="left"/>
              <w:rPr>
                <w:rFonts w:ascii="仿宋_GB2312" w:hAnsi="仿宋_GB2312" w:eastAsia="仿宋_GB2312" w:cs="仿宋_GB2312"/>
                <w:sz w:val="20"/>
                <w:szCs w:val="20"/>
              </w:rPr>
            </w:pPr>
          </w:p>
        </w:tc>
      </w:tr>
      <w:tr w14:paraId="50F9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44EF1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101</w:t>
            </w:r>
          </w:p>
        </w:tc>
        <w:tc>
          <w:tcPr>
            <w:tcW w:w="555" w:type="dxa"/>
            <w:vAlign w:val="center"/>
          </w:tcPr>
          <w:p w14:paraId="00A49F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BB4AD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03C6F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E3ADFA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对未按规定及时办理地质灾害治理工程监理单位资质证书变更、注销手续行为的处罚</w:t>
            </w:r>
          </w:p>
        </w:tc>
        <w:tc>
          <w:tcPr>
            <w:tcW w:w="660" w:type="dxa"/>
            <w:vAlign w:val="center"/>
          </w:tcPr>
          <w:p w14:paraId="43FB934C">
            <w:pPr>
              <w:snapToGrid w:val="0"/>
              <w:spacing w:line="240" w:lineRule="atLeast"/>
              <w:jc w:val="center"/>
              <w:rPr>
                <w:rFonts w:ascii="仿宋_GB2312" w:hAnsi="仿宋_GB2312" w:eastAsia="仿宋_GB2312" w:cs="仿宋_GB2312"/>
                <w:sz w:val="20"/>
                <w:szCs w:val="20"/>
              </w:rPr>
            </w:pPr>
          </w:p>
        </w:tc>
        <w:tc>
          <w:tcPr>
            <w:tcW w:w="615" w:type="dxa"/>
            <w:vAlign w:val="center"/>
          </w:tcPr>
          <w:p w14:paraId="4DBD51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49138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E016C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监理单位资质管理办法》（2005年国土资源部令第31号公布，2019年自然资源部令第5号修正）第十八条：资质单位发生合并或者分立的，应当及时到原审批机关办理资质证书注销手续。需要继续从业的，重新申请。</w:t>
            </w:r>
          </w:p>
          <w:p w14:paraId="576835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第十九条：资质单位名称、地址、法定代表人、技术负责人等事项发生变更的，应当在变更后三十日内，到原审批机关办理资质证书变更手续。</w:t>
            </w:r>
          </w:p>
          <w:p w14:paraId="5FE95E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第二十条：资质单位破产、歇业或者因其他原因终止业务活动的，应当在办理营业执照注销手续后十五日内，到原审批机关办理资质证书注销手续。</w:t>
            </w:r>
          </w:p>
          <w:p w14:paraId="47939A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 资质单位不按照本办法第十八条、第十九条和第二十条的规定及时办理资质证书变更、注销手续的，由县级以上自然资源主管部门责令限期改正；逾期不改的，可以处五千元以下罚款。</w:t>
            </w:r>
          </w:p>
        </w:tc>
        <w:tc>
          <w:tcPr>
            <w:tcW w:w="3585" w:type="dxa"/>
            <w:vAlign w:val="center"/>
          </w:tcPr>
          <w:p w14:paraId="78E9AB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C7D8E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E658F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BB94A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B8498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7E943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A3A0D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0EDA7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EC9CF3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972B7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D7B4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2E70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4D528A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3BE61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0DBE2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DB6D3C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968DC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495F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05FB6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15F0B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072A8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B4FC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A6EBE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DAF50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A92AE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2B91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A46D8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860AD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2BCDB6D">
            <w:pPr>
              <w:snapToGrid w:val="0"/>
              <w:spacing w:line="240" w:lineRule="atLeast"/>
              <w:jc w:val="center"/>
              <w:rPr>
                <w:rFonts w:ascii="仿宋_GB2312" w:hAnsi="仿宋_GB2312" w:eastAsia="仿宋_GB2312" w:cs="仿宋_GB2312"/>
                <w:sz w:val="20"/>
                <w:szCs w:val="20"/>
              </w:rPr>
            </w:pPr>
          </w:p>
        </w:tc>
      </w:tr>
    </w:tbl>
    <w:p w14:paraId="159AE870"/>
    <w:p w14:paraId="78935F6C"/>
    <w:p w14:paraId="24EFFD2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F4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AF4229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7495F19">
            <w:pPr>
              <w:spacing w:line="240" w:lineRule="atLeast"/>
              <w:rPr>
                <w:rFonts w:asciiTheme="majorEastAsia" w:hAnsiTheme="majorEastAsia" w:eastAsiaTheme="majorEastAsia" w:cstheme="majorEastAsia"/>
                <w:spacing w:val="-20"/>
                <w:sz w:val="20"/>
                <w:szCs w:val="20"/>
              </w:rPr>
            </w:pPr>
          </w:p>
          <w:p w14:paraId="0A26FE5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E5535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DCCD5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7CB615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EC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530E02">
            <w:pPr>
              <w:spacing w:line="240" w:lineRule="atLeast"/>
              <w:jc w:val="left"/>
              <w:rPr>
                <w:rFonts w:ascii="仿宋_GB2312" w:hAnsi="仿宋_GB2312" w:eastAsia="仿宋_GB2312" w:cs="仿宋_GB2312"/>
                <w:sz w:val="20"/>
                <w:szCs w:val="20"/>
              </w:rPr>
            </w:pPr>
          </w:p>
        </w:tc>
        <w:tc>
          <w:tcPr>
            <w:tcW w:w="555" w:type="dxa"/>
            <w:vMerge w:val="continue"/>
          </w:tcPr>
          <w:p w14:paraId="3257F456">
            <w:pPr>
              <w:spacing w:line="240" w:lineRule="atLeast"/>
              <w:jc w:val="left"/>
              <w:rPr>
                <w:rFonts w:ascii="仿宋_GB2312" w:hAnsi="仿宋_GB2312" w:eastAsia="仿宋_GB2312" w:cs="仿宋_GB2312"/>
                <w:sz w:val="20"/>
                <w:szCs w:val="20"/>
              </w:rPr>
            </w:pPr>
          </w:p>
        </w:tc>
        <w:tc>
          <w:tcPr>
            <w:tcW w:w="784" w:type="dxa"/>
            <w:vAlign w:val="center"/>
          </w:tcPr>
          <w:p w14:paraId="0EA1F45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EDACA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77229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2DFC6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373554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7F03BF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DF09E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55011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03CA0D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EF318D1">
            <w:pPr>
              <w:spacing w:line="240" w:lineRule="atLeast"/>
              <w:jc w:val="left"/>
              <w:rPr>
                <w:rFonts w:ascii="仿宋_GB2312" w:hAnsi="仿宋_GB2312" w:eastAsia="仿宋_GB2312" w:cs="仿宋_GB2312"/>
                <w:sz w:val="20"/>
                <w:szCs w:val="20"/>
              </w:rPr>
            </w:pPr>
          </w:p>
        </w:tc>
      </w:tr>
      <w:tr w14:paraId="79DE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EB64B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102</w:t>
            </w:r>
          </w:p>
        </w:tc>
        <w:tc>
          <w:tcPr>
            <w:tcW w:w="555" w:type="dxa"/>
            <w:vAlign w:val="center"/>
          </w:tcPr>
          <w:p w14:paraId="3943E7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17AF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5AA71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E41F8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对不按规定办理地质灾害治理工程监理单位资质和项目备案手续行为的处罚</w:t>
            </w:r>
          </w:p>
        </w:tc>
        <w:tc>
          <w:tcPr>
            <w:tcW w:w="660" w:type="dxa"/>
            <w:vAlign w:val="center"/>
          </w:tcPr>
          <w:p w14:paraId="30EF8D3C">
            <w:pPr>
              <w:snapToGrid w:val="0"/>
              <w:spacing w:line="240" w:lineRule="atLeast"/>
              <w:jc w:val="center"/>
              <w:rPr>
                <w:rFonts w:ascii="仿宋_GB2312" w:hAnsi="仿宋_GB2312" w:eastAsia="仿宋_GB2312" w:cs="仿宋_GB2312"/>
                <w:sz w:val="20"/>
                <w:szCs w:val="20"/>
              </w:rPr>
            </w:pPr>
          </w:p>
        </w:tc>
        <w:tc>
          <w:tcPr>
            <w:tcW w:w="615" w:type="dxa"/>
            <w:vAlign w:val="center"/>
          </w:tcPr>
          <w:p w14:paraId="3489F0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AFA05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57268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勘查设计施工单位资质管理办法》（2005年国土资源部令第30号公布，2019年自然资源部令第5号修正）第二十七条：承担地质灾害治理工程项目的资质单位，应当在项目合同签订后十日内，到工程所在地的县级自然资源主管部门备案。</w:t>
            </w:r>
          </w:p>
          <w:p w14:paraId="56DB6B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地质灾害治理工程项目跨行政区域的，资质单位应当向项目所跨行政区域共同的上一级自然资源主管部门备案。</w:t>
            </w:r>
          </w:p>
          <w:p w14:paraId="6E33AD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第二十九条：资质单位不按照本办法第二十七条的规定进行备案的，由县级以上自然资源主管部门责令限期改正；逾期仍不改正的，可以处一万元以下罚款。</w:t>
            </w:r>
          </w:p>
        </w:tc>
        <w:tc>
          <w:tcPr>
            <w:tcW w:w="3585" w:type="dxa"/>
            <w:vAlign w:val="center"/>
          </w:tcPr>
          <w:p w14:paraId="782EE7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F5F0E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BA8E8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4A867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81208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1C3A8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D2612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1FB5B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C63EB7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348A33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C2FB3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96779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BA8CB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675C41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3BF95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C4E552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A910F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53E80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30E75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EE9EA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944DA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8EB0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58F3F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7A5C6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1B4C0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687CE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5512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EF035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3A1C1A7">
            <w:pPr>
              <w:snapToGrid w:val="0"/>
              <w:spacing w:line="240" w:lineRule="atLeast"/>
              <w:jc w:val="center"/>
              <w:rPr>
                <w:rFonts w:ascii="仿宋_GB2312" w:hAnsi="仿宋_GB2312" w:eastAsia="仿宋_GB2312" w:cs="仿宋_GB2312"/>
                <w:sz w:val="20"/>
                <w:szCs w:val="20"/>
              </w:rPr>
            </w:pPr>
          </w:p>
        </w:tc>
      </w:tr>
    </w:tbl>
    <w:p w14:paraId="32D8D43E"/>
    <w:p w14:paraId="6E9D4B40"/>
    <w:p w14:paraId="0472C4B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19F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813B90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F3F0967">
            <w:pPr>
              <w:spacing w:line="240" w:lineRule="atLeast"/>
              <w:rPr>
                <w:rFonts w:asciiTheme="majorEastAsia" w:hAnsiTheme="majorEastAsia" w:eastAsiaTheme="majorEastAsia" w:cstheme="majorEastAsia"/>
                <w:spacing w:val="-20"/>
                <w:sz w:val="20"/>
                <w:szCs w:val="20"/>
              </w:rPr>
            </w:pPr>
          </w:p>
          <w:p w14:paraId="6FF47CF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6B45E0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2741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20B91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6FF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15BDDD3">
            <w:pPr>
              <w:spacing w:line="240" w:lineRule="atLeast"/>
              <w:jc w:val="left"/>
              <w:rPr>
                <w:rFonts w:ascii="仿宋_GB2312" w:hAnsi="仿宋_GB2312" w:eastAsia="仿宋_GB2312" w:cs="仿宋_GB2312"/>
                <w:sz w:val="20"/>
                <w:szCs w:val="20"/>
              </w:rPr>
            </w:pPr>
          </w:p>
        </w:tc>
        <w:tc>
          <w:tcPr>
            <w:tcW w:w="555" w:type="dxa"/>
            <w:vMerge w:val="continue"/>
          </w:tcPr>
          <w:p w14:paraId="333C2C4E">
            <w:pPr>
              <w:spacing w:line="240" w:lineRule="atLeast"/>
              <w:jc w:val="left"/>
              <w:rPr>
                <w:rFonts w:ascii="仿宋_GB2312" w:hAnsi="仿宋_GB2312" w:eastAsia="仿宋_GB2312" w:cs="仿宋_GB2312"/>
                <w:sz w:val="20"/>
                <w:szCs w:val="20"/>
              </w:rPr>
            </w:pPr>
          </w:p>
        </w:tc>
        <w:tc>
          <w:tcPr>
            <w:tcW w:w="784" w:type="dxa"/>
            <w:vAlign w:val="center"/>
          </w:tcPr>
          <w:p w14:paraId="7F46DFE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D95397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C92B8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B2ED5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3A68E1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B1AB5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27384E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4F331E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9CE242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6EDDBD1">
            <w:pPr>
              <w:spacing w:line="240" w:lineRule="atLeast"/>
              <w:jc w:val="left"/>
              <w:rPr>
                <w:rFonts w:ascii="仿宋_GB2312" w:hAnsi="仿宋_GB2312" w:eastAsia="仿宋_GB2312" w:cs="仿宋_GB2312"/>
                <w:sz w:val="20"/>
                <w:szCs w:val="20"/>
              </w:rPr>
            </w:pPr>
          </w:p>
        </w:tc>
      </w:tr>
      <w:tr w14:paraId="3FCA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CEA28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103</w:t>
            </w:r>
          </w:p>
        </w:tc>
        <w:tc>
          <w:tcPr>
            <w:tcW w:w="555" w:type="dxa"/>
            <w:vAlign w:val="center"/>
          </w:tcPr>
          <w:p w14:paraId="76535D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1CF0B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C59F8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9D060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对未按照批准的矿山地质环境保护与治理恢复方案治理的，或者在矿山被批准关闭、闭坑前未完成治理恢复行为的处罚</w:t>
            </w:r>
          </w:p>
        </w:tc>
        <w:tc>
          <w:tcPr>
            <w:tcW w:w="660" w:type="dxa"/>
            <w:vAlign w:val="center"/>
          </w:tcPr>
          <w:p w14:paraId="3068740F">
            <w:pPr>
              <w:snapToGrid w:val="0"/>
              <w:spacing w:line="240" w:lineRule="atLeast"/>
              <w:jc w:val="center"/>
              <w:rPr>
                <w:rFonts w:ascii="仿宋_GB2312" w:hAnsi="仿宋_GB2312" w:eastAsia="仿宋_GB2312" w:cs="仿宋_GB2312"/>
                <w:sz w:val="20"/>
                <w:szCs w:val="20"/>
              </w:rPr>
            </w:pPr>
          </w:p>
        </w:tc>
        <w:tc>
          <w:tcPr>
            <w:tcW w:w="615" w:type="dxa"/>
            <w:vAlign w:val="center"/>
          </w:tcPr>
          <w:p w14:paraId="248B24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B4DBA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CAD65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3D02F5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3750F8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违反本规定，未按照批准的矿山地质环境保护与土地复垦方案治理的，或者在矿山被批准关闭、闭坑前未完成治理恢复的，责令限期改正，并列入矿业权人异常名录或严重违法名单；逾期拒不改正的或整改不到位的，处3万元以下的罚款，不受理其申请新的采矿权许可证或者申请采矿权许可证延续、变更、注销。</w:t>
            </w:r>
          </w:p>
        </w:tc>
        <w:tc>
          <w:tcPr>
            <w:tcW w:w="3585" w:type="dxa"/>
            <w:vAlign w:val="center"/>
          </w:tcPr>
          <w:p w14:paraId="4A3A75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B3167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CDEAF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9319E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A6FC0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8D4AE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33A03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5AC630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1F5D0A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7CF7B5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A928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EF5BE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32A5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6F9672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CA95E1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8EA0D6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8DECD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4AA58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53EDE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829C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CC24F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16569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2D43F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B6ECE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8B2DC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E8750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06BC6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708B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4CD74F7">
            <w:pPr>
              <w:snapToGrid w:val="0"/>
              <w:spacing w:line="240" w:lineRule="atLeast"/>
              <w:jc w:val="center"/>
              <w:rPr>
                <w:rFonts w:ascii="仿宋_GB2312" w:hAnsi="仿宋_GB2312" w:eastAsia="仿宋_GB2312" w:cs="仿宋_GB2312"/>
                <w:sz w:val="20"/>
                <w:szCs w:val="20"/>
              </w:rPr>
            </w:pPr>
          </w:p>
        </w:tc>
      </w:tr>
    </w:tbl>
    <w:p w14:paraId="4FD9BE0D"/>
    <w:p w14:paraId="2B61BDF8"/>
    <w:p w14:paraId="0ECFB8E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38D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3982B3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53EF48">
            <w:pPr>
              <w:spacing w:line="240" w:lineRule="atLeast"/>
              <w:rPr>
                <w:rFonts w:asciiTheme="majorEastAsia" w:hAnsiTheme="majorEastAsia" w:eastAsiaTheme="majorEastAsia" w:cstheme="majorEastAsia"/>
                <w:spacing w:val="-20"/>
                <w:sz w:val="20"/>
                <w:szCs w:val="20"/>
              </w:rPr>
            </w:pPr>
          </w:p>
          <w:p w14:paraId="102F3A1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47B90B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E86D35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C86814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249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12C0DF6">
            <w:pPr>
              <w:spacing w:line="240" w:lineRule="atLeast"/>
              <w:jc w:val="left"/>
              <w:rPr>
                <w:rFonts w:ascii="仿宋_GB2312" w:hAnsi="仿宋_GB2312" w:eastAsia="仿宋_GB2312" w:cs="仿宋_GB2312"/>
                <w:sz w:val="20"/>
                <w:szCs w:val="20"/>
              </w:rPr>
            </w:pPr>
          </w:p>
        </w:tc>
        <w:tc>
          <w:tcPr>
            <w:tcW w:w="555" w:type="dxa"/>
            <w:vMerge w:val="continue"/>
          </w:tcPr>
          <w:p w14:paraId="17ACA438">
            <w:pPr>
              <w:spacing w:line="240" w:lineRule="atLeast"/>
              <w:jc w:val="left"/>
              <w:rPr>
                <w:rFonts w:ascii="仿宋_GB2312" w:hAnsi="仿宋_GB2312" w:eastAsia="仿宋_GB2312" w:cs="仿宋_GB2312"/>
                <w:sz w:val="20"/>
                <w:szCs w:val="20"/>
              </w:rPr>
            </w:pPr>
          </w:p>
        </w:tc>
        <w:tc>
          <w:tcPr>
            <w:tcW w:w="784" w:type="dxa"/>
            <w:vAlign w:val="center"/>
          </w:tcPr>
          <w:p w14:paraId="0A6700D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AFFE0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56C606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659C0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224F48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7B03E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7FDD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F8D82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27F48C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558DE07">
            <w:pPr>
              <w:spacing w:line="240" w:lineRule="atLeast"/>
              <w:jc w:val="left"/>
              <w:rPr>
                <w:rFonts w:ascii="仿宋_GB2312" w:hAnsi="仿宋_GB2312" w:eastAsia="仿宋_GB2312" w:cs="仿宋_GB2312"/>
                <w:sz w:val="20"/>
                <w:szCs w:val="20"/>
              </w:rPr>
            </w:pPr>
          </w:p>
        </w:tc>
      </w:tr>
      <w:tr w14:paraId="0E2E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7B0C8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104</w:t>
            </w:r>
          </w:p>
        </w:tc>
        <w:tc>
          <w:tcPr>
            <w:tcW w:w="555" w:type="dxa"/>
            <w:vAlign w:val="center"/>
          </w:tcPr>
          <w:p w14:paraId="30DE53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B5CA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B2C2C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B1282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对未按规定计提矿山地质环境治理恢复基金行为的处罚</w:t>
            </w:r>
          </w:p>
        </w:tc>
        <w:tc>
          <w:tcPr>
            <w:tcW w:w="660" w:type="dxa"/>
            <w:vAlign w:val="center"/>
          </w:tcPr>
          <w:p w14:paraId="789ADC43">
            <w:pPr>
              <w:snapToGrid w:val="0"/>
              <w:spacing w:line="240" w:lineRule="atLeast"/>
              <w:jc w:val="center"/>
              <w:rPr>
                <w:rFonts w:ascii="仿宋_GB2312" w:hAnsi="仿宋_GB2312" w:eastAsia="仿宋_GB2312" w:cs="仿宋_GB2312"/>
                <w:sz w:val="20"/>
                <w:szCs w:val="20"/>
              </w:rPr>
            </w:pPr>
          </w:p>
        </w:tc>
        <w:tc>
          <w:tcPr>
            <w:tcW w:w="615" w:type="dxa"/>
            <w:vAlign w:val="center"/>
          </w:tcPr>
          <w:p w14:paraId="30FDEE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50A54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1B5BE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部门规章】《矿山地质环境保护规定》（2009年国土资源部令第44号发布，2019年自然资源部令第5号修正）第二十八条：违反本规定，未按规定计提矿山地质环境治理恢复基金的，由县级以上自然资源主管部门责令限期计提；逾期不计提的，处3万元以下的罚款。颁发采矿许可证的自然资源主管部门不得通过其采矿活动年度报告，不受理其采矿权延续变更申请。</w:t>
            </w:r>
          </w:p>
        </w:tc>
        <w:tc>
          <w:tcPr>
            <w:tcW w:w="3585" w:type="dxa"/>
            <w:vAlign w:val="center"/>
          </w:tcPr>
          <w:p w14:paraId="2B3CF3B9">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1.立案阶段责任：接到举报或相关部门转送、巡查发现违法行为，及时予以审查，决定是否立案。下达《责令停止违法行为通知书》。</w:t>
            </w:r>
          </w:p>
          <w:p w14:paraId="1E1AC41F">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70F7814">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BC659BB">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AF72C52">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5.决定阶段责任：制作行政处罚决定书，载明行政处罚告知、当事人陈述申辩或者听证情况等内容。符合刑事案件移送条件的，及时移送。</w:t>
            </w:r>
          </w:p>
          <w:p w14:paraId="416CDCF5">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6.送达阶段责任：行政处罚决定书按法律规定的方式送达当事人。</w:t>
            </w:r>
          </w:p>
          <w:p w14:paraId="04AF2076">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7.执行阶段责任：当事人履行处罚决定的，及时结案；未履行处罚决定，依照生效的行政处罚决定，按程序下达催缴（告）通知书和申请人民法院强制执行。</w:t>
            </w:r>
          </w:p>
          <w:p w14:paraId="0A8FEB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8.其他法律法规规章文件规定应履行的责任。</w:t>
            </w:r>
          </w:p>
        </w:tc>
        <w:tc>
          <w:tcPr>
            <w:tcW w:w="9515" w:type="dxa"/>
            <w:vAlign w:val="center"/>
          </w:tcPr>
          <w:p w14:paraId="6EDB051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834A85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245BD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B946F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FBB4C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C16BB3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4A000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E056E0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4E35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C1BC0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57560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8DACD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65B3A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698E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C5EDE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2A64D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B1FB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803C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F92A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513CB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4D37BFA">
            <w:pPr>
              <w:snapToGrid w:val="0"/>
              <w:spacing w:line="240" w:lineRule="atLeast"/>
              <w:jc w:val="center"/>
              <w:rPr>
                <w:rFonts w:ascii="仿宋_GB2312" w:hAnsi="仿宋_GB2312" w:eastAsia="仿宋_GB2312" w:cs="仿宋_GB2312"/>
                <w:sz w:val="20"/>
                <w:szCs w:val="20"/>
              </w:rPr>
            </w:pPr>
          </w:p>
        </w:tc>
      </w:tr>
    </w:tbl>
    <w:p w14:paraId="04581580"/>
    <w:p w14:paraId="2F8EB740"/>
    <w:p w14:paraId="296385B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181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6949E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9DF99BA">
            <w:pPr>
              <w:spacing w:line="240" w:lineRule="atLeast"/>
              <w:rPr>
                <w:rFonts w:asciiTheme="majorEastAsia" w:hAnsiTheme="majorEastAsia" w:eastAsiaTheme="majorEastAsia" w:cstheme="majorEastAsia"/>
                <w:spacing w:val="-20"/>
                <w:sz w:val="20"/>
                <w:szCs w:val="20"/>
              </w:rPr>
            </w:pPr>
          </w:p>
          <w:p w14:paraId="25DF8CE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0B61F7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3A5E45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86F647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ED3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77E5A8C">
            <w:pPr>
              <w:spacing w:line="240" w:lineRule="atLeast"/>
              <w:jc w:val="left"/>
              <w:rPr>
                <w:rFonts w:ascii="仿宋_GB2312" w:hAnsi="仿宋_GB2312" w:eastAsia="仿宋_GB2312" w:cs="仿宋_GB2312"/>
                <w:sz w:val="20"/>
                <w:szCs w:val="20"/>
              </w:rPr>
            </w:pPr>
          </w:p>
        </w:tc>
        <w:tc>
          <w:tcPr>
            <w:tcW w:w="555" w:type="dxa"/>
            <w:vMerge w:val="continue"/>
          </w:tcPr>
          <w:p w14:paraId="78C109CB">
            <w:pPr>
              <w:spacing w:line="240" w:lineRule="atLeast"/>
              <w:jc w:val="left"/>
              <w:rPr>
                <w:rFonts w:ascii="仿宋_GB2312" w:hAnsi="仿宋_GB2312" w:eastAsia="仿宋_GB2312" w:cs="仿宋_GB2312"/>
                <w:sz w:val="20"/>
                <w:szCs w:val="20"/>
              </w:rPr>
            </w:pPr>
          </w:p>
        </w:tc>
        <w:tc>
          <w:tcPr>
            <w:tcW w:w="784" w:type="dxa"/>
            <w:vAlign w:val="center"/>
          </w:tcPr>
          <w:p w14:paraId="7F7833B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F5FE3C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C50B8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BDA381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42832E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E7A71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44B1EA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C73DE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B4E3B2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5C0FD5B">
            <w:pPr>
              <w:spacing w:line="240" w:lineRule="atLeast"/>
              <w:jc w:val="left"/>
              <w:rPr>
                <w:rFonts w:ascii="仿宋_GB2312" w:hAnsi="仿宋_GB2312" w:eastAsia="仿宋_GB2312" w:cs="仿宋_GB2312"/>
                <w:sz w:val="20"/>
                <w:szCs w:val="20"/>
              </w:rPr>
            </w:pPr>
          </w:p>
        </w:tc>
      </w:tr>
      <w:tr w14:paraId="374E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CE9EE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105</w:t>
            </w:r>
          </w:p>
        </w:tc>
        <w:tc>
          <w:tcPr>
            <w:tcW w:w="555" w:type="dxa"/>
            <w:vAlign w:val="center"/>
          </w:tcPr>
          <w:p w14:paraId="56941A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E1D18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1D176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233D3B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对应当编制矿山地质环境保护与土地复垦方案而未编制的，或者扩大开采规模、变更矿区范围或者开采方式，未重新编制矿山地质环境保护与土地复垦方案并经原审批机关批准行为的处罚</w:t>
            </w:r>
          </w:p>
        </w:tc>
        <w:tc>
          <w:tcPr>
            <w:tcW w:w="660" w:type="dxa"/>
            <w:vAlign w:val="center"/>
          </w:tcPr>
          <w:p w14:paraId="7FD000D9">
            <w:pPr>
              <w:snapToGrid w:val="0"/>
              <w:spacing w:line="240" w:lineRule="atLeast"/>
              <w:jc w:val="center"/>
              <w:rPr>
                <w:rFonts w:ascii="仿宋_GB2312" w:hAnsi="仿宋_GB2312" w:eastAsia="仿宋_GB2312" w:cs="仿宋_GB2312"/>
                <w:sz w:val="20"/>
                <w:szCs w:val="20"/>
              </w:rPr>
            </w:pPr>
          </w:p>
        </w:tc>
        <w:tc>
          <w:tcPr>
            <w:tcW w:w="615" w:type="dxa"/>
            <w:vAlign w:val="center"/>
          </w:tcPr>
          <w:p w14:paraId="636F4B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56B45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2FCD6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77E89F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6F6F183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违反本规定，应当编制矿山地质环境保护与土地复垦方案而未编制的，或者扩大开采规模、变更矿区范围或者开采方式，未重新编制矿山地质环境保护与土地复垦方案并经原审批机关批准的，责令限期改正，并列入矿业权人异常名录或严重违法名单；逾期不改正的，处3万元以下的罚款，不受理其申请新的采矿许可证或者申请采矿许可证延续、变更、注销。</w:t>
            </w:r>
          </w:p>
        </w:tc>
        <w:tc>
          <w:tcPr>
            <w:tcW w:w="3585" w:type="dxa"/>
            <w:vAlign w:val="center"/>
          </w:tcPr>
          <w:p w14:paraId="5403AB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F291A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C7682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14D15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D38FA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A8DF9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60BA6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4C587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A65E4F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C85C2D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67118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669B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1D33FE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A97A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30F02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02891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AF35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F8F7D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801BA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54D1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1425D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B2139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05E73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A12DA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ABB2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06FA8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019F0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FBFE12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D6714AC">
            <w:pPr>
              <w:snapToGrid w:val="0"/>
              <w:spacing w:line="240" w:lineRule="atLeast"/>
              <w:jc w:val="center"/>
              <w:rPr>
                <w:rFonts w:ascii="仿宋_GB2312" w:hAnsi="仿宋_GB2312" w:eastAsia="仿宋_GB2312" w:cs="仿宋_GB2312"/>
                <w:sz w:val="20"/>
                <w:szCs w:val="20"/>
              </w:rPr>
            </w:pPr>
          </w:p>
        </w:tc>
      </w:tr>
    </w:tbl>
    <w:p w14:paraId="76DA1401"/>
    <w:p w14:paraId="502193AD"/>
    <w:p w14:paraId="5C00812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A86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97531F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DB000A2">
            <w:pPr>
              <w:spacing w:line="240" w:lineRule="atLeast"/>
              <w:rPr>
                <w:rFonts w:asciiTheme="majorEastAsia" w:hAnsiTheme="majorEastAsia" w:eastAsiaTheme="majorEastAsia" w:cstheme="majorEastAsia"/>
                <w:spacing w:val="-20"/>
                <w:sz w:val="20"/>
                <w:szCs w:val="20"/>
              </w:rPr>
            </w:pPr>
          </w:p>
          <w:p w14:paraId="771F133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191E0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765691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87830C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2B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A30036">
            <w:pPr>
              <w:spacing w:line="240" w:lineRule="atLeast"/>
              <w:jc w:val="left"/>
              <w:rPr>
                <w:rFonts w:ascii="仿宋_GB2312" w:hAnsi="仿宋_GB2312" w:eastAsia="仿宋_GB2312" w:cs="仿宋_GB2312"/>
                <w:sz w:val="20"/>
                <w:szCs w:val="20"/>
              </w:rPr>
            </w:pPr>
          </w:p>
        </w:tc>
        <w:tc>
          <w:tcPr>
            <w:tcW w:w="555" w:type="dxa"/>
            <w:vMerge w:val="continue"/>
          </w:tcPr>
          <w:p w14:paraId="680BE3C4">
            <w:pPr>
              <w:spacing w:line="240" w:lineRule="atLeast"/>
              <w:jc w:val="left"/>
              <w:rPr>
                <w:rFonts w:ascii="仿宋_GB2312" w:hAnsi="仿宋_GB2312" w:eastAsia="仿宋_GB2312" w:cs="仿宋_GB2312"/>
                <w:sz w:val="20"/>
                <w:szCs w:val="20"/>
              </w:rPr>
            </w:pPr>
          </w:p>
        </w:tc>
        <w:tc>
          <w:tcPr>
            <w:tcW w:w="784" w:type="dxa"/>
            <w:vAlign w:val="center"/>
          </w:tcPr>
          <w:p w14:paraId="222C555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A4A7B3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3E8B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DC04D6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0E395A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EA24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86C12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E2FAB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6AFB7D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EDB7BD">
            <w:pPr>
              <w:spacing w:line="240" w:lineRule="atLeast"/>
              <w:jc w:val="left"/>
              <w:rPr>
                <w:rFonts w:ascii="仿宋_GB2312" w:hAnsi="仿宋_GB2312" w:eastAsia="仿宋_GB2312" w:cs="仿宋_GB2312"/>
                <w:sz w:val="20"/>
                <w:szCs w:val="20"/>
              </w:rPr>
            </w:pPr>
          </w:p>
        </w:tc>
      </w:tr>
      <w:tr w14:paraId="29CE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E1380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106</w:t>
            </w:r>
          </w:p>
        </w:tc>
        <w:tc>
          <w:tcPr>
            <w:tcW w:w="555" w:type="dxa"/>
            <w:vAlign w:val="center"/>
          </w:tcPr>
          <w:p w14:paraId="3EA0DE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2858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5AC23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752A23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对扰乱、阻碍矿山地质环境保护与治理恢复工作，侵占、损坏、损毁矿山地质环境监测设施或者矿山地质环境保护与治理恢复设施行为的处罚</w:t>
            </w:r>
          </w:p>
        </w:tc>
        <w:tc>
          <w:tcPr>
            <w:tcW w:w="660" w:type="dxa"/>
            <w:vAlign w:val="center"/>
          </w:tcPr>
          <w:p w14:paraId="20B64CDA">
            <w:pPr>
              <w:snapToGrid w:val="0"/>
              <w:spacing w:line="240" w:lineRule="atLeast"/>
              <w:jc w:val="center"/>
              <w:rPr>
                <w:rFonts w:ascii="仿宋_GB2312" w:hAnsi="仿宋_GB2312" w:eastAsia="仿宋_GB2312" w:cs="仿宋_GB2312"/>
                <w:sz w:val="20"/>
                <w:szCs w:val="20"/>
              </w:rPr>
            </w:pPr>
          </w:p>
        </w:tc>
        <w:tc>
          <w:tcPr>
            <w:tcW w:w="615" w:type="dxa"/>
            <w:vAlign w:val="center"/>
          </w:tcPr>
          <w:p w14:paraId="02BD7C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73FA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31CF3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矿山地质环境保护规定》（2009年国土资源部令第44号发布，2019年自然资源部令第5号修正）第三十条：违反本规定，扰乱、阻碍矿山地质环境保护与治理恢复工作，侵占、损坏、损毁矿山地质环境监测设施或者矿山地质环境保护与治理恢复设施的，由县级以上自然资源主管部门责令停止违法行为，限期恢复原状或者采取补救措施，并处3万元以下的罚款；构成犯罪的，依法追究刑事责任。</w:t>
            </w:r>
          </w:p>
        </w:tc>
        <w:tc>
          <w:tcPr>
            <w:tcW w:w="3585" w:type="dxa"/>
            <w:vAlign w:val="center"/>
          </w:tcPr>
          <w:p w14:paraId="5696E4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4DD71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DDAB1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1B2FD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4AACA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58FE9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C45CF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8CC06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E31FB6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08F5DC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8D677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B9B31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9C72DA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755C56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BE9223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E87E02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19F22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15F91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475C7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1A8B4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8D685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4A17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F6044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933C3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FC7E0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A16AE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69CE3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E27D4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219D1A0">
            <w:pPr>
              <w:snapToGrid w:val="0"/>
              <w:spacing w:line="240" w:lineRule="atLeast"/>
              <w:jc w:val="center"/>
              <w:rPr>
                <w:rFonts w:ascii="仿宋_GB2312" w:hAnsi="仿宋_GB2312" w:eastAsia="仿宋_GB2312" w:cs="仿宋_GB2312"/>
                <w:sz w:val="20"/>
                <w:szCs w:val="20"/>
              </w:rPr>
            </w:pPr>
          </w:p>
        </w:tc>
      </w:tr>
    </w:tbl>
    <w:p w14:paraId="2EF327C5"/>
    <w:p w14:paraId="00E52F4D"/>
    <w:p w14:paraId="16B9EFAB"/>
    <w:p w14:paraId="3590889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BFD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BEDFE9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A2A31D6">
            <w:pPr>
              <w:spacing w:line="240" w:lineRule="atLeast"/>
              <w:rPr>
                <w:rFonts w:asciiTheme="majorEastAsia" w:hAnsiTheme="majorEastAsia" w:eastAsiaTheme="majorEastAsia" w:cstheme="majorEastAsia"/>
                <w:spacing w:val="-20"/>
                <w:sz w:val="20"/>
                <w:szCs w:val="20"/>
              </w:rPr>
            </w:pPr>
          </w:p>
          <w:p w14:paraId="7947230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6315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7BA0B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9DAF24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1C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533B94">
            <w:pPr>
              <w:spacing w:line="240" w:lineRule="atLeast"/>
              <w:jc w:val="left"/>
              <w:rPr>
                <w:rFonts w:ascii="仿宋_GB2312" w:hAnsi="仿宋_GB2312" w:eastAsia="仿宋_GB2312" w:cs="仿宋_GB2312"/>
                <w:sz w:val="20"/>
                <w:szCs w:val="20"/>
              </w:rPr>
            </w:pPr>
          </w:p>
        </w:tc>
        <w:tc>
          <w:tcPr>
            <w:tcW w:w="555" w:type="dxa"/>
            <w:vMerge w:val="continue"/>
          </w:tcPr>
          <w:p w14:paraId="60651AC6">
            <w:pPr>
              <w:spacing w:line="240" w:lineRule="atLeast"/>
              <w:jc w:val="left"/>
              <w:rPr>
                <w:rFonts w:ascii="仿宋_GB2312" w:hAnsi="仿宋_GB2312" w:eastAsia="仿宋_GB2312" w:cs="仿宋_GB2312"/>
                <w:sz w:val="20"/>
                <w:szCs w:val="20"/>
              </w:rPr>
            </w:pPr>
          </w:p>
        </w:tc>
        <w:tc>
          <w:tcPr>
            <w:tcW w:w="784" w:type="dxa"/>
            <w:vAlign w:val="center"/>
          </w:tcPr>
          <w:p w14:paraId="382F23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24E5B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BBA9DA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88B3E9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132B21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3868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498CC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6D3E89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4CE92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16167CB">
            <w:pPr>
              <w:spacing w:line="240" w:lineRule="atLeast"/>
              <w:jc w:val="left"/>
              <w:rPr>
                <w:rFonts w:ascii="仿宋_GB2312" w:hAnsi="仿宋_GB2312" w:eastAsia="仿宋_GB2312" w:cs="仿宋_GB2312"/>
                <w:sz w:val="20"/>
                <w:szCs w:val="20"/>
              </w:rPr>
            </w:pPr>
          </w:p>
        </w:tc>
      </w:tr>
      <w:tr w14:paraId="6468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00E9B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107</w:t>
            </w:r>
          </w:p>
        </w:tc>
        <w:tc>
          <w:tcPr>
            <w:tcW w:w="555" w:type="dxa"/>
            <w:vAlign w:val="center"/>
          </w:tcPr>
          <w:p w14:paraId="0A0E9D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77341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39EE7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EBC1D7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对未经批准发掘古生物化石行为的处罚</w:t>
            </w:r>
          </w:p>
        </w:tc>
        <w:tc>
          <w:tcPr>
            <w:tcW w:w="660" w:type="dxa"/>
            <w:vAlign w:val="center"/>
          </w:tcPr>
          <w:p w14:paraId="18CA4909">
            <w:pPr>
              <w:snapToGrid w:val="0"/>
              <w:spacing w:line="240" w:lineRule="atLeast"/>
              <w:jc w:val="center"/>
              <w:rPr>
                <w:rFonts w:ascii="仿宋_GB2312" w:hAnsi="仿宋_GB2312" w:eastAsia="仿宋_GB2312" w:cs="仿宋_GB2312"/>
                <w:sz w:val="20"/>
                <w:szCs w:val="20"/>
              </w:rPr>
            </w:pPr>
          </w:p>
        </w:tc>
        <w:tc>
          <w:tcPr>
            <w:tcW w:w="615" w:type="dxa"/>
            <w:vAlign w:val="center"/>
          </w:tcPr>
          <w:p w14:paraId="3FA044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85CEA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379AC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一）未经批准发掘古生物化石的。</w:t>
            </w:r>
          </w:p>
          <w:p w14:paraId="539991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14:paraId="0F3937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未经批准或者未按照批准的发掘方案发掘古生物化石，构成违反治安管理行为的，由公安机关依法给予治安管理处罚；构成犯罪的，依法追究刑事责任。</w:t>
            </w:r>
          </w:p>
          <w:p w14:paraId="2EE07A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未按照批准的发掘方案发掘古生物化石，情节严重的，由批准古生物化石发掘的自然资源主管部门撤销批准发掘的决定。</w:t>
            </w:r>
          </w:p>
        </w:tc>
        <w:tc>
          <w:tcPr>
            <w:tcW w:w="3585" w:type="dxa"/>
            <w:vAlign w:val="center"/>
          </w:tcPr>
          <w:p w14:paraId="359985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59EA4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32B73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D2863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2C68B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2F9E3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60932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0BAF44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0863F7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E137B1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F7344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63C66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8AF96D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1806B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C4CF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26B4E0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5ACA2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88477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75D92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3C273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7C709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C405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76D75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E8830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5BFA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5DA26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C038B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430E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7FA29A8">
            <w:pPr>
              <w:snapToGrid w:val="0"/>
              <w:spacing w:line="240" w:lineRule="atLeast"/>
              <w:jc w:val="center"/>
              <w:rPr>
                <w:rFonts w:ascii="仿宋_GB2312" w:hAnsi="仿宋_GB2312" w:eastAsia="仿宋_GB2312" w:cs="仿宋_GB2312"/>
                <w:sz w:val="20"/>
                <w:szCs w:val="20"/>
              </w:rPr>
            </w:pPr>
          </w:p>
        </w:tc>
      </w:tr>
    </w:tbl>
    <w:p w14:paraId="00FC548A"/>
    <w:p w14:paraId="5AB4FEB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395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BC719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CA5AC44">
            <w:pPr>
              <w:spacing w:line="240" w:lineRule="atLeast"/>
              <w:rPr>
                <w:rFonts w:asciiTheme="majorEastAsia" w:hAnsiTheme="majorEastAsia" w:eastAsiaTheme="majorEastAsia" w:cstheme="majorEastAsia"/>
                <w:spacing w:val="-20"/>
                <w:sz w:val="20"/>
                <w:szCs w:val="20"/>
              </w:rPr>
            </w:pPr>
          </w:p>
          <w:p w14:paraId="49E96AF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8339AE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CFEE7B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109BD9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9FF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B2BF649">
            <w:pPr>
              <w:spacing w:line="240" w:lineRule="atLeast"/>
              <w:jc w:val="left"/>
              <w:rPr>
                <w:rFonts w:ascii="仿宋_GB2312" w:hAnsi="仿宋_GB2312" w:eastAsia="仿宋_GB2312" w:cs="仿宋_GB2312"/>
                <w:sz w:val="20"/>
                <w:szCs w:val="20"/>
              </w:rPr>
            </w:pPr>
          </w:p>
        </w:tc>
        <w:tc>
          <w:tcPr>
            <w:tcW w:w="555" w:type="dxa"/>
            <w:vMerge w:val="continue"/>
          </w:tcPr>
          <w:p w14:paraId="58F989BE">
            <w:pPr>
              <w:spacing w:line="240" w:lineRule="atLeast"/>
              <w:jc w:val="left"/>
              <w:rPr>
                <w:rFonts w:ascii="仿宋_GB2312" w:hAnsi="仿宋_GB2312" w:eastAsia="仿宋_GB2312" w:cs="仿宋_GB2312"/>
                <w:sz w:val="20"/>
                <w:szCs w:val="20"/>
              </w:rPr>
            </w:pPr>
          </w:p>
        </w:tc>
        <w:tc>
          <w:tcPr>
            <w:tcW w:w="784" w:type="dxa"/>
            <w:vAlign w:val="center"/>
          </w:tcPr>
          <w:p w14:paraId="65A66B4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D06033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2B5F4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14FB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4637F1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E971C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A6A05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BBAB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B94E17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1F8B06E">
            <w:pPr>
              <w:spacing w:line="240" w:lineRule="atLeast"/>
              <w:jc w:val="left"/>
              <w:rPr>
                <w:rFonts w:ascii="仿宋_GB2312" w:hAnsi="仿宋_GB2312" w:eastAsia="仿宋_GB2312" w:cs="仿宋_GB2312"/>
                <w:sz w:val="20"/>
                <w:szCs w:val="20"/>
              </w:rPr>
            </w:pPr>
          </w:p>
        </w:tc>
      </w:tr>
      <w:tr w14:paraId="78A2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7AF7E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108</w:t>
            </w:r>
          </w:p>
        </w:tc>
        <w:tc>
          <w:tcPr>
            <w:tcW w:w="555" w:type="dxa"/>
            <w:vAlign w:val="center"/>
          </w:tcPr>
          <w:p w14:paraId="7BD731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1EF52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39F18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0B70F4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对未按照批准的发掘方案发掘古生物化石行为的处罚</w:t>
            </w:r>
          </w:p>
        </w:tc>
        <w:tc>
          <w:tcPr>
            <w:tcW w:w="660" w:type="dxa"/>
            <w:vAlign w:val="center"/>
          </w:tcPr>
          <w:p w14:paraId="01327E7C">
            <w:pPr>
              <w:snapToGrid w:val="0"/>
              <w:spacing w:line="240" w:lineRule="atLeast"/>
              <w:jc w:val="center"/>
              <w:rPr>
                <w:rFonts w:ascii="仿宋_GB2312" w:hAnsi="仿宋_GB2312" w:eastAsia="仿宋_GB2312" w:cs="仿宋_GB2312"/>
                <w:sz w:val="20"/>
                <w:szCs w:val="20"/>
              </w:rPr>
            </w:pPr>
          </w:p>
        </w:tc>
        <w:tc>
          <w:tcPr>
            <w:tcW w:w="615" w:type="dxa"/>
            <w:vAlign w:val="center"/>
          </w:tcPr>
          <w:p w14:paraId="7A21D1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DD4D1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38CA5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w:t>
            </w:r>
          </w:p>
          <w:p w14:paraId="7D98E5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（二）未按照批准的发掘方案发掘古生物化石的。</w:t>
            </w:r>
          </w:p>
          <w:p w14:paraId="233CF4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有前款第（二）项行为，情节严重的，由批准古生物化石发掘的自然资源主管部门撤销批准发掘的决定。</w:t>
            </w:r>
          </w:p>
          <w:p w14:paraId="034F99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14:paraId="1C6678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未经批准或者未按照批准的发掘方案发掘古生物化石，构成违反治安管理行为的，由公安机关依法给予治安管理处罚；构成犯罪的，依法追究刑事责任。</w:t>
            </w:r>
          </w:p>
          <w:p w14:paraId="4A71051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未按照批准的发掘方案发掘古生物化石，情节严重的，由批准古生物化石发掘的自然资源主管部门撤销批准发掘的决定。</w:t>
            </w:r>
          </w:p>
        </w:tc>
        <w:tc>
          <w:tcPr>
            <w:tcW w:w="3585" w:type="dxa"/>
            <w:vAlign w:val="center"/>
          </w:tcPr>
          <w:p w14:paraId="1A2533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E1627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C6590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848B8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488EC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D412F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0A992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09769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B0C19C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5D3528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0EA6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93328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B5524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E3707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8D0B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63F441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2533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75A9B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C557F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0653B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376AF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ED7F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25A0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60DBA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51F0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D8CEB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01336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8230C4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0BF5D01">
            <w:pPr>
              <w:snapToGrid w:val="0"/>
              <w:spacing w:line="240" w:lineRule="atLeast"/>
              <w:jc w:val="center"/>
              <w:rPr>
                <w:rFonts w:ascii="仿宋_GB2312" w:hAnsi="仿宋_GB2312" w:eastAsia="仿宋_GB2312" w:cs="仿宋_GB2312"/>
                <w:sz w:val="20"/>
                <w:szCs w:val="20"/>
              </w:rPr>
            </w:pPr>
          </w:p>
        </w:tc>
      </w:tr>
    </w:tbl>
    <w:p w14:paraId="667657B0"/>
    <w:p w14:paraId="61D8F517"/>
    <w:p w14:paraId="0541C65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E98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AFD7C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E2DB949">
            <w:pPr>
              <w:spacing w:line="240" w:lineRule="atLeast"/>
              <w:rPr>
                <w:rFonts w:asciiTheme="majorEastAsia" w:hAnsiTheme="majorEastAsia" w:eastAsiaTheme="majorEastAsia" w:cstheme="majorEastAsia"/>
                <w:spacing w:val="-20"/>
                <w:sz w:val="20"/>
                <w:szCs w:val="20"/>
              </w:rPr>
            </w:pPr>
          </w:p>
          <w:p w14:paraId="544D98B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C68C40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F48E6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99C3C1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06AE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D9A9BA9">
            <w:pPr>
              <w:spacing w:line="240" w:lineRule="atLeast"/>
              <w:jc w:val="left"/>
              <w:rPr>
                <w:rFonts w:ascii="仿宋_GB2312" w:hAnsi="仿宋_GB2312" w:eastAsia="仿宋_GB2312" w:cs="仿宋_GB2312"/>
                <w:sz w:val="20"/>
                <w:szCs w:val="20"/>
              </w:rPr>
            </w:pPr>
          </w:p>
        </w:tc>
        <w:tc>
          <w:tcPr>
            <w:tcW w:w="555" w:type="dxa"/>
            <w:vMerge w:val="continue"/>
          </w:tcPr>
          <w:p w14:paraId="332D03DC">
            <w:pPr>
              <w:spacing w:line="240" w:lineRule="atLeast"/>
              <w:jc w:val="left"/>
              <w:rPr>
                <w:rFonts w:ascii="仿宋_GB2312" w:hAnsi="仿宋_GB2312" w:eastAsia="仿宋_GB2312" w:cs="仿宋_GB2312"/>
                <w:sz w:val="20"/>
                <w:szCs w:val="20"/>
              </w:rPr>
            </w:pPr>
          </w:p>
        </w:tc>
        <w:tc>
          <w:tcPr>
            <w:tcW w:w="784" w:type="dxa"/>
            <w:vAlign w:val="center"/>
          </w:tcPr>
          <w:p w14:paraId="61940B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6CE01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F7D775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4F533A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CE1749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032D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AC710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B911C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F138D2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4671764">
            <w:pPr>
              <w:spacing w:line="240" w:lineRule="atLeast"/>
              <w:jc w:val="left"/>
              <w:rPr>
                <w:rFonts w:ascii="仿宋_GB2312" w:hAnsi="仿宋_GB2312" w:eastAsia="仿宋_GB2312" w:cs="仿宋_GB2312"/>
                <w:sz w:val="20"/>
                <w:szCs w:val="20"/>
              </w:rPr>
            </w:pPr>
          </w:p>
        </w:tc>
      </w:tr>
      <w:tr w14:paraId="4756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CC925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109</w:t>
            </w:r>
          </w:p>
        </w:tc>
        <w:tc>
          <w:tcPr>
            <w:tcW w:w="555" w:type="dxa"/>
            <w:vAlign w:val="center"/>
          </w:tcPr>
          <w:p w14:paraId="296AE0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A4F8A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B6A54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002AE5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对古生物化石发掘单位未按照规定移交发掘的古生物化石行为的处罚</w:t>
            </w:r>
          </w:p>
        </w:tc>
        <w:tc>
          <w:tcPr>
            <w:tcW w:w="660" w:type="dxa"/>
            <w:vAlign w:val="center"/>
          </w:tcPr>
          <w:p w14:paraId="4B0611A6">
            <w:pPr>
              <w:snapToGrid w:val="0"/>
              <w:spacing w:line="240" w:lineRule="atLeast"/>
              <w:jc w:val="center"/>
              <w:rPr>
                <w:rFonts w:ascii="仿宋_GB2312" w:hAnsi="仿宋_GB2312" w:eastAsia="仿宋_GB2312" w:cs="仿宋_GB2312"/>
                <w:sz w:val="20"/>
                <w:szCs w:val="20"/>
              </w:rPr>
            </w:pPr>
          </w:p>
        </w:tc>
        <w:tc>
          <w:tcPr>
            <w:tcW w:w="615" w:type="dxa"/>
            <w:vAlign w:val="center"/>
          </w:tcPr>
          <w:p w14:paraId="753A51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AB8CB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20CA2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五条第一款：国务院自然资源主管部门主管全国古生物化石保护工作。县级以上地方人民政府自然资源主管部门主管本行政区域古生物化石保护工作。</w:t>
            </w:r>
          </w:p>
          <w:p w14:paraId="0B155E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七条：古生物化石发掘单位未按照规定移交发掘的古生物化石的，由批准古生物化石发掘的自然资源主管部门责令限期改正;逾期不改正，或者造成古生物化石损毁的，处10万元以上50万元以下的罚款;直接负责的主管人员和其他直接责任人员构成犯罪的，依法追究刑事责任。</w:t>
            </w:r>
          </w:p>
          <w:p w14:paraId="4B9DAB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二条：古生物化石发掘单位未按照规定移交古生物化石的，由批准发掘的自然资源主管部门责令限期改正；逾期不改正，或者造成古生物化石损毁的，涉及一般保护古生物化石的，处10万元以上20万元以下罚款；涉及重点保护古生物化石的，处20万元以上50万元以下罚款；直接负责的主管人员和其他直接责任人员构成犯罪的，依法追究刑事责任。</w:t>
            </w:r>
          </w:p>
        </w:tc>
        <w:tc>
          <w:tcPr>
            <w:tcW w:w="3585" w:type="dxa"/>
            <w:vAlign w:val="center"/>
          </w:tcPr>
          <w:p w14:paraId="5AF5EC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B6E2D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05EC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279FF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B5243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D4A60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378FF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77699B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895472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AAE898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63A5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7D79F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5487F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ED211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36C89C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66D5DF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021E0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CCCE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2C4F6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1227E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A1689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0E68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D789A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03715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A7C4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53614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40674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E27F7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A3E1C4F">
            <w:pPr>
              <w:snapToGrid w:val="0"/>
              <w:spacing w:line="240" w:lineRule="atLeast"/>
              <w:jc w:val="center"/>
              <w:rPr>
                <w:rFonts w:ascii="仿宋_GB2312" w:hAnsi="仿宋_GB2312" w:eastAsia="仿宋_GB2312" w:cs="仿宋_GB2312"/>
                <w:sz w:val="20"/>
                <w:szCs w:val="20"/>
              </w:rPr>
            </w:pPr>
          </w:p>
        </w:tc>
      </w:tr>
    </w:tbl>
    <w:p w14:paraId="1E5425BD"/>
    <w:p w14:paraId="0A15FF27"/>
    <w:p w14:paraId="1AED855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991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F0E71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143B8A1">
            <w:pPr>
              <w:spacing w:line="240" w:lineRule="atLeast"/>
              <w:rPr>
                <w:rFonts w:asciiTheme="majorEastAsia" w:hAnsiTheme="majorEastAsia" w:eastAsiaTheme="majorEastAsia" w:cstheme="majorEastAsia"/>
                <w:spacing w:val="-20"/>
                <w:sz w:val="20"/>
                <w:szCs w:val="20"/>
              </w:rPr>
            </w:pPr>
          </w:p>
          <w:p w14:paraId="101DA81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71E0DB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7A968F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B161E3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243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D3E8A3">
            <w:pPr>
              <w:spacing w:line="240" w:lineRule="atLeast"/>
              <w:jc w:val="left"/>
              <w:rPr>
                <w:rFonts w:ascii="仿宋_GB2312" w:hAnsi="仿宋_GB2312" w:eastAsia="仿宋_GB2312" w:cs="仿宋_GB2312"/>
                <w:sz w:val="20"/>
                <w:szCs w:val="20"/>
              </w:rPr>
            </w:pPr>
          </w:p>
        </w:tc>
        <w:tc>
          <w:tcPr>
            <w:tcW w:w="555" w:type="dxa"/>
            <w:vMerge w:val="continue"/>
          </w:tcPr>
          <w:p w14:paraId="7EDDDCF8">
            <w:pPr>
              <w:spacing w:line="240" w:lineRule="atLeast"/>
              <w:jc w:val="left"/>
              <w:rPr>
                <w:rFonts w:ascii="仿宋_GB2312" w:hAnsi="仿宋_GB2312" w:eastAsia="仿宋_GB2312" w:cs="仿宋_GB2312"/>
                <w:sz w:val="20"/>
                <w:szCs w:val="20"/>
              </w:rPr>
            </w:pPr>
          </w:p>
        </w:tc>
        <w:tc>
          <w:tcPr>
            <w:tcW w:w="784" w:type="dxa"/>
            <w:vAlign w:val="center"/>
          </w:tcPr>
          <w:p w14:paraId="6B9F6B0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FD3324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774C30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6046E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6CF39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D9D70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E07E5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2ABEA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926C4E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A2B32C">
            <w:pPr>
              <w:spacing w:line="240" w:lineRule="atLeast"/>
              <w:jc w:val="left"/>
              <w:rPr>
                <w:rFonts w:ascii="仿宋_GB2312" w:hAnsi="仿宋_GB2312" w:eastAsia="仿宋_GB2312" w:cs="仿宋_GB2312"/>
                <w:sz w:val="20"/>
                <w:szCs w:val="20"/>
              </w:rPr>
            </w:pPr>
          </w:p>
        </w:tc>
      </w:tr>
      <w:tr w14:paraId="5083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C790D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110</w:t>
            </w:r>
          </w:p>
        </w:tc>
        <w:tc>
          <w:tcPr>
            <w:tcW w:w="555" w:type="dxa"/>
            <w:vAlign w:val="center"/>
          </w:tcPr>
          <w:p w14:paraId="162F4D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04790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910DF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35B364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对古生物化石收藏单位不符合收藏条件收藏古生物化石行为的处罚</w:t>
            </w:r>
          </w:p>
        </w:tc>
        <w:tc>
          <w:tcPr>
            <w:tcW w:w="660" w:type="dxa"/>
            <w:vAlign w:val="center"/>
          </w:tcPr>
          <w:p w14:paraId="5DF9E13B">
            <w:pPr>
              <w:snapToGrid w:val="0"/>
              <w:spacing w:line="240" w:lineRule="atLeast"/>
              <w:jc w:val="center"/>
              <w:rPr>
                <w:rFonts w:ascii="仿宋_GB2312" w:hAnsi="仿宋_GB2312" w:eastAsia="仿宋_GB2312" w:cs="仿宋_GB2312"/>
                <w:sz w:val="20"/>
                <w:szCs w:val="20"/>
              </w:rPr>
            </w:pPr>
          </w:p>
        </w:tc>
        <w:tc>
          <w:tcPr>
            <w:tcW w:w="615" w:type="dxa"/>
            <w:vAlign w:val="center"/>
          </w:tcPr>
          <w:p w14:paraId="168DF1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B785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2EAAF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1.【行政法规】《古生物化石保护条例》（2010年国务院令第580号公布，2019年国务院令第709号修订））第三十八条：古生物化石收藏单位不符合收藏条件收藏古生物化石的，由县级以上</w:t>
            </w:r>
          </w:p>
          <w:p w14:paraId="4F46A4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第五条第一款：国务院自然资源主管部门主管全国古生物化石保护工作。县级以上地方人民政府自然资源主管部门主管本行政区域古生物化石保护工作。</w:t>
            </w:r>
          </w:p>
          <w:p w14:paraId="079BCA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人民政府自然资源主管部门责令限期改正;逾期不改正的，处5万元以上10万元以下的罚款;已严重影响其收藏的重点保护古生物化石安全的，由国务院自然资源主管部门指定符合条件的收藏单位代为收藏，代为收藏的费用由原收藏单位承担。</w:t>
            </w:r>
          </w:p>
          <w:p w14:paraId="311CA5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三条：收藏单位不符合本办法规定的收藏条件收藏古生物化石的，由县级以上人民政府自然资源主管部门责令限期改正；逾期不改正的，处5万元以上10万元以下的罚款；已严重影响其收藏的重点保护古生物化石安全的，由自然资源部指定符合本办法规定的收藏条件的收藏单位代为收藏，代为收藏的费用由原收藏单位承担。</w:t>
            </w:r>
          </w:p>
        </w:tc>
        <w:tc>
          <w:tcPr>
            <w:tcW w:w="3585" w:type="dxa"/>
            <w:vAlign w:val="center"/>
          </w:tcPr>
          <w:p w14:paraId="3F0C21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64D22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E1BDA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1C4B8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A5724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645A8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152AB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8C32D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32C52A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CEAA35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0CD28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F75D4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16E5B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8CC08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5CF9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A2BC1A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9F117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9A71B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9CFC7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8B9B0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1AB7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B3CB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25361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97160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19BCE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57871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210AB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2542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BBD8BD6">
            <w:pPr>
              <w:snapToGrid w:val="0"/>
              <w:spacing w:line="240" w:lineRule="atLeast"/>
              <w:jc w:val="center"/>
              <w:rPr>
                <w:rFonts w:ascii="仿宋_GB2312" w:hAnsi="仿宋_GB2312" w:eastAsia="仿宋_GB2312" w:cs="仿宋_GB2312"/>
                <w:sz w:val="20"/>
                <w:szCs w:val="20"/>
              </w:rPr>
            </w:pPr>
          </w:p>
        </w:tc>
      </w:tr>
    </w:tbl>
    <w:p w14:paraId="18362DE2"/>
    <w:p w14:paraId="639BE7C8"/>
    <w:p w14:paraId="5A372BC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72C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C78047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5F13502">
            <w:pPr>
              <w:spacing w:line="240" w:lineRule="atLeast"/>
              <w:rPr>
                <w:rFonts w:asciiTheme="majorEastAsia" w:hAnsiTheme="majorEastAsia" w:eastAsiaTheme="majorEastAsia" w:cstheme="majorEastAsia"/>
                <w:spacing w:val="-20"/>
                <w:sz w:val="20"/>
                <w:szCs w:val="20"/>
              </w:rPr>
            </w:pPr>
          </w:p>
          <w:p w14:paraId="14E17E8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6E6D0E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C89E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787E89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92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204E1F">
            <w:pPr>
              <w:spacing w:line="240" w:lineRule="atLeast"/>
              <w:jc w:val="left"/>
              <w:rPr>
                <w:rFonts w:ascii="仿宋_GB2312" w:hAnsi="仿宋_GB2312" w:eastAsia="仿宋_GB2312" w:cs="仿宋_GB2312"/>
                <w:sz w:val="20"/>
                <w:szCs w:val="20"/>
              </w:rPr>
            </w:pPr>
          </w:p>
        </w:tc>
        <w:tc>
          <w:tcPr>
            <w:tcW w:w="555" w:type="dxa"/>
            <w:vMerge w:val="continue"/>
          </w:tcPr>
          <w:p w14:paraId="36145ACF">
            <w:pPr>
              <w:spacing w:line="240" w:lineRule="atLeast"/>
              <w:jc w:val="left"/>
              <w:rPr>
                <w:rFonts w:ascii="仿宋_GB2312" w:hAnsi="仿宋_GB2312" w:eastAsia="仿宋_GB2312" w:cs="仿宋_GB2312"/>
                <w:sz w:val="20"/>
                <w:szCs w:val="20"/>
              </w:rPr>
            </w:pPr>
          </w:p>
        </w:tc>
        <w:tc>
          <w:tcPr>
            <w:tcW w:w="784" w:type="dxa"/>
            <w:vAlign w:val="center"/>
          </w:tcPr>
          <w:p w14:paraId="6FA8DCF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7BD5F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E4405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5BE342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7E0F4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817F9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6DCA2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BC0300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2A36E7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315AAC8">
            <w:pPr>
              <w:spacing w:line="240" w:lineRule="atLeast"/>
              <w:jc w:val="left"/>
              <w:rPr>
                <w:rFonts w:ascii="仿宋_GB2312" w:hAnsi="仿宋_GB2312" w:eastAsia="仿宋_GB2312" w:cs="仿宋_GB2312"/>
                <w:sz w:val="20"/>
                <w:szCs w:val="20"/>
              </w:rPr>
            </w:pPr>
          </w:p>
        </w:tc>
      </w:tr>
      <w:tr w14:paraId="05DC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A2327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111</w:t>
            </w:r>
          </w:p>
        </w:tc>
        <w:tc>
          <w:tcPr>
            <w:tcW w:w="555" w:type="dxa"/>
            <w:vAlign w:val="center"/>
          </w:tcPr>
          <w:p w14:paraId="3BA23B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FA48F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90E9B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BC07E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对古生物化石收藏单位未按照规定建立本单位收藏的古生物化石档案行为的处罚</w:t>
            </w:r>
          </w:p>
        </w:tc>
        <w:tc>
          <w:tcPr>
            <w:tcW w:w="660" w:type="dxa"/>
            <w:vAlign w:val="center"/>
          </w:tcPr>
          <w:p w14:paraId="345CA590">
            <w:pPr>
              <w:snapToGrid w:val="0"/>
              <w:spacing w:line="240" w:lineRule="atLeast"/>
              <w:jc w:val="center"/>
              <w:rPr>
                <w:rFonts w:ascii="仿宋_GB2312" w:hAnsi="仿宋_GB2312" w:eastAsia="仿宋_GB2312" w:cs="仿宋_GB2312"/>
                <w:sz w:val="20"/>
                <w:szCs w:val="20"/>
              </w:rPr>
            </w:pPr>
          </w:p>
        </w:tc>
        <w:tc>
          <w:tcPr>
            <w:tcW w:w="615" w:type="dxa"/>
            <w:vAlign w:val="center"/>
          </w:tcPr>
          <w:p w14:paraId="7CA248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E4004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E2A6D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修订））第三十九条：古生物化石收藏单位未按照规定建立本单位收藏的古生物化石档案的，由县级以上人民政府自然资源主管部门责令限期改正；逾期不改正的，没收有关古生物化石，并处2万元的罚款。</w:t>
            </w:r>
          </w:p>
        </w:tc>
        <w:tc>
          <w:tcPr>
            <w:tcW w:w="3585" w:type="dxa"/>
            <w:vAlign w:val="center"/>
          </w:tcPr>
          <w:p w14:paraId="5FC054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A865F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5616C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BD4BA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D7246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BBC46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BAE87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F3F3A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C4B9F7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BA5AEE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C449B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B7108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C1CC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1EEDE2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FA02D9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8281A4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5018B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C9DBD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5B138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3416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CD6DD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98BE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1C283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704F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1FF1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90853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2029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4E6E6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21781A1">
            <w:pPr>
              <w:snapToGrid w:val="0"/>
              <w:spacing w:line="240" w:lineRule="atLeast"/>
              <w:jc w:val="center"/>
              <w:rPr>
                <w:rFonts w:ascii="仿宋_GB2312" w:hAnsi="仿宋_GB2312" w:eastAsia="仿宋_GB2312" w:cs="仿宋_GB2312"/>
                <w:sz w:val="20"/>
                <w:szCs w:val="20"/>
              </w:rPr>
            </w:pPr>
          </w:p>
        </w:tc>
      </w:tr>
    </w:tbl>
    <w:p w14:paraId="10A54855"/>
    <w:p w14:paraId="506DFABB"/>
    <w:p w14:paraId="4B71732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4D9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91BC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2F85D46">
            <w:pPr>
              <w:spacing w:line="240" w:lineRule="atLeast"/>
              <w:rPr>
                <w:rFonts w:asciiTheme="majorEastAsia" w:hAnsiTheme="majorEastAsia" w:eastAsiaTheme="majorEastAsia" w:cstheme="majorEastAsia"/>
                <w:spacing w:val="-20"/>
                <w:sz w:val="20"/>
                <w:szCs w:val="20"/>
              </w:rPr>
            </w:pPr>
          </w:p>
          <w:p w14:paraId="1E589F7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58619C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68B19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98D3D0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21C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1DD1B6A">
            <w:pPr>
              <w:spacing w:line="240" w:lineRule="atLeast"/>
              <w:jc w:val="left"/>
              <w:rPr>
                <w:rFonts w:ascii="仿宋_GB2312" w:hAnsi="仿宋_GB2312" w:eastAsia="仿宋_GB2312" w:cs="仿宋_GB2312"/>
                <w:sz w:val="20"/>
                <w:szCs w:val="20"/>
              </w:rPr>
            </w:pPr>
          </w:p>
        </w:tc>
        <w:tc>
          <w:tcPr>
            <w:tcW w:w="555" w:type="dxa"/>
            <w:vMerge w:val="continue"/>
          </w:tcPr>
          <w:p w14:paraId="1FD64873">
            <w:pPr>
              <w:spacing w:line="240" w:lineRule="atLeast"/>
              <w:jc w:val="left"/>
              <w:rPr>
                <w:rFonts w:ascii="仿宋_GB2312" w:hAnsi="仿宋_GB2312" w:eastAsia="仿宋_GB2312" w:cs="仿宋_GB2312"/>
                <w:sz w:val="20"/>
                <w:szCs w:val="20"/>
              </w:rPr>
            </w:pPr>
          </w:p>
        </w:tc>
        <w:tc>
          <w:tcPr>
            <w:tcW w:w="784" w:type="dxa"/>
            <w:vAlign w:val="center"/>
          </w:tcPr>
          <w:p w14:paraId="7FF3AD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5173B0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BEF40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F0C0E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143863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F79DC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55E24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2181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B81C05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FE5EDB4">
            <w:pPr>
              <w:spacing w:line="240" w:lineRule="atLeast"/>
              <w:jc w:val="left"/>
              <w:rPr>
                <w:rFonts w:ascii="仿宋_GB2312" w:hAnsi="仿宋_GB2312" w:eastAsia="仿宋_GB2312" w:cs="仿宋_GB2312"/>
                <w:sz w:val="20"/>
                <w:szCs w:val="20"/>
              </w:rPr>
            </w:pPr>
          </w:p>
        </w:tc>
      </w:tr>
      <w:tr w14:paraId="4689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630AA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112</w:t>
            </w:r>
          </w:p>
        </w:tc>
        <w:tc>
          <w:tcPr>
            <w:tcW w:w="555" w:type="dxa"/>
            <w:vAlign w:val="center"/>
          </w:tcPr>
          <w:p w14:paraId="291894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7FF5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46D0F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04B681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对国有收藏单位将其收藏的重点保护古生物化石违法转让、交换、赠与给非国有收藏单位或者个人行为的处罚</w:t>
            </w:r>
          </w:p>
        </w:tc>
        <w:tc>
          <w:tcPr>
            <w:tcW w:w="660" w:type="dxa"/>
            <w:vAlign w:val="center"/>
          </w:tcPr>
          <w:p w14:paraId="52283FD5">
            <w:pPr>
              <w:snapToGrid w:val="0"/>
              <w:spacing w:line="240" w:lineRule="atLeast"/>
              <w:jc w:val="center"/>
              <w:rPr>
                <w:rFonts w:ascii="仿宋_GB2312" w:hAnsi="仿宋_GB2312" w:eastAsia="仿宋_GB2312" w:cs="仿宋_GB2312"/>
                <w:sz w:val="20"/>
                <w:szCs w:val="20"/>
              </w:rPr>
            </w:pPr>
          </w:p>
        </w:tc>
        <w:tc>
          <w:tcPr>
            <w:tcW w:w="615" w:type="dxa"/>
            <w:vAlign w:val="center"/>
          </w:tcPr>
          <w:p w14:paraId="432508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24C0C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D40CC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四十一条：国有收藏单位将其收藏的重点保护古生物化石违法转让、交换、赠与给非国有收藏单位或者个人的，由县级以上人民政府自然资源主管部门对国有收藏单位处20万元以上50万元以下的罚款，对直接负责的主管人员和其他直接责任人员依法给予处分；构成犯罪的，依法追究刑事责任。</w:t>
            </w:r>
          </w:p>
          <w:p w14:paraId="36C38E6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五条：国有收藏单位将其收藏的重点保护古生物化石违法转让、交换、赠与给非国有收藏单位或者个人的，由县级以上人民政府自然资源主管部门责令限期改正；逾期不改正的，涉及三级重点保护古生物化石的，对国有收藏单位处20万元以上30万元以下罚款；涉及二级重点保护古生物化石的，对国有收藏单位处30万元以上40万元以下罚款；涉及一级重点保护古生物化石的，对国有收藏单位处40万元以上50万元以下罚款，对直接负责的主管人员和其他直接责任人员依法给予处分；构成犯罪的，依法追究刑事责任。</w:t>
            </w:r>
          </w:p>
        </w:tc>
        <w:tc>
          <w:tcPr>
            <w:tcW w:w="3585" w:type="dxa"/>
            <w:vAlign w:val="center"/>
          </w:tcPr>
          <w:p w14:paraId="43CA09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3529E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39BE8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46B1B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102C5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1C7DF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691FD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D8190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F095E8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A08069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3654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80B7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7FEC6B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69A43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27CBEC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F106B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7824C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D9B1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8DE7D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B3F3B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C9233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4F32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B33C7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25E3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B9A5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D15FD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F6AB0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CA06C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A909B8F">
            <w:pPr>
              <w:snapToGrid w:val="0"/>
              <w:spacing w:line="240" w:lineRule="atLeast"/>
              <w:jc w:val="center"/>
              <w:rPr>
                <w:rFonts w:ascii="仿宋_GB2312" w:hAnsi="仿宋_GB2312" w:eastAsia="仿宋_GB2312" w:cs="仿宋_GB2312"/>
                <w:sz w:val="20"/>
                <w:szCs w:val="20"/>
              </w:rPr>
            </w:pPr>
          </w:p>
        </w:tc>
      </w:tr>
    </w:tbl>
    <w:p w14:paraId="64D21B99"/>
    <w:p w14:paraId="5CF1DC1A"/>
    <w:p w14:paraId="7483681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D3D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70382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C8F18BD">
            <w:pPr>
              <w:spacing w:line="240" w:lineRule="atLeast"/>
              <w:rPr>
                <w:rFonts w:asciiTheme="majorEastAsia" w:hAnsiTheme="majorEastAsia" w:eastAsiaTheme="majorEastAsia" w:cstheme="majorEastAsia"/>
                <w:spacing w:val="-20"/>
                <w:sz w:val="20"/>
                <w:szCs w:val="20"/>
              </w:rPr>
            </w:pPr>
          </w:p>
          <w:p w14:paraId="4AEB7C0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7A4EF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30696A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7E0DC5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2CC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D08EB08">
            <w:pPr>
              <w:spacing w:line="240" w:lineRule="atLeast"/>
              <w:jc w:val="left"/>
              <w:rPr>
                <w:rFonts w:ascii="仿宋_GB2312" w:hAnsi="仿宋_GB2312" w:eastAsia="仿宋_GB2312" w:cs="仿宋_GB2312"/>
                <w:sz w:val="20"/>
                <w:szCs w:val="20"/>
              </w:rPr>
            </w:pPr>
          </w:p>
        </w:tc>
        <w:tc>
          <w:tcPr>
            <w:tcW w:w="555" w:type="dxa"/>
            <w:vMerge w:val="continue"/>
          </w:tcPr>
          <w:p w14:paraId="1C91CDDF">
            <w:pPr>
              <w:spacing w:line="240" w:lineRule="atLeast"/>
              <w:jc w:val="left"/>
              <w:rPr>
                <w:rFonts w:ascii="仿宋_GB2312" w:hAnsi="仿宋_GB2312" w:eastAsia="仿宋_GB2312" w:cs="仿宋_GB2312"/>
                <w:sz w:val="20"/>
                <w:szCs w:val="20"/>
              </w:rPr>
            </w:pPr>
          </w:p>
        </w:tc>
        <w:tc>
          <w:tcPr>
            <w:tcW w:w="784" w:type="dxa"/>
            <w:vAlign w:val="center"/>
          </w:tcPr>
          <w:p w14:paraId="0DD5472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B5E9DB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E4A8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963C3A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AE3D05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21B9F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5DE52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D3C48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B2DB46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E3E46D">
            <w:pPr>
              <w:spacing w:line="240" w:lineRule="atLeast"/>
              <w:jc w:val="left"/>
              <w:rPr>
                <w:rFonts w:ascii="仿宋_GB2312" w:hAnsi="仿宋_GB2312" w:eastAsia="仿宋_GB2312" w:cs="仿宋_GB2312"/>
                <w:sz w:val="20"/>
                <w:szCs w:val="20"/>
              </w:rPr>
            </w:pPr>
          </w:p>
        </w:tc>
      </w:tr>
      <w:tr w14:paraId="3091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8043E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113</w:t>
            </w:r>
          </w:p>
        </w:tc>
        <w:tc>
          <w:tcPr>
            <w:tcW w:w="555" w:type="dxa"/>
            <w:vAlign w:val="center"/>
          </w:tcPr>
          <w:p w14:paraId="7A9B36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D28A7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3F068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7B6E86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对单位或者个人将其收藏的重点保护古生物化石转让、交换、赠与、质押给外国人或者外国组织行为的处罚</w:t>
            </w:r>
          </w:p>
        </w:tc>
        <w:tc>
          <w:tcPr>
            <w:tcW w:w="660" w:type="dxa"/>
            <w:vAlign w:val="center"/>
          </w:tcPr>
          <w:p w14:paraId="333EC4D8">
            <w:pPr>
              <w:snapToGrid w:val="0"/>
              <w:spacing w:line="240" w:lineRule="atLeast"/>
              <w:jc w:val="center"/>
              <w:rPr>
                <w:rFonts w:ascii="仿宋_GB2312" w:hAnsi="仿宋_GB2312" w:eastAsia="仿宋_GB2312" w:cs="仿宋_GB2312"/>
                <w:sz w:val="20"/>
                <w:szCs w:val="20"/>
              </w:rPr>
            </w:pPr>
          </w:p>
        </w:tc>
        <w:tc>
          <w:tcPr>
            <w:tcW w:w="615" w:type="dxa"/>
            <w:vAlign w:val="center"/>
          </w:tcPr>
          <w:p w14:paraId="71B511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457CD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2D15D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四十二条：单位或者个人将其收藏的重点保护古生物化石转让、交换、赠与、质押给外国人或者外国组织的，由县级以上人民政府自然资源主管部门责令限期追回，对个人处2万元以上10万元以下的罚款，对单位处10万元以上50万元以下的罚款;有违法所得的，没收违法所得;构成犯罪的，依法追究刑事责任。</w:t>
            </w:r>
          </w:p>
          <w:p w14:paraId="78339A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六条：单位或者个人将其收藏的重点保护古生物化石转让、交换、赠与、质押给外国人或者外国组织的，由县级以上人民政府自然资源主管部门责令限期追回，涉及三级重点保护古生物化石的，对单位处10万元以上30万元以下罚款，对个人处2万元以上3万元以下罚款；涉及二级重点保护古生物化石的，对单位处30万元以上40万元以下罚款，对个人处3万元以上5万元以下罚款；涉及一级重点保护古生物化石的，对单位处40万元以上50万元以下罚款，对个人处5万元以上10万元以下罚款；有违法所得的，没收违法所得；构成犯罪的，依法追究刑事责任。</w:t>
            </w:r>
          </w:p>
        </w:tc>
        <w:tc>
          <w:tcPr>
            <w:tcW w:w="3585" w:type="dxa"/>
            <w:vAlign w:val="center"/>
          </w:tcPr>
          <w:p w14:paraId="14C8F7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75D4B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E64EA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EA317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5E3A9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96DDE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14A6B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DB6DB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A1DF5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E790C5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4FEEA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2260F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2B995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94CD4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02CE2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9C4D0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68D2E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CFF7B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14AF7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37945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7EB55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CCF64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073D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8723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C6423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77861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D5FEA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A76D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BD45493">
            <w:pPr>
              <w:snapToGrid w:val="0"/>
              <w:spacing w:line="240" w:lineRule="atLeast"/>
              <w:jc w:val="center"/>
              <w:rPr>
                <w:rFonts w:ascii="仿宋_GB2312" w:hAnsi="仿宋_GB2312" w:eastAsia="仿宋_GB2312" w:cs="仿宋_GB2312"/>
                <w:sz w:val="20"/>
                <w:szCs w:val="20"/>
              </w:rPr>
            </w:pPr>
          </w:p>
        </w:tc>
      </w:tr>
    </w:tbl>
    <w:p w14:paraId="0657B6DF"/>
    <w:p w14:paraId="3673E5FB"/>
    <w:p w14:paraId="14E42CC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62E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F7D70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A5BA25">
            <w:pPr>
              <w:spacing w:line="240" w:lineRule="atLeast"/>
              <w:rPr>
                <w:rFonts w:asciiTheme="majorEastAsia" w:hAnsiTheme="majorEastAsia" w:eastAsiaTheme="majorEastAsia" w:cstheme="majorEastAsia"/>
                <w:spacing w:val="-20"/>
                <w:sz w:val="20"/>
                <w:szCs w:val="20"/>
              </w:rPr>
            </w:pPr>
          </w:p>
          <w:p w14:paraId="52974CE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BA971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AA8DD2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1376DE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D67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A11411">
            <w:pPr>
              <w:spacing w:line="240" w:lineRule="atLeast"/>
              <w:jc w:val="left"/>
              <w:rPr>
                <w:rFonts w:ascii="仿宋_GB2312" w:hAnsi="仿宋_GB2312" w:eastAsia="仿宋_GB2312" w:cs="仿宋_GB2312"/>
                <w:sz w:val="20"/>
                <w:szCs w:val="20"/>
              </w:rPr>
            </w:pPr>
          </w:p>
        </w:tc>
        <w:tc>
          <w:tcPr>
            <w:tcW w:w="555" w:type="dxa"/>
            <w:vMerge w:val="continue"/>
          </w:tcPr>
          <w:p w14:paraId="07EA5E13">
            <w:pPr>
              <w:spacing w:line="240" w:lineRule="atLeast"/>
              <w:jc w:val="left"/>
              <w:rPr>
                <w:rFonts w:ascii="仿宋_GB2312" w:hAnsi="仿宋_GB2312" w:eastAsia="仿宋_GB2312" w:cs="仿宋_GB2312"/>
                <w:sz w:val="20"/>
                <w:szCs w:val="20"/>
              </w:rPr>
            </w:pPr>
          </w:p>
        </w:tc>
        <w:tc>
          <w:tcPr>
            <w:tcW w:w="784" w:type="dxa"/>
            <w:vAlign w:val="center"/>
          </w:tcPr>
          <w:p w14:paraId="3657BB6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C39307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91153F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1EF3C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BC03D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18FA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CC61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2191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41CE65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E2E3905">
            <w:pPr>
              <w:spacing w:line="240" w:lineRule="atLeast"/>
              <w:jc w:val="left"/>
              <w:rPr>
                <w:rFonts w:ascii="仿宋_GB2312" w:hAnsi="仿宋_GB2312" w:eastAsia="仿宋_GB2312" w:cs="仿宋_GB2312"/>
                <w:sz w:val="20"/>
                <w:szCs w:val="20"/>
              </w:rPr>
            </w:pPr>
          </w:p>
        </w:tc>
      </w:tr>
      <w:tr w14:paraId="02E0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AE8F4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114</w:t>
            </w:r>
          </w:p>
        </w:tc>
        <w:tc>
          <w:tcPr>
            <w:tcW w:w="555" w:type="dxa"/>
            <w:vAlign w:val="center"/>
          </w:tcPr>
          <w:p w14:paraId="0DF830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974C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959FF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CF1BD4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对有关单位和工作人员利用职务上的便利，将国有古生物化石非法占为己有的，有违法所得行为的处罚</w:t>
            </w:r>
          </w:p>
        </w:tc>
        <w:tc>
          <w:tcPr>
            <w:tcW w:w="660" w:type="dxa"/>
            <w:vAlign w:val="center"/>
          </w:tcPr>
          <w:p w14:paraId="192DDF06">
            <w:pPr>
              <w:snapToGrid w:val="0"/>
              <w:spacing w:line="240" w:lineRule="atLeast"/>
              <w:jc w:val="center"/>
              <w:rPr>
                <w:rFonts w:ascii="仿宋_GB2312" w:hAnsi="仿宋_GB2312" w:eastAsia="仿宋_GB2312" w:cs="仿宋_GB2312"/>
                <w:sz w:val="20"/>
                <w:szCs w:val="20"/>
              </w:rPr>
            </w:pPr>
          </w:p>
        </w:tc>
        <w:tc>
          <w:tcPr>
            <w:tcW w:w="615" w:type="dxa"/>
            <w:vAlign w:val="center"/>
          </w:tcPr>
          <w:p w14:paraId="2A90FA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78F53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FEBB28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修订））第四十四条：县级以上人民政府自然资源主管部门、其他有关部门的工作人员，或者国有的博物馆、科学研究单位、高等院校、其他收藏单位以及发掘单位的工作人员，利用职务上的便利，将国有古生物化石非法占为己有的，依法给予处分，由县级以上人民政府自然资源主管部门追回非法占有的古生物化石；有违法所得的，没收违法所得；构成犯罪的，依法追究刑事责任。</w:t>
            </w:r>
          </w:p>
        </w:tc>
        <w:tc>
          <w:tcPr>
            <w:tcW w:w="3585" w:type="dxa"/>
            <w:vAlign w:val="center"/>
          </w:tcPr>
          <w:p w14:paraId="3B4F17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20D29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B9243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7C6B5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6D2B8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AF2FB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E8A7D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1DEEA8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383E42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D1DC5F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83A76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5E811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AC2649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F6FFA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8EF19A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9AF732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C726C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F290E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11845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EFB48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0337D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06D3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AB3C0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022DC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DFA3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F5C6B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15C3F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5FF9D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A7AC199">
            <w:pPr>
              <w:snapToGrid w:val="0"/>
              <w:spacing w:line="240" w:lineRule="atLeast"/>
              <w:jc w:val="center"/>
              <w:rPr>
                <w:rFonts w:ascii="仿宋_GB2312" w:hAnsi="仿宋_GB2312" w:eastAsia="仿宋_GB2312" w:cs="仿宋_GB2312"/>
                <w:sz w:val="20"/>
                <w:szCs w:val="20"/>
              </w:rPr>
            </w:pPr>
          </w:p>
        </w:tc>
      </w:tr>
    </w:tbl>
    <w:p w14:paraId="73BA1F6C"/>
    <w:p w14:paraId="6C9EDBCF"/>
    <w:p w14:paraId="1B28717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13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0E7746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296C8DB">
            <w:pPr>
              <w:spacing w:line="240" w:lineRule="atLeast"/>
              <w:rPr>
                <w:rFonts w:asciiTheme="majorEastAsia" w:hAnsiTheme="majorEastAsia" w:eastAsiaTheme="majorEastAsia" w:cstheme="majorEastAsia"/>
                <w:spacing w:val="-20"/>
                <w:sz w:val="20"/>
                <w:szCs w:val="20"/>
              </w:rPr>
            </w:pPr>
          </w:p>
          <w:p w14:paraId="6F5E647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7EFF4E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B530CF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E4C1C3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AD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B3BF2D6">
            <w:pPr>
              <w:spacing w:line="240" w:lineRule="atLeast"/>
              <w:jc w:val="left"/>
              <w:rPr>
                <w:rFonts w:ascii="仿宋_GB2312" w:hAnsi="仿宋_GB2312" w:eastAsia="仿宋_GB2312" w:cs="仿宋_GB2312"/>
                <w:sz w:val="20"/>
                <w:szCs w:val="20"/>
              </w:rPr>
            </w:pPr>
          </w:p>
        </w:tc>
        <w:tc>
          <w:tcPr>
            <w:tcW w:w="555" w:type="dxa"/>
            <w:vMerge w:val="continue"/>
          </w:tcPr>
          <w:p w14:paraId="41393EF7">
            <w:pPr>
              <w:spacing w:line="240" w:lineRule="atLeast"/>
              <w:jc w:val="left"/>
              <w:rPr>
                <w:rFonts w:ascii="仿宋_GB2312" w:hAnsi="仿宋_GB2312" w:eastAsia="仿宋_GB2312" w:cs="仿宋_GB2312"/>
                <w:sz w:val="20"/>
                <w:szCs w:val="20"/>
              </w:rPr>
            </w:pPr>
          </w:p>
        </w:tc>
        <w:tc>
          <w:tcPr>
            <w:tcW w:w="784" w:type="dxa"/>
            <w:vAlign w:val="center"/>
          </w:tcPr>
          <w:p w14:paraId="21B6DF4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35E0E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574563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7AAB41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11A00C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7FF07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F0C697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6479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ABD9C2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C6A7F2F">
            <w:pPr>
              <w:spacing w:line="240" w:lineRule="atLeast"/>
              <w:jc w:val="left"/>
              <w:rPr>
                <w:rFonts w:ascii="仿宋_GB2312" w:hAnsi="仿宋_GB2312" w:eastAsia="仿宋_GB2312" w:cs="仿宋_GB2312"/>
                <w:sz w:val="20"/>
                <w:szCs w:val="20"/>
              </w:rPr>
            </w:pPr>
          </w:p>
        </w:tc>
      </w:tr>
      <w:tr w14:paraId="6A16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95961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115</w:t>
            </w:r>
          </w:p>
        </w:tc>
        <w:tc>
          <w:tcPr>
            <w:tcW w:w="555" w:type="dxa"/>
            <w:vAlign w:val="center"/>
          </w:tcPr>
          <w:p w14:paraId="303458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2A22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20C57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FEEA41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对单位或者个人违反《古生物化石保护条例实施办法》的规定，收藏违法获得或者不能证明合法来源的重点保护古生物化石行为的处罚</w:t>
            </w:r>
          </w:p>
        </w:tc>
        <w:tc>
          <w:tcPr>
            <w:tcW w:w="660" w:type="dxa"/>
            <w:vAlign w:val="center"/>
          </w:tcPr>
          <w:p w14:paraId="7DF22DC1">
            <w:pPr>
              <w:snapToGrid w:val="0"/>
              <w:spacing w:line="240" w:lineRule="atLeast"/>
              <w:jc w:val="center"/>
              <w:rPr>
                <w:rFonts w:ascii="仿宋_GB2312" w:hAnsi="仿宋_GB2312" w:eastAsia="仿宋_GB2312" w:cs="仿宋_GB2312"/>
                <w:sz w:val="20"/>
                <w:szCs w:val="20"/>
              </w:rPr>
            </w:pPr>
          </w:p>
        </w:tc>
        <w:tc>
          <w:tcPr>
            <w:tcW w:w="615" w:type="dxa"/>
            <w:vAlign w:val="center"/>
          </w:tcPr>
          <w:p w14:paraId="77F373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7C14F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EF1B1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古生物化石保护条例实施办法》（2012年国土资源部令第57号公布，2019年自然资源部令第5号修正）第五十四条：单位或者个人违反本办法的规定，收藏违法获得或者不能证明合法来源的重点保护古生物化石的，由县级以上人民政府自然资源主管部门依法没收有关古生物化石，并处3万元以下罚款。</w:t>
            </w:r>
          </w:p>
        </w:tc>
        <w:tc>
          <w:tcPr>
            <w:tcW w:w="3585" w:type="dxa"/>
            <w:vAlign w:val="center"/>
          </w:tcPr>
          <w:p w14:paraId="325F52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A6556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C98B5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968FA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B225E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AD9EB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FB5218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242E7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7F93D4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0B5C6C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CBE00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E8A20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05D5CA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FA26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DB0A0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49F1A7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461A1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F977A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90AA6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1EDD5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6E36B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B4C02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33268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66E0D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3CAF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344A0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E884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62FA61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47046AF">
            <w:pPr>
              <w:snapToGrid w:val="0"/>
              <w:spacing w:line="240" w:lineRule="atLeast"/>
              <w:jc w:val="center"/>
              <w:rPr>
                <w:rFonts w:ascii="仿宋_GB2312" w:hAnsi="仿宋_GB2312" w:eastAsia="仿宋_GB2312" w:cs="仿宋_GB2312"/>
                <w:sz w:val="20"/>
                <w:szCs w:val="20"/>
              </w:rPr>
            </w:pPr>
          </w:p>
        </w:tc>
      </w:tr>
    </w:tbl>
    <w:p w14:paraId="1115EE1F"/>
    <w:p w14:paraId="5B6309B1"/>
    <w:p w14:paraId="7621B04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C2A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C98020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0CC1A59">
            <w:pPr>
              <w:spacing w:line="240" w:lineRule="atLeast"/>
              <w:rPr>
                <w:rFonts w:asciiTheme="majorEastAsia" w:hAnsiTheme="majorEastAsia" w:eastAsiaTheme="majorEastAsia" w:cstheme="majorEastAsia"/>
                <w:spacing w:val="-20"/>
                <w:sz w:val="20"/>
                <w:szCs w:val="20"/>
              </w:rPr>
            </w:pPr>
          </w:p>
          <w:p w14:paraId="4E07140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D308F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8333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C869F5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28E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9EEF15">
            <w:pPr>
              <w:spacing w:line="240" w:lineRule="atLeast"/>
              <w:jc w:val="left"/>
              <w:rPr>
                <w:rFonts w:ascii="仿宋_GB2312" w:hAnsi="仿宋_GB2312" w:eastAsia="仿宋_GB2312" w:cs="仿宋_GB2312"/>
                <w:sz w:val="20"/>
                <w:szCs w:val="20"/>
              </w:rPr>
            </w:pPr>
          </w:p>
        </w:tc>
        <w:tc>
          <w:tcPr>
            <w:tcW w:w="555" w:type="dxa"/>
            <w:vMerge w:val="continue"/>
          </w:tcPr>
          <w:p w14:paraId="42E12F24">
            <w:pPr>
              <w:spacing w:line="240" w:lineRule="atLeast"/>
              <w:jc w:val="left"/>
              <w:rPr>
                <w:rFonts w:ascii="仿宋_GB2312" w:hAnsi="仿宋_GB2312" w:eastAsia="仿宋_GB2312" w:cs="仿宋_GB2312"/>
                <w:sz w:val="20"/>
                <w:szCs w:val="20"/>
              </w:rPr>
            </w:pPr>
          </w:p>
        </w:tc>
        <w:tc>
          <w:tcPr>
            <w:tcW w:w="784" w:type="dxa"/>
            <w:vAlign w:val="center"/>
          </w:tcPr>
          <w:p w14:paraId="553FFB6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A263D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64F6B0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F78C5D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7045E4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160B2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716D1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17205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2EE500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3B14CB6">
            <w:pPr>
              <w:spacing w:line="240" w:lineRule="atLeast"/>
              <w:jc w:val="left"/>
              <w:rPr>
                <w:rFonts w:ascii="仿宋_GB2312" w:hAnsi="仿宋_GB2312" w:eastAsia="仿宋_GB2312" w:cs="仿宋_GB2312"/>
                <w:sz w:val="20"/>
                <w:szCs w:val="20"/>
              </w:rPr>
            </w:pPr>
          </w:p>
        </w:tc>
      </w:tr>
      <w:tr w14:paraId="4485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A62A6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116</w:t>
            </w:r>
          </w:p>
        </w:tc>
        <w:tc>
          <w:tcPr>
            <w:tcW w:w="555" w:type="dxa"/>
            <w:vAlign w:val="center"/>
          </w:tcPr>
          <w:p w14:paraId="11443D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5B30C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A11EE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3A3A0C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对单位或者个人在生产、建设活动中发现古生物化石不报告行为的处罚</w:t>
            </w:r>
          </w:p>
        </w:tc>
        <w:tc>
          <w:tcPr>
            <w:tcW w:w="660" w:type="dxa"/>
            <w:vAlign w:val="center"/>
          </w:tcPr>
          <w:p w14:paraId="06EAAFD5">
            <w:pPr>
              <w:snapToGrid w:val="0"/>
              <w:spacing w:line="240" w:lineRule="atLeast"/>
              <w:jc w:val="center"/>
              <w:rPr>
                <w:rFonts w:ascii="仿宋_GB2312" w:hAnsi="仿宋_GB2312" w:eastAsia="仿宋_GB2312" w:cs="仿宋_GB2312"/>
                <w:sz w:val="20"/>
                <w:szCs w:val="20"/>
              </w:rPr>
            </w:pPr>
          </w:p>
        </w:tc>
        <w:tc>
          <w:tcPr>
            <w:tcW w:w="615" w:type="dxa"/>
            <w:vAlign w:val="center"/>
          </w:tcPr>
          <w:p w14:paraId="45C0BF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DB5BA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E50B8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古生物化石保护条例实施办法》（2012年国土资源部令第57号公布，2019年自然资源部令第5号修正）第五十一条：单位或者个人在生产、建设活动中发现古生物化石不报告的，由县级以上人民政府自然资源主管部门对建设工程实施单位处1万元以下罚款；造成古生物化石损毁的，依法承担相应的法律责任。</w:t>
            </w:r>
          </w:p>
        </w:tc>
        <w:tc>
          <w:tcPr>
            <w:tcW w:w="3585" w:type="dxa"/>
            <w:vAlign w:val="center"/>
          </w:tcPr>
          <w:p w14:paraId="103C80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D3C2B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A6DB1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229F3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19D42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12694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71A8D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13CBAB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CDF10B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6A4ED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0BE0C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7C38D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4F42B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9DB9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C2B6B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3E5653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9B442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D1BEC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7EDA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B94D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BCF82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F453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55B29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0F62E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CA217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15CE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114E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A319A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F79D65">
            <w:pPr>
              <w:snapToGrid w:val="0"/>
              <w:spacing w:line="240" w:lineRule="atLeast"/>
              <w:jc w:val="center"/>
              <w:rPr>
                <w:rFonts w:ascii="仿宋_GB2312" w:hAnsi="仿宋_GB2312" w:eastAsia="仿宋_GB2312" w:cs="仿宋_GB2312"/>
                <w:sz w:val="20"/>
                <w:szCs w:val="20"/>
              </w:rPr>
            </w:pPr>
          </w:p>
        </w:tc>
      </w:tr>
    </w:tbl>
    <w:p w14:paraId="0E3A8B34"/>
    <w:p w14:paraId="0285A5E2"/>
    <w:p w14:paraId="28C5746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C6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C9DDA3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E432370">
            <w:pPr>
              <w:spacing w:line="240" w:lineRule="atLeast"/>
              <w:rPr>
                <w:rFonts w:asciiTheme="majorEastAsia" w:hAnsiTheme="majorEastAsia" w:eastAsiaTheme="majorEastAsia" w:cstheme="majorEastAsia"/>
                <w:spacing w:val="-20"/>
                <w:sz w:val="20"/>
                <w:szCs w:val="20"/>
              </w:rPr>
            </w:pPr>
          </w:p>
          <w:p w14:paraId="40C4C6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69FD6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3FEE7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567B2F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296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D12DAF2">
            <w:pPr>
              <w:spacing w:line="240" w:lineRule="atLeast"/>
              <w:jc w:val="left"/>
              <w:rPr>
                <w:rFonts w:ascii="仿宋_GB2312" w:hAnsi="仿宋_GB2312" w:eastAsia="仿宋_GB2312" w:cs="仿宋_GB2312"/>
                <w:sz w:val="20"/>
                <w:szCs w:val="20"/>
              </w:rPr>
            </w:pPr>
          </w:p>
        </w:tc>
        <w:tc>
          <w:tcPr>
            <w:tcW w:w="555" w:type="dxa"/>
            <w:vMerge w:val="continue"/>
          </w:tcPr>
          <w:p w14:paraId="0837FE8C">
            <w:pPr>
              <w:spacing w:line="240" w:lineRule="atLeast"/>
              <w:jc w:val="left"/>
              <w:rPr>
                <w:rFonts w:ascii="仿宋_GB2312" w:hAnsi="仿宋_GB2312" w:eastAsia="仿宋_GB2312" w:cs="仿宋_GB2312"/>
                <w:sz w:val="20"/>
                <w:szCs w:val="20"/>
              </w:rPr>
            </w:pPr>
          </w:p>
        </w:tc>
        <w:tc>
          <w:tcPr>
            <w:tcW w:w="784" w:type="dxa"/>
            <w:vAlign w:val="center"/>
          </w:tcPr>
          <w:p w14:paraId="7B8C0DA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5FCA99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82C104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5425DF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1BA6D8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17FCE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33DFB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959E8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44FE1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607991C">
            <w:pPr>
              <w:spacing w:line="240" w:lineRule="atLeast"/>
              <w:jc w:val="left"/>
              <w:rPr>
                <w:rFonts w:ascii="仿宋_GB2312" w:hAnsi="仿宋_GB2312" w:eastAsia="仿宋_GB2312" w:cs="仿宋_GB2312"/>
                <w:sz w:val="20"/>
                <w:szCs w:val="20"/>
              </w:rPr>
            </w:pPr>
          </w:p>
        </w:tc>
      </w:tr>
      <w:tr w14:paraId="41D2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0A8E1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117</w:t>
            </w:r>
          </w:p>
        </w:tc>
        <w:tc>
          <w:tcPr>
            <w:tcW w:w="555" w:type="dxa"/>
            <w:vAlign w:val="center"/>
          </w:tcPr>
          <w:p w14:paraId="1F5EB2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0A4D8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34EC7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17F071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对矿山企业未达到经依法审查确定的开采回采率、采矿贫化率、选矿回收率、矿山水循环利用率和土地复垦等指标行为的处罚</w:t>
            </w:r>
          </w:p>
        </w:tc>
        <w:tc>
          <w:tcPr>
            <w:tcW w:w="660" w:type="dxa"/>
            <w:vAlign w:val="center"/>
          </w:tcPr>
          <w:p w14:paraId="052A82DD">
            <w:pPr>
              <w:snapToGrid w:val="0"/>
              <w:spacing w:line="240" w:lineRule="atLeast"/>
              <w:jc w:val="center"/>
              <w:rPr>
                <w:rFonts w:ascii="仿宋_GB2312" w:hAnsi="仿宋_GB2312" w:eastAsia="仿宋_GB2312" w:cs="仿宋_GB2312"/>
                <w:sz w:val="20"/>
                <w:szCs w:val="20"/>
              </w:rPr>
            </w:pPr>
          </w:p>
        </w:tc>
        <w:tc>
          <w:tcPr>
            <w:tcW w:w="615" w:type="dxa"/>
            <w:vAlign w:val="center"/>
          </w:tcPr>
          <w:p w14:paraId="2C3CBB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AA273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7CB87E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循环经济促进法》第五十三条：违反本法规定，矿山企业未达到经依法审查确定的开采回采率、采矿贫化率、选矿回收率、矿山水循环利用率和土地复垦率等指标的，由县级以上人民政府地质矿产主管部门责令限期改正，处五万元以上五十万元以下的罚款；逾期不改正的，由采矿许可证颁发机关依法吊销采矿许可证。</w:t>
            </w:r>
          </w:p>
        </w:tc>
        <w:tc>
          <w:tcPr>
            <w:tcW w:w="3585" w:type="dxa"/>
            <w:vAlign w:val="center"/>
          </w:tcPr>
          <w:p w14:paraId="33846F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2F8993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04C784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85BAA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53BA58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33ECE8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2C8B9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2A9C3B9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46F27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54BB0D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68D7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2EC7D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1C9B6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65D9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8B722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F23637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4D16D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EDA5F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C0197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A5DE7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D7DC9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82563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8542E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A9AEE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3EB4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136C2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55738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CD07B6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4E786B3">
            <w:pPr>
              <w:snapToGrid w:val="0"/>
              <w:spacing w:line="240" w:lineRule="atLeast"/>
              <w:jc w:val="center"/>
              <w:rPr>
                <w:rFonts w:ascii="仿宋_GB2312" w:hAnsi="仿宋_GB2312" w:eastAsia="仿宋_GB2312" w:cs="仿宋_GB2312"/>
                <w:sz w:val="20"/>
                <w:szCs w:val="20"/>
              </w:rPr>
            </w:pPr>
          </w:p>
        </w:tc>
      </w:tr>
    </w:tbl>
    <w:p w14:paraId="053CD707"/>
    <w:p w14:paraId="661E165C"/>
    <w:p w14:paraId="7FB76CF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C89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C60BB5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E17F8D">
            <w:pPr>
              <w:spacing w:line="240" w:lineRule="atLeast"/>
              <w:rPr>
                <w:rFonts w:asciiTheme="majorEastAsia" w:hAnsiTheme="majorEastAsia" w:eastAsiaTheme="majorEastAsia" w:cstheme="majorEastAsia"/>
                <w:spacing w:val="-20"/>
                <w:sz w:val="20"/>
                <w:szCs w:val="20"/>
              </w:rPr>
            </w:pPr>
          </w:p>
          <w:p w14:paraId="6E4FF09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73E555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3F3DD3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31EB3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E0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866200">
            <w:pPr>
              <w:spacing w:line="240" w:lineRule="atLeast"/>
              <w:jc w:val="left"/>
              <w:rPr>
                <w:rFonts w:ascii="仿宋_GB2312" w:hAnsi="仿宋_GB2312" w:eastAsia="仿宋_GB2312" w:cs="仿宋_GB2312"/>
                <w:sz w:val="20"/>
                <w:szCs w:val="20"/>
              </w:rPr>
            </w:pPr>
          </w:p>
        </w:tc>
        <w:tc>
          <w:tcPr>
            <w:tcW w:w="555" w:type="dxa"/>
            <w:vMerge w:val="continue"/>
          </w:tcPr>
          <w:p w14:paraId="794EC10C">
            <w:pPr>
              <w:spacing w:line="240" w:lineRule="atLeast"/>
              <w:jc w:val="left"/>
              <w:rPr>
                <w:rFonts w:ascii="仿宋_GB2312" w:hAnsi="仿宋_GB2312" w:eastAsia="仿宋_GB2312" w:cs="仿宋_GB2312"/>
                <w:sz w:val="20"/>
                <w:szCs w:val="20"/>
              </w:rPr>
            </w:pPr>
          </w:p>
        </w:tc>
        <w:tc>
          <w:tcPr>
            <w:tcW w:w="784" w:type="dxa"/>
            <w:vAlign w:val="center"/>
          </w:tcPr>
          <w:p w14:paraId="4A7EBC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EF5079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8801FA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75C75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C5C7A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CCA86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991FF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6F11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03609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7A190A9">
            <w:pPr>
              <w:spacing w:line="240" w:lineRule="atLeast"/>
              <w:jc w:val="left"/>
              <w:rPr>
                <w:rFonts w:ascii="仿宋_GB2312" w:hAnsi="仿宋_GB2312" w:eastAsia="仿宋_GB2312" w:cs="仿宋_GB2312"/>
                <w:sz w:val="20"/>
                <w:szCs w:val="20"/>
              </w:rPr>
            </w:pPr>
          </w:p>
        </w:tc>
      </w:tr>
      <w:tr w14:paraId="4165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42AC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118</w:t>
            </w:r>
          </w:p>
        </w:tc>
        <w:tc>
          <w:tcPr>
            <w:tcW w:w="555" w:type="dxa"/>
            <w:vAlign w:val="center"/>
          </w:tcPr>
          <w:p w14:paraId="2EADEA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41E61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2E5A8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91B507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对因开采设计、采掘计划的决策错误，开采回采率、</w:t>
            </w:r>
            <w:r>
              <w:rPr>
                <w:rFonts w:hint="eastAsia" w:eastAsia="仿宋_GB2312"/>
                <w:snapToGrid w:val="0"/>
                <w:color w:val="000000"/>
                <w:sz w:val="20"/>
                <w:szCs w:val="20"/>
              </w:rPr>
              <w:t xml:space="preserve"> </w:t>
            </w:r>
            <w:r>
              <w:rPr>
                <w:rFonts w:hint="eastAsia" w:eastAsia="仿宋_GB2312" w:cs="宋体"/>
                <w:snapToGrid w:val="0"/>
                <w:color w:val="000000"/>
                <w:sz w:val="20"/>
                <w:szCs w:val="20"/>
              </w:rPr>
              <w:t>采矿贫化率和选矿回收率长期达不到设计要求，造成资源损失行为的处罚</w:t>
            </w:r>
          </w:p>
        </w:tc>
        <w:tc>
          <w:tcPr>
            <w:tcW w:w="660" w:type="dxa"/>
            <w:vAlign w:val="center"/>
          </w:tcPr>
          <w:p w14:paraId="3D07AAFC">
            <w:pPr>
              <w:snapToGrid w:val="0"/>
              <w:spacing w:line="240" w:lineRule="atLeast"/>
              <w:jc w:val="center"/>
              <w:rPr>
                <w:rFonts w:ascii="仿宋_GB2312" w:hAnsi="仿宋_GB2312" w:eastAsia="仿宋_GB2312" w:cs="仿宋_GB2312"/>
                <w:sz w:val="20"/>
                <w:szCs w:val="20"/>
              </w:rPr>
            </w:pPr>
          </w:p>
        </w:tc>
        <w:tc>
          <w:tcPr>
            <w:tcW w:w="615" w:type="dxa"/>
            <w:vAlign w:val="center"/>
          </w:tcPr>
          <w:p w14:paraId="687523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016D8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8EB60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0C82B8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一、因开采设计、采掘计划的决策错误，造成资源损失的；</w:t>
            </w:r>
          </w:p>
          <w:p w14:paraId="7B21DA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二、开采回采率、采矿贫化率和选矿回收率长期达不到设计要求，造成资源破坏损失的；</w:t>
            </w:r>
          </w:p>
        </w:tc>
        <w:tc>
          <w:tcPr>
            <w:tcW w:w="3585" w:type="dxa"/>
            <w:vAlign w:val="center"/>
          </w:tcPr>
          <w:p w14:paraId="26D5F0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1F7228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69A54D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296A1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3076A4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2232DD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6518A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11D833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59DFFE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211EE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0646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BA18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15C40A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82E6B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E6996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9814A0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475A4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ED17F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2C8A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B8202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4B79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B29C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2A506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ECA02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CDEC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07E3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9AAE8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FF6ED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ECDAC83">
            <w:pPr>
              <w:snapToGrid w:val="0"/>
              <w:spacing w:line="240" w:lineRule="atLeast"/>
              <w:jc w:val="center"/>
              <w:rPr>
                <w:rFonts w:ascii="仿宋_GB2312" w:hAnsi="仿宋_GB2312" w:eastAsia="仿宋_GB2312" w:cs="仿宋_GB2312"/>
                <w:sz w:val="20"/>
                <w:szCs w:val="20"/>
              </w:rPr>
            </w:pPr>
          </w:p>
        </w:tc>
      </w:tr>
    </w:tbl>
    <w:p w14:paraId="531789DA"/>
    <w:p w14:paraId="49B3F8CE"/>
    <w:p w14:paraId="7CDFC026"/>
    <w:p w14:paraId="47095AC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5CD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BF092E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74B3CE6">
            <w:pPr>
              <w:spacing w:line="240" w:lineRule="atLeast"/>
              <w:rPr>
                <w:rFonts w:asciiTheme="majorEastAsia" w:hAnsiTheme="majorEastAsia" w:eastAsiaTheme="majorEastAsia" w:cstheme="majorEastAsia"/>
                <w:spacing w:val="-20"/>
                <w:sz w:val="20"/>
                <w:szCs w:val="20"/>
              </w:rPr>
            </w:pPr>
          </w:p>
          <w:p w14:paraId="429A0A1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5D942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C780D7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F93012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9B1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B306981">
            <w:pPr>
              <w:spacing w:line="240" w:lineRule="atLeast"/>
              <w:jc w:val="left"/>
              <w:rPr>
                <w:rFonts w:ascii="仿宋_GB2312" w:hAnsi="仿宋_GB2312" w:eastAsia="仿宋_GB2312" w:cs="仿宋_GB2312"/>
                <w:sz w:val="20"/>
                <w:szCs w:val="20"/>
              </w:rPr>
            </w:pPr>
          </w:p>
        </w:tc>
        <w:tc>
          <w:tcPr>
            <w:tcW w:w="555" w:type="dxa"/>
            <w:vMerge w:val="continue"/>
          </w:tcPr>
          <w:p w14:paraId="3378278D">
            <w:pPr>
              <w:spacing w:line="240" w:lineRule="atLeast"/>
              <w:jc w:val="left"/>
              <w:rPr>
                <w:rFonts w:ascii="仿宋_GB2312" w:hAnsi="仿宋_GB2312" w:eastAsia="仿宋_GB2312" w:cs="仿宋_GB2312"/>
                <w:sz w:val="20"/>
                <w:szCs w:val="20"/>
              </w:rPr>
            </w:pPr>
          </w:p>
        </w:tc>
        <w:tc>
          <w:tcPr>
            <w:tcW w:w="784" w:type="dxa"/>
            <w:vAlign w:val="center"/>
          </w:tcPr>
          <w:p w14:paraId="2C60C2C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B24CC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DBD720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93B67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3C1017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E9486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915C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EE57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47DE0C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C1514A2">
            <w:pPr>
              <w:spacing w:line="240" w:lineRule="atLeast"/>
              <w:jc w:val="left"/>
              <w:rPr>
                <w:rFonts w:ascii="仿宋_GB2312" w:hAnsi="仿宋_GB2312" w:eastAsia="仿宋_GB2312" w:cs="仿宋_GB2312"/>
                <w:sz w:val="20"/>
                <w:szCs w:val="20"/>
              </w:rPr>
            </w:pPr>
          </w:p>
        </w:tc>
      </w:tr>
      <w:tr w14:paraId="6E4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ED3A0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119</w:t>
            </w:r>
          </w:p>
        </w:tc>
        <w:tc>
          <w:tcPr>
            <w:tcW w:w="555" w:type="dxa"/>
            <w:vAlign w:val="center"/>
          </w:tcPr>
          <w:p w14:paraId="62BA61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26000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E8947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8B6200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对矿山的开拓、采准及采矿工程不按照开采设计进行施工，造成资源破坏损失行为的处罚</w:t>
            </w:r>
          </w:p>
        </w:tc>
        <w:tc>
          <w:tcPr>
            <w:tcW w:w="660" w:type="dxa"/>
            <w:vAlign w:val="center"/>
          </w:tcPr>
          <w:p w14:paraId="4FE83C65">
            <w:pPr>
              <w:snapToGrid w:val="0"/>
              <w:spacing w:line="240" w:lineRule="atLeast"/>
              <w:jc w:val="center"/>
              <w:rPr>
                <w:rFonts w:ascii="仿宋_GB2312" w:hAnsi="仿宋_GB2312" w:eastAsia="仿宋_GB2312" w:cs="仿宋_GB2312"/>
                <w:sz w:val="20"/>
                <w:szCs w:val="20"/>
              </w:rPr>
            </w:pPr>
          </w:p>
        </w:tc>
        <w:tc>
          <w:tcPr>
            <w:tcW w:w="615" w:type="dxa"/>
            <w:vAlign w:val="center"/>
          </w:tcPr>
          <w:p w14:paraId="25A73D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9835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059C8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1C26CA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02B5CE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第十三条：矿山的开拓、采准及采矿工程，必须按照开采设计进行施工。应当建立严格的施工验收制度，防止资源丢失。</w:t>
            </w:r>
          </w:p>
        </w:tc>
        <w:tc>
          <w:tcPr>
            <w:tcW w:w="3585" w:type="dxa"/>
            <w:vAlign w:val="center"/>
          </w:tcPr>
          <w:p w14:paraId="694745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7120DE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021FB7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C36C7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5C488E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449737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8EA53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2F2CC3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47BB25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C028DA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09844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6FC0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149D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EBB9D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8B96A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27DC7A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84994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ACD4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DB2FF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5953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F2E17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46F9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4F9BE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BA12E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A40E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B5286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DDCBF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5D167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FBBE2D0">
            <w:pPr>
              <w:snapToGrid w:val="0"/>
              <w:spacing w:line="240" w:lineRule="atLeast"/>
              <w:jc w:val="center"/>
              <w:rPr>
                <w:rFonts w:ascii="仿宋_GB2312" w:hAnsi="仿宋_GB2312" w:eastAsia="仿宋_GB2312" w:cs="仿宋_GB2312"/>
                <w:sz w:val="20"/>
                <w:szCs w:val="20"/>
              </w:rPr>
            </w:pPr>
          </w:p>
        </w:tc>
      </w:tr>
    </w:tbl>
    <w:p w14:paraId="749BAED9"/>
    <w:p w14:paraId="2C3EA79A"/>
    <w:p w14:paraId="7D0690F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70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29E71E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925CA5">
            <w:pPr>
              <w:spacing w:line="240" w:lineRule="atLeast"/>
              <w:rPr>
                <w:rFonts w:asciiTheme="majorEastAsia" w:hAnsiTheme="majorEastAsia" w:eastAsiaTheme="majorEastAsia" w:cstheme="majorEastAsia"/>
                <w:spacing w:val="-20"/>
                <w:sz w:val="20"/>
                <w:szCs w:val="20"/>
              </w:rPr>
            </w:pPr>
          </w:p>
          <w:p w14:paraId="437DBE6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A6370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C7F5DA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2EE392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92F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94228D1">
            <w:pPr>
              <w:spacing w:line="240" w:lineRule="atLeast"/>
              <w:jc w:val="left"/>
              <w:rPr>
                <w:rFonts w:ascii="仿宋_GB2312" w:hAnsi="仿宋_GB2312" w:eastAsia="仿宋_GB2312" w:cs="仿宋_GB2312"/>
                <w:sz w:val="20"/>
                <w:szCs w:val="20"/>
              </w:rPr>
            </w:pPr>
          </w:p>
        </w:tc>
        <w:tc>
          <w:tcPr>
            <w:tcW w:w="555" w:type="dxa"/>
            <w:vMerge w:val="continue"/>
          </w:tcPr>
          <w:p w14:paraId="243457B4">
            <w:pPr>
              <w:spacing w:line="240" w:lineRule="atLeast"/>
              <w:jc w:val="left"/>
              <w:rPr>
                <w:rFonts w:ascii="仿宋_GB2312" w:hAnsi="仿宋_GB2312" w:eastAsia="仿宋_GB2312" w:cs="仿宋_GB2312"/>
                <w:sz w:val="20"/>
                <w:szCs w:val="20"/>
              </w:rPr>
            </w:pPr>
          </w:p>
        </w:tc>
        <w:tc>
          <w:tcPr>
            <w:tcW w:w="784" w:type="dxa"/>
            <w:vAlign w:val="center"/>
          </w:tcPr>
          <w:p w14:paraId="0AC90C9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9589A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05276D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47DE43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A8D6FA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81727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877B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F147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677AF1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22FC37A">
            <w:pPr>
              <w:spacing w:line="240" w:lineRule="atLeast"/>
              <w:jc w:val="left"/>
              <w:rPr>
                <w:rFonts w:ascii="仿宋_GB2312" w:hAnsi="仿宋_GB2312" w:eastAsia="仿宋_GB2312" w:cs="仿宋_GB2312"/>
                <w:sz w:val="20"/>
                <w:szCs w:val="20"/>
              </w:rPr>
            </w:pPr>
          </w:p>
        </w:tc>
      </w:tr>
      <w:tr w14:paraId="00A8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5C42A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120</w:t>
            </w:r>
          </w:p>
        </w:tc>
        <w:tc>
          <w:tcPr>
            <w:tcW w:w="555" w:type="dxa"/>
            <w:vAlign w:val="center"/>
          </w:tcPr>
          <w:p w14:paraId="513978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9E946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6E4F1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80D7AE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对矿山企业不按照设计进行开采，任意丢掉矿体，造成资源破坏损失行为的处罚</w:t>
            </w:r>
          </w:p>
        </w:tc>
        <w:tc>
          <w:tcPr>
            <w:tcW w:w="660" w:type="dxa"/>
            <w:vAlign w:val="center"/>
          </w:tcPr>
          <w:p w14:paraId="6F87BD16">
            <w:pPr>
              <w:snapToGrid w:val="0"/>
              <w:spacing w:line="240" w:lineRule="atLeast"/>
              <w:jc w:val="center"/>
              <w:rPr>
                <w:rFonts w:ascii="仿宋_GB2312" w:hAnsi="仿宋_GB2312" w:eastAsia="仿宋_GB2312" w:cs="仿宋_GB2312"/>
                <w:sz w:val="20"/>
                <w:szCs w:val="20"/>
              </w:rPr>
            </w:pPr>
          </w:p>
        </w:tc>
        <w:tc>
          <w:tcPr>
            <w:tcW w:w="615" w:type="dxa"/>
            <w:vAlign w:val="center"/>
          </w:tcPr>
          <w:p w14:paraId="54DD08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EC9D0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92897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1260DE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6D10DD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第十四条：矿山企业必须按照设计进行开采，不准任意丢掉矿体。对开采应当加强监督检查，严防不应有的开采损失。</w:t>
            </w:r>
          </w:p>
        </w:tc>
        <w:tc>
          <w:tcPr>
            <w:tcW w:w="3585" w:type="dxa"/>
            <w:vAlign w:val="center"/>
          </w:tcPr>
          <w:p w14:paraId="1A19C2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6D6762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2F0BCB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C2727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7B0AD0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78CE3A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5B123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15E767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FA8F38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425B61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F32DB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B9661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094C4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4639B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6A60B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AD6037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A0BE8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0C26C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97CB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D6AB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727FB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216D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6CB58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A9B40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E27A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340D0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D9D75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0653C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AB22324">
            <w:pPr>
              <w:snapToGrid w:val="0"/>
              <w:spacing w:line="240" w:lineRule="atLeast"/>
              <w:jc w:val="center"/>
              <w:rPr>
                <w:rFonts w:ascii="仿宋_GB2312" w:hAnsi="仿宋_GB2312" w:eastAsia="仿宋_GB2312" w:cs="仿宋_GB2312"/>
                <w:sz w:val="20"/>
                <w:szCs w:val="20"/>
              </w:rPr>
            </w:pPr>
          </w:p>
        </w:tc>
      </w:tr>
    </w:tbl>
    <w:p w14:paraId="372BEA77"/>
    <w:p w14:paraId="0FFA7A7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879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92D2E5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DD901FD">
            <w:pPr>
              <w:spacing w:line="240" w:lineRule="atLeast"/>
              <w:rPr>
                <w:rFonts w:asciiTheme="majorEastAsia" w:hAnsiTheme="majorEastAsia" w:eastAsiaTheme="majorEastAsia" w:cstheme="majorEastAsia"/>
                <w:spacing w:val="-20"/>
                <w:sz w:val="20"/>
                <w:szCs w:val="20"/>
              </w:rPr>
            </w:pPr>
          </w:p>
          <w:p w14:paraId="6EAEB51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FBE005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060B7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9D2FD1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DF9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4E77236">
            <w:pPr>
              <w:spacing w:line="240" w:lineRule="atLeast"/>
              <w:jc w:val="left"/>
              <w:rPr>
                <w:rFonts w:ascii="仿宋_GB2312" w:hAnsi="仿宋_GB2312" w:eastAsia="仿宋_GB2312" w:cs="仿宋_GB2312"/>
                <w:sz w:val="20"/>
                <w:szCs w:val="20"/>
              </w:rPr>
            </w:pPr>
          </w:p>
        </w:tc>
        <w:tc>
          <w:tcPr>
            <w:tcW w:w="555" w:type="dxa"/>
            <w:vMerge w:val="continue"/>
          </w:tcPr>
          <w:p w14:paraId="78A7917C">
            <w:pPr>
              <w:spacing w:line="240" w:lineRule="atLeast"/>
              <w:jc w:val="left"/>
              <w:rPr>
                <w:rFonts w:ascii="仿宋_GB2312" w:hAnsi="仿宋_GB2312" w:eastAsia="仿宋_GB2312" w:cs="仿宋_GB2312"/>
                <w:sz w:val="20"/>
                <w:szCs w:val="20"/>
              </w:rPr>
            </w:pPr>
          </w:p>
        </w:tc>
        <w:tc>
          <w:tcPr>
            <w:tcW w:w="784" w:type="dxa"/>
            <w:vAlign w:val="center"/>
          </w:tcPr>
          <w:p w14:paraId="17BA8DA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F4D0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73FD5A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AB3999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3E80CA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9A820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5D030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3E5D2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B9484C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BE0CDD">
            <w:pPr>
              <w:spacing w:line="240" w:lineRule="atLeast"/>
              <w:jc w:val="left"/>
              <w:rPr>
                <w:rFonts w:ascii="仿宋_GB2312" w:hAnsi="仿宋_GB2312" w:eastAsia="仿宋_GB2312" w:cs="仿宋_GB2312"/>
                <w:sz w:val="20"/>
                <w:szCs w:val="20"/>
              </w:rPr>
            </w:pPr>
          </w:p>
        </w:tc>
      </w:tr>
      <w:tr w14:paraId="60BD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34878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121</w:t>
            </w:r>
          </w:p>
        </w:tc>
        <w:tc>
          <w:tcPr>
            <w:tcW w:w="555" w:type="dxa"/>
            <w:vAlign w:val="center"/>
          </w:tcPr>
          <w:p w14:paraId="74F485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A897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55192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B98148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对在采、选主要矿产的同时，未对具有工业价值的共生、伴生矿产在技术可行、经济合理的条件下未进行综合回收或者对暂时不能综合回收利用的矿产，未采取有效的保护措施，造成资源破坏损失行为的处罚</w:t>
            </w:r>
          </w:p>
        </w:tc>
        <w:tc>
          <w:tcPr>
            <w:tcW w:w="660" w:type="dxa"/>
            <w:vAlign w:val="center"/>
          </w:tcPr>
          <w:p w14:paraId="4F58289D">
            <w:pPr>
              <w:snapToGrid w:val="0"/>
              <w:spacing w:line="240" w:lineRule="atLeast"/>
              <w:jc w:val="center"/>
              <w:rPr>
                <w:rFonts w:ascii="仿宋_GB2312" w:hAnsi="仿宋_GB2312" w:eastAsia="仿宋_GB2312" w:cs="仿宋_GB2312"/>
                <w:sz w:val="20"/>
                <w:szCs w:val="20"/>
              </w:rPr>
            </w:pPr>
          </w:p>
        </w:tc>
        <w:tc>
          <w:tcPr>
            <w:tcW w:w="615" w:type="dxa"/>
            <w:vAlign w:val="center"/>
          </w:tcPr>
          <w:p w14:paraId="34AFCE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2856E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56CB3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4432D1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7DCD63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第十七条：在采、选主要矿产的同时，对具有工业价值的共生、伴生矿产，在技术可行、经济合理的条件下，必须综合回收；对暂时不能综合回收利用的矿产，应当采取有效的保护措施。</w:t>
            </w:r>
          </w:p>
        </w:tc>
        <w:tc>
          <w:tcPr>
            <w:tcW w:w="3585" w:type="dxa"/>
            <w:vAlign w:val="center"/>
          </w:tcPr>
          <w:p w14:paraId="241B14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789C80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418B83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192C2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3604D1C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093C8A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732AB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767355B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FB68CB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E77996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1863C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772E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BD621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8BE87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42BAB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B51401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9F2F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B7F19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84C02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ED313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90B83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7B18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C89EC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C4C55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B330D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2F9BA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7F95F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5D966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110D5D">
            <w:pPr>
              <w:snapToGrid w:val="0"/>
              <w:spacing w:line="240" w:lineRule="atLeast"/>
              <w:jc w:val="center"/>
              <w:rPr>
                <w:rFonts w:ascii="仿宋_GB2312" w:hAnsi="仿宋_GB2312" w:eastAsia="仿宋_GB2312" w:cs="仿宋_GB2312"/>
                <w:sz w:val="20"/>
                <w:szCs w:val="20"/>
              </w:rPr>
            </w:pPr>
          </w:p>
        </w:tc>
      </w:tr>
    </w:tbl>
    <w:p w14:paraId="6B756CB6"/>
    <w:p w14:paraId="49D49976"/>
    <w:p w14:paraId="12C58CE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A6D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9F9E7A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B9CC8A8">
            <w:pPr>
              <w:spacing w:line="240" w:lineRule="atLeast"/>
              <w:rPr>
                <w:rFonts w:asciiTheme="majorEastAsia" w:hAnsiTheme="majorEastAsia" w:eastAsiaTheme="majorEastAsia" w:cstheme="majorEastAsia"/>
                <w:spacing w:val="-20"/>
                <w:sz w:val="20"/>
                <w:szCs w:val="20"/>
              </w:rPr>
            </w:pPr>
          </w:p>
          <w:p w14:paraId="7A30FF8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F6373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40D7F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7D5F4B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84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CCE8F3A">
            <w:pPr>
              <w:spacing w:line="240" w:lineRule="atLeast"/>
              <w:jc w:val="left"/>
              <w:rPr>
                <w:rFonts w:ascii="仿宋_GB2312" w:hAnsi="仿宋_GB2312" w:eastAsia="仿宋_GB2312" w:cs="仿宋_GB2312"/>
                <w:sz w:val="20"/>
                <w:szCs w:val="20"/>
              </w:rPr>
            </w:pPr>
          </w:p>
        </w:tc>
        <w:tc>
          <w:tcPr>
            <w:tcW w:w="555" w:type="dxa"/>
            <w:vMerge w:val="continue"/>
          </w:tcPr>
          <w:p w14:paraId="3ED7201D">
            <w:pPr>
              <w:spacing w:line="240" w:lineRule="atLeast"/>
              <w:jc w:val="left"/>
              <w:rPr>
                <w:rFonts w:ascii="仿宋_GB2312" w:hAnsi="仿宋_GB2312" w:eastAsia="仿宋_GB2312" w:cs="仿宋_GB2312"/>
                <w:sz w:val="20"/>
                <w:szCs w:val="20"/>
              </w:rPr>
            </w:pPr>
          </w:p>
        </w:tc>
        <w:tc>
          <w:tcPr>
            <w:tcW w:w="784" w:type="dxa"/>
            <w:vAlign w:val="center"/>
          </w:tcPr>
          <w:p w14:paraId="434DF04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AE5A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0569C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3E3B46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74D7DA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EA8339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20C26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11CF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5BF908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7237D3B">
            <w:pPr>
              <w:spacing w:line="240" w:lineRule="atLeast"/>
              <w:jc w:val="left"/>
              <w:rPr>
                <w:rFonts w:ascii="仿宋_GB2312" w:hAnsi="仿宋_GB2312" w:eastAsia="仿宋_GB2312" w:cs="仿宋_GB2312"/>
                <w:sz w:val="20"/>
                <w:szCs w:val="20"/>
              </w:rPr>
            </w:pPr>
          </w:p>
        </w:tc>
      </w:tr>
      <w:tr w14:paraId="2907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9745C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122</w:t>
            </w:r>
          </w:p>
        </w:tc>
        <w:tc>
          <w:tcPr>
            <w:tcW w:w="555" w:type="dxa"/>
            <w:vAlign w:val="center"/>
          </w:tcPr>
          <w:p w14:paraId="34144F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8758A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BFB28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A64F98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对矿山企业随意变动批准的计算矿产储量的工业指标进行矿产储量的圈定、计算及开采，造成资源破坏损失行为的处罚</w:t>
            </w:r>
          </w:p>
        </w:tc>
        <w:tc>
          <w:tcPr>
            <w:tcW w:w="660" w:type="dxa"/>
            <w:vAlign w:val="center"/>
          </w:tcPr>
          <w:p w14:paraId="1C01113C">
            <w:pPr>
              <w:snapToGrid w:val="0"/>
              <w:spacing w:line="240" w:lineRule="atLeast"/>
              <w:jc w:val="center"/>
              <w:rPr>
                <w:rFonts w:ascii="仿宋_GB2312" w:hAnsi="仿宋_GB2312" w:eastAsia="仿宋_GB2312" w:cs="仿宋_GB2312"/>
                <w:sz w:val="20"/>
                <w:szCs w:val="20"/>
              </w:rPr>
            </w:pPr>
          </w:p>
        </w:tc>
        <w:tc>
          <w:tcPr>
            <w:tcW w:w="615" w:type="dxa"/>
            <w:vAlign w:val="center"/>
          </w:tcPr>
          <w:p w14:paraId="4636A6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5516B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8E90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24707F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3B18ACB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第十九条：矿山企业对矿产储量的圈定、计算及开采，必须以批准的计算矿产储量的工业指标为依据，不得随意变动。需要变动的，应当上报实际资料，经主管部门审核同意后，报原审批单位批准。</w:t>
            </w:r>
          </w:p>
        </w:tc>
        <w:tc>
          <w:tcPr>
            <w:tcW w:w="3585" w:type="dxa"/>
            <w:vAlign w:val="center"/>
          </w:tcPr>
          <w:p w14:paraId="2F72C3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206ED0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537314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D5375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533BE3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5BFC8E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CB769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7FCC98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8835E9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9784FD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E1010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83BC52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09A03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38A2D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83ED2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7BE79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38715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EEA62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11683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F4EF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02D0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5B20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6C22F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9C45B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1A25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8546B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C72E6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2BF1E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62B508E">
            <w:pPr>
              <w:snapToGrid w:val="0"/>
              <w:spacing w:line="240" w:lineRule="atLeast"/>
              <w:jc w:val="center"/>
              <w:rPr>
                <w:rFonts w:ascii="仿宋_GB2312" w:hAnsi="仿宋_GB2312" w:eastAsia="仿宋_GB2312" w:cs="仿宋_GB2312"/>
                <w:sz w:val="20"/>
                <w:szCs w:val="20"/>
              </w:rPr>
            </w:pPr>
          </w:p>
        </w:tc>
      </w:tr>
    </w:tbl>
    <w:p w14:paraId="455D61DF"/>
    <w:p w14:paraId="7938DED0"/>
    <w:p w14:paraId="5C49B4A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E4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F4474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5718197">
            <w:pPr>
              <w:spacing w:line="240" w:lineRule="atLeast"/>
              <w:rPr>
                <w:rFonts w:asciiTheme="majorEastAsia" w:hAnsiTheme="majorEastAsia" w:eastAsiaTheme="majorEastAsia" w:cstheme="majorEastAsia"/>
                <w:spacing w:val="-20"/>
                <w:sz w:val="20"/>
                <w:szCs w:val="20"/>
              </w:rPr>
            </w:pPr>
          </w:p>
          <w:p w14:paraId="6C0A210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F0615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DF110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260913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6F2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7BE0C8C">
            <w:pPr>
              <w:spacing w:line="240" w:lineRule="atLeast"/>
              <w:jc w:val="left"/>
              <w:rPr>
                <w:rFonts w:ascii="仿宋_GB2312" w:hAnsi="仿宋_GB2312" w:eastAsia="仿宋_GB2312" w:cs="仿宋_GB2312"/>
                <w:sz w:val="20"/>
                <w:szCs w:val="20"/>
              </w:rPr>
            </w:pPr>
          </w:p>
        </w:tc>
        <w:tc>
          <w:tcPr>
            <w:tcW w:w="555" w:type="dxa"/>
            <w:vMerge w:val="continue"/>
          </w:tcPr>
          <w:p w14:paraId="1E7711AA">
            <w:pPr>
              <w:spacing w:line="240" w:lineRule="atLeast"/>
              <w:jc w:val="left"/>
              <w:rPr>
                <w:rFonts w:ascii="仿宋_GB2312" w:hAnsi="仿宋_GB2312" w:eastAsia="仿宋_GB2312" w:cs="仿宋_GB2312"/>
                <w:sz w:val="20"/>
                <w:szCs w:val="20"/>
              </w:rPr>
            </w:pPr>
          </w:p>
        </w:tc>
        <w:tc>
          <w:tcPr>
            <w:tcW w:w="784" w:type="dxa"/>
            <w:vAlign w:val="center"/>
          </w:tcPr>
          <w:p w14:paraId="05966FC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E539BC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66A3AD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675BC0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8186C4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D7FED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A9FA5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DA0F1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03AC9B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DB79A82">
            <w:pPr>
              <w:spacing w:line="240" w:lineRule="atLeast"/>
              <w:jc w:val="left"/>
              <w:rPr>
                <w:rFonts w:ascii="仿宋_GB2312" w:hAnsi="仿宋_GB2312" w:eastAsia="仿宋_GB2312" w:cs="仿宋_GB2312"/>
                <w:sz w:val="20"/>
                <w:szCs w:val="20"/>
              </w:rPr>
            </w:pPr>
          </w:p>
        </w:tc>
      </w:tr>
      <w:tr w14:paraId="785E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E7983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123</w:t>
            </w:r>
          </w:p>
        </w:tc>
        <w:tc>
          <w:tcPr>
            <w:tcW w:w="555" w:type="dxa"/>
            <w:vAlign w:val="center"/>
          </w:tcPr>
          <w:p w14:paraId="63EBC7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A3A03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7BB8F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DBAF9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对擅自废除坑道和其他工程，造成资源破坏损失行为的处罚</w:t>
            </w:r>
          </w:p>
        </w:tc>
        <w:tc>
          <w:tcPr>
            <w:tcW w:w="660" w:type="dxa"/>
            <w:vAlign w:val="center"/>
          </w:tcPr>
          <w:p w14:paraId="2A4887AD">
            <w:pPr>
              <w:snapToGrid w:val="0"/>
              <w:spacing w:line="240" w:lineRule="atLeast"/>
              <w:jc w:val="center"/>
              <w:rPr>
                <w:rFonts w:ascii="仿宋_GB2312" w:hAnsi="仿宋_GB2312" w:eastAsia="仿宋_GB2312" w:cs="仿宋_GB2312"/>
                <w:sz w:val="20"/>
                <w:szCs w:val="20"/>
              </w:rPr>
            </w:pPr>
          </w:p>
        </w:tc>
        <w:tc>
          <w:tcPr>
            <w:tcW w:w="615" w:type="dxa"/>
            <w:vAlign w:val="center"/>
          </w:tcPr>
          <w:p w14:paraId="5A6EFE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757D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24A26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17FCBD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11F9DA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第二十一条：地下开采的中段（水平）或露天采矿场内尚有未采完的保有矿产储量，未经地质测量机构检查验收和报销申请尚未批准之前，不准擅自废除坑道和其他工程。</w:t>
            </w:r>
          </w:p>
        </w:tc>
        <w:tc>
          <w:tcPr>
            <w:tcW w:w="3585" w:type="dxa"/>
            <w:vAlign w:val="center"/>
          </w:tcPr>
          <w:p w14:paraId="2159A3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242629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37DF31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DE26E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24431B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64362A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A357D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481F92B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916514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10EA45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12E05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87E89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7EC1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05DC2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4E0DC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C2B9F2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B438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A27CB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E125A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8578B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0EB53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0164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0236A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71870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C8DC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2837E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883E4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FBB30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DB44686">
            <w:pPr>
              <w:snapToGrid w:val="0"/>
              <w:spacing w:line="240" w:lineRule="atLeast"/>
              <w:jc w:val="center"/>
              <w:rPr>
                <w:rFonts w:ascii="仿宋_GB2312" w:hAnsi="仿宋_GB2312" w:eastAsia="仿宋_GB2312" w:cs="仿宋_GB2312"/>
                <w:sz w:val="20"/>
                <w:szCs w:val="20"/>
              </w:rPr>
            </w:pPr>
          </w:p>
        </w:tc>
      </w:tr>
    </w:tbl>
    <w:p w14:paraId="60E7DA47"/>
    <w:p w14:paraId="033149E5"/>
    <w:p w14:paraId="5969C44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69B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2A3E84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11F07B">
            <w:pPr>
              <w:spacing w:line="240" w:lineRule="atLeast"/>
              <w:rPr>
                <w:rFonts w:asciiTheme="majorEastAsia" w:hAnsiTheme="majorEastAsia" w:eastAsiaTheme="majorEastAsia" w:cstheme="majorEastAsia"/>
                <w:spacing w:val="-20"/>
                <w:sz w:val="20"/>
                <w:szCs w:val="20"/>
              </w:rPr>
            </w:pPr>
          </w:p>
          <w:p w14:paraId="5D6D702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CBA0BF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FC2F0B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80B5A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6A8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EBDFC56">
            <w:pPr>
              <w:spacing w:line="240" w:lineRule="atLeast"/>
              <w:jc w:val="left"/>
              <w:rPr>
                <w:rFonts w:ascii="仿宋_GB2312" w:hAnsi="仿宋_GB2312" w:eastAsia="仿宋_GB2312" w:cs="仿宋_GB2312"/>
                <w:sz w:val="20"/>
                <w:szCs w:val="20"/>
              </w:rPr>
            </w:pPr>
          </w:p>
        </w:tc>
        <w:tc>
          <w:tcPr>
            <w:tcW w:w="555" w:type="dxa"/>
            <w:vMerge w:val="continue"/>
          </w:tcPr>
          <w:p w14:paraId="40E530D8">
            <w:pPr>
              <w:spacing w:line="240" w:lineRule="atLeast"/>
              <w:jc w:val="left"/>
              <w:rPr>
                <w:rFonts w:ascii="仿宋_GB2312" w:hAnsi="仿宋_GB2312" w:eastAsia="仿宋_GB2312" w:cs="仿宋_GB2312"/>
                <w:sz w:val="20"/>
                <w:szCs w:val="20"/>
              </w:rPr>
            </w:pPr>
          </w:p>
        </w:tc>
        <w:tc>
          <w:tcPr>
            <w:tcW w:w="784" w:type="dxa"/>
            <w:vAlign w:val="center"/>
          </w:tcPr>
          <w:p w14:paraId="2639C30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66464A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ED72F9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27F9F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FDA76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0D0F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B6E79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86167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CEC18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DB0F66A">
            <w:pPr>
              <w:spacing w:line="240" w:lineRule="atLeast"/>
              <w:jc w:val="left"/>
              <w:rPr>
                <w:rFonts w:ascii="仿宋_GB2312" w:hAnsi="仿宋_GB2312" w:eastAsia="仿宋_GB2312" w:cs="仿宋_GB2312"/>
                <w:sz w:val="20"/>
                <w:szCs w:val="20"/>
              </w:rPr>
            </w:pPr>
          </w:p>
        </w:tc>
      </w:tr>
      <w:tr w14:paraId="77EF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DDCF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124</w:t>
            </w:r>
          </w:p>
        </w:tc>
        <w:tc>
          <w:tcPr>
            <w:tcW w:w="555" w:type="dxa"/>
            <w:vAlign w:val="center"/>
          </w:tcPr>
          <w:p w14:paraId="168B3A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AFA23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A5BFB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036643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对城乡规划编制单位以欺骗、贿赂等不正当手段取得城乡规划编制单位资质证书行为的处罚</w:t>
            </w:r>
          </w:p>
        </w:tc>
        <w:tc>
          <w:tcPr>
            <w:tcW w:w="660" w:type="dxa"/>
            <w:vAlign w:val="center"/>
          </w:tcPr>
          <w:p w14:paraId="01F0292F">
            <w:pPr>
              <w:snapToGrid w:val="0"/>
              <w:spacing w:line="240" w:lineRule="atLeast"/>
              <w:jc w:val="center"/>
              <w:rPr>
                <w:rFonts w:ascii="仿宋_GB2312" w:hAnsi="仿宋_GB2312" w:eastAsia="仿宋_GB2312" w:cs="仿宋_GB2312"/>
                <w:sz w:val="20"/>
                <w:szCs w:val="20"/>
              </w:rPr>
            </w:pPr>
          </w:p>
        </w:tc>
        <w:tc>
          <w:tcPr>
            <w:tcW w:w="615" w:type="dxa"/>
            <w:vAlign w:val="center"/>
          </w:tcPr>
          <w:p w14:paraId="3B3762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38644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4B60E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三十七条第二款：以欺骗、贿赂等不正当手段取得城乡规划编制单位资质证书的，由县级以上地方人民政府城乡规划主管部门处3万元罚款，申请人在3年内不得再次申请城乡规划编制单位资质。</w:t>
            </w:r>
          </w:p>
        </w:tc>
        <w:tc>
          <w:tcPr>
            <w:tcW w:w="3585" w:type="dxa"/>
            <w:vAlign w:val="center"/>
          </w:tcPr>
          <w:p w14:paraId="1662A1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DEDD3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BF117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36A04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E37A3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71C90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DD8CB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CD07F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B9833B0">
            <w:pPr>
              <w:widowControl/>
              <w:adjustRightInd w:val="0"/>
              <w:snapToGrid w:val="0"/>
              <w:spacing w:line="240"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4626016">
            <w:pPr>
              <w:widowControl/>
              <w:adjustRightInd w:val="0"/>
              <w:snapToGrid w:val="0"/>
              <w:spacing w:line="240"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BD7EF4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540F0A6">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5FD1074">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74D11D1">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9CFE931">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DAB4119">
            <w:pPr>
              <w:widowControl/>
              <w:adjustRightInd w:val="0"/>
              <w:snapToGrid w:val="0"/>
              <w:spacing w:line="24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E00657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F7B8EE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310D28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CA538F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AE6113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788FC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7E3499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D59342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C54A8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4BA34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C9556B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B9A8C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9B07F94">
            <w:pPr>
              <w:snapToGrid w:val="0"/>
              <w:spacing w:line="240" w:lineRule="atLeast"/>
              <w:jc w:val="center"/>
              <w:rPr>
                <w:rFonts w:ascii="仿宋_GB2312" w:hAnsi="仿宋_GB2312" w:eastAsia="仿宋_GB2312" w:cs="仿宋_GB2312"/>
                <w:sz w:val="20"/>
                <w:szCs w:val="20"/>
              </w:rPr>
            </w:pPr>
          </w:p>
        </w:tc>
      </w:tr>
    </w:tbl>
    <w:p w14:paraId="719CEFB0"/>
    <w:p w14:paraId="593A6385"/>
    <w:p w14:paraId="7158091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91E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4113DD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AEFCFDA">
            <w:pPr>
              <w:spacing w:line="240" w:lineRule="atLeast"/>
              <w:rPr>
                <w:rFonts w:asciiTheme="majorEastAsia" w:hAnsiTheme="majorEastAsia" w:eastAsiaTheme="majorEastAsia" w:cstheme="majorEastAsia"/>
                <w:spacing w:val="-20"/>
                <w:sz w:val="20"/>
                <w:szCs w:val="20"/>
              </w:rPr>
            </w:pPr>
          </w:p>
          <w:p w14:paraId="118C782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302C57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5399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2687B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D04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89EA254">
            <w:pPr>
              <w:spacing w:line="240" w:lineRule="atLeast"/>
              <w:jc w:val="left"/>
              <w:rPr>
                <w:rFonts w:ascii="仿宋_GB2312" w:hAnsi="仿宋_GB2312" w:eastAsia="仿宋_GB2312" w:cs="仿宋_GB2312"/>
                <w:sz w:val="20"/>
                <w:szCs w:val="20"/>
              </w:rPr>
            </w:pPr>
          </w:p>
        </w:tc>
        <w:tc>
          <w:tcPr>
            <w:tcW w:w="555" w:type="dxa"/>
            <w:vMerge w:val="continue"/>
          </w:tcPr>
          <w:p w14:paraId="355AC190">
            <w:pPr>
              <w:spacing w:line="240" w:lineRule="atLeast"/>
              <w:jc w:val="left"/>
              <w:rPr>
                <w:rFonts w:ascii="仿宋_GB2312" w:hAnsi="仿宋_GB2312" w:eastAsia="仿宋_GB2312" w:cs="仿宋_GB2312"/>
                <w:sz w:val="20"/>
                <w:szCs w:val="20"/>
              </w:rPr>
            </w:pPr>
          </w:p>
        </w:tc>
        <w:tc>
          <w:tcPr>
            <w:tcW w:w="784" w:type="dxa"/>
            <w:vAlign w:val="center"/>
          </w:tcPr>
          <w:p w14:paraId="3C6D936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CFA7D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E974D9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432C2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6A141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A20BF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6DE275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8191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7A0254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01B60C4">
            <w:pPr>
              <w:spacing w:line="240" w:lineRule="atLeast"/>
              <w:jc w:val="left"/>
              <w:rPr>
                <w:rFonts w:ascii="仿宋_GB2312" w:hAnsi="仿宋_GB2312" w:eastAsia="仿宋_GB2312" w:cs="仿宋_GB2312"/>
                <w:sz w:val="20"/>
                <w:szCs w:val="20"/>
              </w:rPr>
            </w:pPr>
          </w:p>
        </w:tc>
      </w:tr>
      <w:tr w14:paraId="138E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F4841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125</w:t>
            </w:r>
          </w:p>
        </w:tc>
        <w:tc>
          <w:tcPr>
            <w:tcW w:w="555" w:type="dxa"/>
            <w:vAlign w:val="center"/>
          </w:tcPr>
          <w:p w14:paraId="3A7DA5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8B531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C5B43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C977C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对城乡规划编制单位涂改、倒卖、出租、出借或者以其他形式非法转让资质证书行为的处罚</w:t>
            </w:r>
          </w:p>
        </w:tc>
        <w:tc>
          <w:tcPr>
            <w:tcW w:w="660" w:type="dxa"/>
            <w:vAlign w:val="center"/>
          </w:tcPr>
          <w:p w14:paraId="1BBAB9C3">
            <w:pPr>
              <w:snapToGrid w:val="0"/>
              <w:spacing w:line="240" w:lineRule="atLeast"/>
              <w:jc w:val="center"/>
              <w:rPr>
                <w:rFonts w:ascii="仿宋_GB2312" w:hAnsi="仿宋_GB2312" w:eastAsia="仿宋_GB2312" w:cs="仿宋_GB2312"/>
                <w:sz w:val="20"/>
                <w:szCs w:val="20"/>
              </w:rPr>
            </w:pPr>
          </w:p>
        </w:tc>
        <w:tc>
          <w:tcPr>
            <w:tcW w:w="615" w:type="dxa"/>
            <w:vAlign w:val="center"/>
          </w:tcPr>
          <w:p w14:paraId="0CA766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834F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1A026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三十八条：涂改、倒卖、出租、出借或者以其他形式非法转让资质证书的，由县级以上地方人民政府城乡规划主管部门给予警告，责令限期改正，并处3万元罚款；造成损失的，依法承担赔偿责任；构成犯罪的，依法追究刑事责任。</w:t>
            </w:r>
          </w:p>
        </w:tc>
        <w:tc>
          <w:tcPr>
            <w:tcW w:w="3585" w:type="dxa"/>
            <w:vAlign w:val="center"/>
          </w:tcPr>
          <w:p w14:paraId="1696EB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DE95B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721A9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89435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8AB01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20D7C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9331C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4D434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A5E26D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22F9B6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B3E7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02C346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3B0299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EAC34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D699C2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6B9A39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B8BA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9FDFD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9FF7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943A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944A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21A7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D23CD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321A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64EEC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A5276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8BAFD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F6AFE9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06E147">
            <w:pPr>
              <w:snapToGrid w:val="0"/>
              <w:spacing w:line="240" w:lineRule="atLeast"/>
              <w:jc w:val="center"/>
              <w:rPr>
                <w:rFonts w:ascii="仿宋_GB2312" w:hAnsi="仿宋_GB2312" w:eastAsia="仿宋_GB2312" w:cs="仿宋_GB2312"/>
                <w:sz w:val="20"/>
                <w:szCs w:val="20"/>
              </w:rPr>
            </w:pPr>
          </w:p>
        </w:tc>
      </w:tr>
    </w:tbl>
    <w:p w14:paraId="1F9E2C2F"/>
    <w:p w14:paraId="1A3DF8C7"/>
    <w:p w14:paraId="259909D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6D6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B4E9A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F6E1685">
            <w:pPr>
              <w:spacing w:line="240" w:lineRule="atLeast"/>
              <w:rPr>
                <w:rFonts w:asciiTheme="majorEastAsia" w:hAnsiTheme="majorEastAsia" w:eastAsiaTheme="majorEastAsia" w:cstheme="majorEastAsia"/>
                <w:spacing w:val="-20"/>
                <w:sz w:val="20"/>
                <w:szCs w:val="20"/>
              </w:rPr>
            </w:pPr>
          </w:p>
          <w:p w14:paraId="7C8FE29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A60A5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CC28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5132C5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6AE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E6981F">
            <w:pPr>
              <w:spacing w:line="240" w:lineRule="atLeast"/>
              <w:jc w:val="left"/>
              <w:rPr>
                <w:rFonts w:ascii="仿宋_GB2312" w:hAnsi="仿宋_GB2312" w:eastAsia="仿宋_GB2312" w:cs="仿宋_GB2312"/>
                <w:sz w:val="20"/>
                <w:szCs w:val="20"/>
              </w:rPr>
            </w:pPr>
          </w:p>
        </w:tc>
        <w:tc>
          <w:tcPr>
            <w:tcW w:w="555" w:type="dxa"/>
            <w:vMerge w:val="continue"/>
          </w:tcPr>
          <w:p w14:paraId="4208CF7D">
            <w:pPr>
              <w:spacing w:line="240" w:lineRule="atLeast"/>
              <w:jc w:val="left"/>
              <w:rPr>
                <w:rFonts w:ascii="仿宋_GB2312" w:hAnsi="仿宋_GB2312" w:eastAsia="仿宋_GB2312" w:cs="仿宋_GB2312"/>
                <w:sz w:val="20"/>
                <w:szCs w:val="20"/>
              </w:rPr>
            </w:pPr>
          </w:p>
        </w:tc>
        <w:tc>
          <w:tcPr>
            <w:tcW w:w="784" w:type="dxa"/>
            <w:vAlign w:val="center"/>
          </w:tcPr>
          <w:p w14:paraId="2FAF65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64BE7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33F83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0B1C8F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16689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FC3ECE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0A97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CC865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9F83F1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947FE08">
            <w:pPr>
              <w:spacing w:line="240" w:lineRule="atLeast"/>
              <w:jc w:val="left"/>
              <w:rPr>
                <w:rFonts w:ascii="仿宋_GB2312" w:hAnsi="仿宋_GB2312" w:eastAsia="仿宋_GB2312" w:cs="仿宋_GB2312"/>
                <w:sz w:val="20"/>
                <w:szCs w:val="20"/>
              </w:rPr>
            </w:pPr>
          </w:p>
        </w:tc>
      </w:tr>
      <w:tr w14:paraId="3464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902DE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126</w:t>
            </w:r>
          </w:p>
        </w:tc>
        <w:tc>
          <w:tcPr>
            <w:tcW w:w="555" w:type="dxa"/>
            <w:vAlign w:val="center"/>
          </w:tcPr>
          <w:p w14:paraId="4B9FA7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0B14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C8E82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DB137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对城乡规划编制单位超越资质等级许可的范围承揽城乡规划编制工作行为的处罚</w:t>
            </w:r>
          </w:p>
        </w:tc>
        <w:tc>
          <w:tcPr>
            <w:tcW w:w="660" w:type="dxa"/>
            <w:vAlign w:val="center"/>
          </w:tcPr>
          <w:p w14:paraId="3A660FD5">
            <w:pPr>
              <w:snapToGrid w:val="0"/>
              <w:spacing w:line="240" w:lineRule="atLeast"/>
              <w:jc w:val="center"/>
              <w:rPr>
                <w:rFonts w:ascii="仿宋_GB2312" w:hAnsi="仿宋_GB2312" w:eastAsia="仿宋_GB2312" w:cs="仿宋_GB2312"/>
                <w:sz w:val="20"/>
                <w:szCs w:val="20"/>
              </w:rPr>
            </w:pPr>
          </w:p>
        </w:tc>
        <w:tc>
          <w:tcPr>
            <w:tcW w:w="615" w:type="dxa"/>
            <w:vAlign w:val="center"/>
          </w:tcPr>
          <w:p w14:paraId="7CC2DD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A9AC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E2203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6086A2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（一）超越资质等级许可的范围承揽城乡规划编制工作的。</w:t>
            </w:r>
          </w:p>
          <w:p w14:paraId="505AD8E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58118D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0F9B1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4B767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9B25C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D90EE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15FCC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22155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B295F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BBC01E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1C4FFC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FAE56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FD828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B7E2F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8F342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D0656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3F8D34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73069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5B1F3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44343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83BE3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66116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9DBB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0B8C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D611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7E58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239EC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D571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EFF0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051A75D">
            <w:pPr>
              <w:snapToGrid w:val="0"/>
              <w:spacing w:line="240" w:lineRule="atLeast"/>
              <w:jc w:val="center"/>
              <w:rPr>
                <w:rFonts w:ascii="仿宋_GB2312" w:hAnsi="仿宋_GB2312" w:eastAsia="仿宋_GB2312" w:cs="仿宋_GB2312"/>
                <w:sz w:val="20"/>
                <w:szCs w:val="20"/>
              </w:rPr>
            </w:pPr>
          </w:p>
        </w:tc>
      </w:tr>
    </w:tbl>
    <w:p w14:paraId="15A5AB9A"/>
    <w:p w14:paraId="3FFB4E01"/>
    <w:p w14:paraId="040D5A7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DF8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65734F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F973F38">
            <w:pPr>
              <w:spacing w:line="240" w:lineRule="atLeast"/>
              <w:rPr>
                <w:rFonts w:asciiTheme="majorEastAsia" w:hAnsiTheme="majorEastAsia" w:eastAsiaTheme="majorEastAsia" w:cstheme="majorEastAsia"/>
                <w:spacing w:val="-20"/>
                <w:sz w:val="20"/>
                <w:szCs w:val="20"/>
              </w:rPr>
            </w:pPr>
          </w:p>
          <w:p w14:paraId="4CEEDE5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E515E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A4C160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C3F0F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500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F2CA429">
            <w:pPr>
              <w:spacing w:line="240" w:lineRule="atLeast"/>
              <w:jc w:val="left"/>
              <w:rPr>
                <w:rFonts w:ascii="仿宋_GB2312" w:hAnsi="仿宋_GB2312" w:eastAsia="仿宋_GB2312" w:cs="仿宋_GB2312"/>
                <w:sz w:val="20"/>
                <w:szCs w:val="20"/>
              </w:rPr>
            </w:pPr>
          </w:p>
        </w:tc>
        <w:tc>
          <w:tcPr>
            <w:tcW w:w="555" w:type="dxa"/>
            <w:vMerge w:val="continue"/>
          </w:tcPr>
          <w:p w14:paraId="3AB03A09">
            <w:pPr>
              <w:spacing w:line="240" w:lineRule="atLeast"/>
              <w:jc w:val="left"/>
              <w:rPr>
                <w:rFonts w:ascii="仿宋_GB2312" w:hAnsi="仿宋_GB2312" w:eastAsia="仿宋_GB2312" w:cs="仿宋_GB2312"/>
                <w:sz w:val="20"/>
                <w:szCs w:val="20"/>
              </w:rPr>
            </w:pPr>
          </w:p>
        </w:tc>
        <w:tc>
          <w:tcPr>
            <w:tcW w:w="784" w:type="dxa"/>
            <w:vAlign w:val="center"/>
          </w:tcPr>
          <w:p w14:paraId="76C16E5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A46DB0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2E3CE0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6B01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5CDC74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0D275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9102E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7A6A5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F0B2C9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9B438E4">
            <w:pPr>
              <w:spacing w:line="240" w:lineRule="atLeast"/>
              <w:jc w:val="left"/>
              <w:rPr>
                <w:rFonts w:ascii="仿宋_GB2312" w:hAnsi="仿宋_GB2312" w:eastAsia="仿宋_GB2312" w:cs="仿宋_GB2312"/>
                <w:sz w:val="20"/>
                <w:szCs w:val="20"/>
              </w:rPr>
            </w:pPr>
          </w:p>
        </w:tc>
      </w:tr>
      <w:tr w14:paraId="09EE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62333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127</w:t>
            </w:r>
          </w:p>
        </w:tc>
        <w:tc>
          <w:tcPr>
            <w:tcW w:w="555" w:type="dxa"/>
            <w:vAlign w:val="center"/>
          </w:tcPr>
          <w:p w14:paraId="0CB2C4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4BFC2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28719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CBE226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对城乡规划编制单位违反国家有关标准编制城乡规划行为的处罚</w:t>
            </w:r>
          </w:p>
        </w:tc>
        <w:tc>
          <w:tcPr>
            <w:tcW w:w="660" w:type="dxa"/>
            <w:vAlign w:val="center"/>
          </w:tcPr>
          <w:p w14:paraId="6438588A">
            <w:pPr>
              <w:snapToGrid w:val="0"/>
              <w:spacing w:line="240" w:lineRule="atLeast"/>
              <w:jc w:val="center"/>
              <w:rPr>
                <w:rFonts w:ascii="仿宋_GB2312" w:hAnsi="仿宋_GB2312" w:eastAsia="仿宋_GB2312" w:cs="仿宋_GB2312"/>
                <w:sz w:val="20"/>
                <w:szCs w:val="20"/>
              </w:rPr>
            </w:pPr>
          </w:p>
        </w:tc>
        <w:tc>
          <w:tcPr>
            <w:tcW w:w="615" w:type="dxa"/>
            <w:vAlign w:val="center"/>
          </w:tcPr>
          <w:p w14:paraId="36F1E7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B9A1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2A96D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34ADEB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（二）违反国家有关标准编制城乡规划的。</w:t>
            </w:r>
          </w:p>
          <w:p w14:paraId="60D471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4FFFD1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1EB09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C0308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90758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D0E4D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89CBD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B851C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37E3E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5A6EA0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AD4518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2CE19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443AD3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F982A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D50CF9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DE64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FD5CC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EC0F6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B773C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3E750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5D78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A0C7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41A3B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D09A9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1B0C6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B5EB4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96AD8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20CF7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34E8BA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04E6A7C">
            <w:pPr>
              <w:snapToGrid w:val="0"/>
              <w:spacing w:line="240" w:lineRule="atLeast"/>
              <w:jc w:val="center"/>
              <w:rPr>
                <w:rFonts w:ascii="仿宋_GB2312" w:hAnsi="仿宋_GB2312" w:eastAsia="仿宋_GB2312" w:cs="仿宋_GB2312"/>
                <w:sz w:val="20"/>
                <w:szCs w:val="20"/>
              </w:rPr>
            </w:pPr>
          </w:p>
        </w:tc>
      </w:tr>
    </w:tbl>
    <w:p w14:paraId="3DDEE998"/>
    <w:p w14:paraId="442246F8"/>
    <w:p w14:paraId="7453092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496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E100F8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BE293F6">
            <w:pPr>
              <w:spacing w:line="240" w:lineRule="atLeast"/>
              <w:rPr>
                <w:rFonts w:asciiTheme="majorEastAsia" w:hAnsiTheme="majorEastAsia" w:eastAsiaTheme="majorEastAsia" w:cstheme="majorEastAsia"/>
                <w:spacing w:val="-20"/>
                <w:sz w:val="20"/>
                <w:szCs w:val="20"/>
              </w:rPr>
            </w:pPr>
          </w:p>
          <w:p w14:paraId="72E829E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536AF9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2750F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790A6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BA9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985512C">
            <w:pPr>
              <w:spacing w:line="240" w:lineRule="atLeast"/>
              <w:jc w:val="left"/>
              <w:rPr>
                <w:rFonts w:ascii="仿宋_GB2312" w:hAnsi="仿宋_GB2312" w:eastAsia="仿宋_GB2312" w:cs="仿宋_GB2312"/>
                <w:sz w:val="20"/>
                <w:szCs w:val="20"/>
              </w:rPr>
            </w:pPr>
          </w:p>
        </w:tc>
        <w:tc>
          <w:tcPr>
            <w:tcW w:w="555" w:type="dxa"/>
            <w:vMerge w:val="continue"/>
          </w:tcPr>
          <w:p w14:paraId="29E84F15">
            <w:pPr>
              <w:spacing w:line="240" w:lineRule="atLeast"/>
              <w:jc w:val="left"/>
              <w:rPr>
                <w:rFonts w:ascii="仿宋_GB2312" w:hAnsi="仿宋_GB2312" w:eastAsia="仿宋_GB2312" w:cs="仿宋_GB2312"/>
                <w:sz w:val="20"/>
                <w:szCs w:val="20"/>
              </w:rPr>
            </w:pPr>
          </w:p>
        </w:tc>
        <w:tc>
          <w:tcPr>
            <w:tcW w:w="784" w:type="dxa"/>
            <w:vAlign w:val="center"/>
          </w:tcPr>
          <w:p w14:paraId="01C258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4B63E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EE341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DCD53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7A7792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D3319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93A76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40994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CFF286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D12E285">
            <w:pPr>
              <w:spacing w:line="240" w:lineRule="atLeast"/>
              <w:jc w:val="left"/>
              <w:rPr>
                <w:rFonts w:ascii="仿宋_GB2312" w:hAnsi="仿宋_GB2312" w:eastAsia="仿宋_GB2312" w:cs="仿宋_GB2312"/>
                <w:sz w:val="20"/>
                <w:szCs w:val="20"/>
              </w:rPr>
            </w:pPr>
          </w:p>
        </w:tc>
      </w:tr>
      <w:tr w14:paraId="6815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98666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128</w:t>
            </w:r>
          </w:p>
        </w:tc>
        <w:tc>
          <w:tcPr>
            <w:tcW w:w="555" w:type="dxa"/>
            <w:vAlign w:val="center"/>
          </w:tcPr>
          <w:p w14:paraId="22C4E9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D5C8C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8ADE1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C103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对城乡规划编制单位未依法取得资质证书承揽城乡规划编制工作行为的处罚</w:t>
            </w:r>
          </w:p>
        </w:tc>
        <w:tc>
          <w:tcPr>
            <w:tcW w:w="660" w:type="dxa"/>
            <w:vAlign w:val="center"/>
          </w:tcPr>
          <w:p w14:paraId="166087FA">
            <w:pPr>
              <w:snapToGrid w:val="0"/>
              <w:spacing w:line="240" w:lineRule="atLeast"/>
              <w:jc w:val="center"/>
              <w:rPr>
                <w:rFonts w:ascii="仿宋_GB2312" w:hAnsi="仿宋_GB2312" w:eastAsia="仿宋_GB2312" w:cs="仿宋_GB2312"/>
                <w:sz w:val="20"/>
                <w:szCs w:val="20"/>
              </w:rPr>
            </w:pPr>
          </w:p>
        </w:tc>
        <w:tc>
          <w:tcPr>
            <w:tcW w:w="615" w:type="dxa"/>
            <w:vAlign w:val="center"/>
          </w:tcPr>
          <w:p w14:paraId="27F66C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704B4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EDA25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696970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未依法取得资质证书承揽城乡规划编制工作的，由县级以上地方人民政府城乡规划主管部门责令停止违法行为，依照前款规定处以罚款；造成损失的，依法承担赔偿责任。</w:t>
            </w:r>
          </w:p>
          <w:p w14:paraId="1E1397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111070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91CE6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EB665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B6F82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988DC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FCB69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C1BA0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56AB08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5FC14C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D192BF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BFCCB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E3720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BBA7BE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F27DC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CE237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7921FF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D71B3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827F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C82A8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E2895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43D06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DDFC9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51BC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A77C5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0C739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ABD51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807D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840B9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D0C2746">
            <w:pPr>
              <w:snapToGrid w:val="0"/>
              <w:spacing w:line="240" w:lineRule="atLeast"/>
              <w:jc w:val="center"/>
              <w:rPr>
                <w:rFonts w:ascii="仿宋_GB2312" w:hAnsi="仿宋_GB2312" w:eastAsia="仿宋_GB2312" w:cs="仿宋_GB2312"/>
                <w:sz w:val="20"/>
                <w:szCs w:val="20"/>
              </w:rPr>
            </w:pPr>
          </w:p>
        </w:tc>
      </w:tr>
    </w:tbl>
    <w:p w14:paraId="0809B32B"/>
    <w:p w14:paraId="5ED7709E"/>
    <w:p w14:paraId="350732C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576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9EAF07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EF59E58">
            <w:pPr>
              <w:spacing w:line="240" w:lineRule="atLeast"/>
              <w:rPr>
                <w:rFonts w:asciiTheme="majorEastAsia" w:hAnsiTheme="majorEastAsia" w:eastAsiaTheme="majorEastAsia" w:cstheme="majorEastAsia"/>
                <w:spacing w:val="-20"/>
                <w:sz w:val="20"/>
                <w:szCs w:val="20"/>
              </w:rPr>
            </w:pPr>
          </w:p>
          <w:p w14:paraId="6339D00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6CCCBE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4F2F3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2A606C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D8C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A11486">
            <w:pPr>
              <w:spacing w:line="240" w:lineRule="atLeast"/>
              <w:jc w:val="left"/>
              <w:rPr>
                <w:rFonts w:ascii="仿宋_GB2312" w:hAnsi="仿宋_GB2312" w:eastAsia="仿宋_GB2312" w:cs="仿宋_GB2312"/>
                <w:sz w:val="20"/>
                <w:szCs w:val="20"/>
              </w:rPr>
            </w:pPr>
          </w:p>
        </w:tc>
        <w:tc>
          <w:tcPr>
            <w:tcW w:w="555" w:type="dxa"/>
            <w:vMerge w:val="continue"/>
          </w:tcPr>
          <w:p w14:paraId="5F39CCC4">
            <w:pPr>
              <w:spacing w:line="240" w:lineRule="atLeast"/>
              <w:jc w:val="left"/>
              <w:rPr>
                <w:rFonts w:ascii="仿宋_GB2312" w:hAnsi="仿宋_GB2312" w:eastAsia="仿宋_GB2312" w:cs="仿宋_GB2312"/>
                <w:sz w:val="20"/>
                <w:szCs w:val="20"/>
              </w:rPr>
            </w:pPr>
          </w:p>
        </w:tc>
        <w:tc>
          <w:tcPr>
            <w:tcW w:w="784" w:type="dxa"/>
            <w:vAlign w:val="center"/>
          </w:tcPr>
          <w:p w14:paraId="1D6214C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CD788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E0B099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AAEDD7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4066C1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A8569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1D8F35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E5AE4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E9069B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33BDC8E">
            <w:pPr>
              <w:spacing w:line="240" w:lineRule="atLeast"/>
              <w:jc w:val="left"/>
              <w:rPr>
                <w:rFonts w:ascii="仿宋_GB2312" w:hAnsi="仿宋_GB2312" w:eastAsia="仿宋_GB2312" w:cs="仿宋_GB2312"/>
                <w:sz w:val="20"/>
                <w:szCs w:val="20"/>
              </w:rPr>
            </w:pPr>
          </w:p>
        </w:tc>
      </w:tr>
      <w:tr w14:paraId="2101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F9E08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129</w:t>
            </w:r>
          </w:p>
        </w:tc>
        <w:tc>
          <w:tcPr>
            <w:tcW w:w="555" w:type="dxa"/>
            <w:vAlign w:val="center"/>
          </w:tcPr>
          <w:p w14:paraId="778E5E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09BE9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9039A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1D0498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对城乡规划编制单位以欺骗手段取得资质证书承揽城乡规划编制工作行为的处罚</w:t>
            </w:r>
          </w:p>
        </w:tc>
        <w:tc>
          <w:tcPr>
            <w:tcW w:w="660" w:type="dxa"/>
            <w:vAlign w:val="center"/>
          </w:tcPr>
          <w:p w14:paraId="0FCD8ED7">
            <w:pPr>
              <w:snapToGrid w:val="0"/>
              <w:spacing w:line="240" w:lineRule="atLeast"/>
              <w:jc w:val="center"/>
              <w:rPr>
                <w:rFonts w:ascii="仿宋_GB2312" w:hAnsi="仿宋_GB2312" w:eastAsia="仿宋_GB2312" w:cs="仿宋_GB2312"/>
                <w:sz w:val="20"/>
                <w:szCs w:val="20"/>
              </w:rPr>
            </w:pPr>
          </w:p>
        </w:tc>
        <w:tc>
          <w:tcPr>
            <w:tcW w:w="615" w:type="dxa"/>
            <w:vAlign w:val="center"/>
          </w:tcPr>
          <w:p w14:paraId="071F2A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3416C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EBC94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65C0B6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w:t>
            </w:r>
          </w:p>
          <w:p w14:paraId="1DCDA1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以欺骗手段取得资质证书承揽城乡规划编制工作的，由原发证机关吊销资质证书，依照本条第一款规定处以罚款;造成损失的，依法承担赔偿责任。</w:t>
            </w:r>
          </w:p>
          <w:p w14:paraId="6880EC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47310C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6AAB0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C07E9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82FF4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E1637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E94D3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F2BFE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40EE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44D9F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748E5E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EF4FE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85200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DD16D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3F81E2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4B7898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E75A7A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4B52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4C8EA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9732C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EC57D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59E5F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149C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81D57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0A8C5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298C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F768D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842DD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7C1B5F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1E262FF">
            <w:pPr>
              <w:snapToGrid w:val="0"/>
              <w:spacing w:line="240" w:lineRule="atLeast"/>
              <w:jc w:val="center"/>
              <w:rPr>
                <w:rFonts w:ascii="仿宋_GB2312" w:hAnsi="仿宋_GB2312" w:eastAsia="仿宋_GB2312" w:cs="仿宋_GB2312"/>
                <w:sz w:val="20"/>
                <w:szCs w:val="20"/>
              </w:rPr>
            </w:pPr>
          </w:p>
        </w:tc>
      </w:tr>
    </w:tbl>
    <w:p w14:paraId="7910CC5A"/>
    <w:p w14:paraId="04713A07"/>
    <w:p w14:paraId="20BB2D35"/>
    <w:p w14:paraId="1E9494E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B26F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6E4D6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6D108CA">
            <w:pPr>
              <w:spacing w:line="240" w:lineRule="atLeast"/>
              <w:rPr>
                <w:rFonts w:asciiTheme="majorEastAsia" w:hAnsiTheme="majorEastAsia" w:eastAsiaTheme="majorEastAsia" w:cstheme="majorEastAsia"/>
                <w:spacing w:val="-20"/>
                <w:sz w:val="20"/>
                <w:szCs w:val="20"/>
              </w:rPr>
            </w:pPr>
          </w:p>
          <w:p w14:paraId="33D8E62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CFFAA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DD94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00E577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1BA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3E68B12">
            <w:pPr>
              <w:spacing w:line="240" w:lineRule="atLeast"/>
              <w:jc w:val="left"/>
              <w:rPr>
                <w:rFonts w:ascii="仿宋_GB2312" w:hAnsi="仿宋_GB2312" w:eastAsia="仿宋_GB2312" w:cs="仿宋_GB2312"/>
                <w:sz w:val="20"/>
                <w:szCs w:val="20"/>
              </w:rPr>
            </w:pPr>
          </w:p>
        </w:tc>
        <w:tc>
          <w:tcPr>
            <w:tcW w:w="555" w:type="dxa"/>
            <w:vMerge w:val="continue"/>
          </w:tcPr>
          <w:p w14:paraId="6D889423">
            <w:pPr>
              <w:spacing w:line="240" w:lineRule="atLeast"/>
              <w:jc w:val="left"/>
              <w:rPr>
                <w:rFonts w:ascii="仿宋_GB2312" w:hAnsi="仿宋_GB2312" w:eastAsia="仿宋_GB2312" w:cs="仿宋_GB2312"/>
                <w:sz w:val="20"/>
                <w:szCs w:val="20"/>
              </w:rPr>
            </w:pPr>
          </w:p>
        </w:tc>
        <w:tc>
          <w:tcPr>
            <w:tcW w:w="784" w:type="dxa"/>
            <w:vAlign w:val="center"/>
          </w:tcPr>
          <w:p w14:paraId="6D776A3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2F324C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DE424E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BFF8BC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7FFA87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0BC365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3DEC1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0AA02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862FF3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FD356FB">
            <w:pPr>
              <w:spacing w:line="240" w:lineRule="atLeast"/>
              <w:jc w:val="left"/>
              <w:rPr>
                <w:rFonts w:ascii="仿宋_GB2312" w:hAnsi="仿宋_GB2312" w:eastAsia="仿宋_GB2312" w:cs="仿宋_GB2312"/>
                <w:sz w:val="20"/>
                <w:szCs w:val="20"/>
              </w:rPr>
            </w:pPr>
          </w:p>
        </w:tc>
      </w:tr>
      <w:tr w14:paraId="76D0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1BAE8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130</w:t>
            </w:r>
          </w:p>
        </w:tc>
        <w:tc>
          <w:tcPr>
            <w:tcW w:w="555" w:type="dxa"/>
            <w:vAlign w:val="center"/>
          </w:tcPr>
          <w:p w14:paraId="1FA7B1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BC70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B4198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240665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对城乡规划编制单位未按照要求提供信用档案信息行为的处罚</w:t>
            </w:r>
          </w:p>
        </w:tc>
        <w:tc>
          <w:tcPr>
            <w:tcW w:w="660" w:type="dxa"/>
            <w:vAlign w:val="center"/>
          </w:tcPr>
          <w:p w14:paraId="6E559CCC">
            <w:pPr>
              <w:snapToGrid w:val="0"/>
              <w:spacing w:line="240" w:lineRule="atLeast"/>
              <w:jc w:val="center"/>
              <w:rPr>
                <w:rFonts w:ascii="仿宋_GB2312" w:hAnsi="仿宋_GB2312" w:eastAsia="仿宋_GB2312" w:cs="仿宋_GB2312"/>
                <w:sz w:val="20"/>
                <w:szCs w:val="20"/>
              </w:rPr>
            </w:pPr>
          </w:p>
        </w:tc>
        <w:tc>
          <w:tcPr>
            <w:tcW w:w="615" w:type="dxa"/>
            <w:vAlign w:val="center"/>
          </w:tcPr>
          <w:p w14:paraId="1895AD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F5D56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2A4B2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四十条：城乡规划编制单位未按照本规定要求提供信用档案信息的，由县级以上地方人民政府城乡规划主管部门给予警告，责令限期改正；逾期未改正的，可处1000元以上1万元以下的罚款。</w:t>
            </w:r>
          </w:p>
        </w:tc>
        <w:tc>
          <w:tcPr>
            <w:tcW w:w="3585" w:type="dxa"/>
            <w:vAlign w:val="center"/>
          </w:tcPr>
          <w:p w14:paraId="43C8CB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7C556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D4F40E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B834C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A38DC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22AB1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F518D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D4DF0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A25AB1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5C9695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C821F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D3465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EDBEB4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4B6B4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D35A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6ADB5F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51F07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1AC90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36AAB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476A1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27F5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B7E40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5DE6B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23E85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64D6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64A4F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59B34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81951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5230716">
            <w:pPr>
              <w:snapToGrid w:val="0"/>
              <w:spacing w:line="240" w:lineRule="atLeast"/>
              <w:jc w:val="center"/>
              <w:rPr>
                <w:rFonts w:ascii="仿宋_GB2312" w:hAnsi="仿宋_GB2312" w:eastAsia="仿宋_GB2312" w:cs="仿宋_GB2312"/>
                <w:sz w:val="20"/>
                <w:szCs w:val="20"/>
              </w:rPr>
            </w:pPr>
          </w:p>
        </w:tc>
      </w:tr>
    </w:tbl>
    <w:p w14:paraId="197DD483"/>
    <w:p w14:paraId="086E5D5A"/>
    <w:p w14:paraId="0D5A6EE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982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0680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A97ED4A">
            <w:pPr>
              <w:spacing w:line="240" w:lineRule="atLeast"/>
              <w:rPr>
                <w:rFonts w:asciiTheme="majorEastAsia" w:hAnsiTheme="majorEastAsia" w:eastAsiaTheme="majorEastAsia" w:cstheme="majorEastAsia"/>
                <w:spacing w:val="-20"/>
                <w:sz w:val="20"/>
                <w:szCs w:val="20"/>
              </w:rPr>
            </w:pPr>
          </w:p>
          <w:p w14:paraId="0BFCD70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911FC9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EC46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B93971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B4C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2DC81C">
            <w:pPr>
              <w:spacing w:line="240" w:lineRule="atLeast"/>
              <w:jc w:val="left"/>
              <w:rPr>
                <w:rFonts w:ascii="仿宋_GB2312" w:hAnsi="仿宋_GB2312" w:eastAsia="仿宋_GB2312" w:cs="仿宋_GB2312"/>
                <w:sz w:val="20"/>
                <w:szCs w:val="20"/>
              </w:rPr>
            </w:pPr>
          </w:p>
        </w:tc>
        <w:tc>
          <w:tcPr>
            <w:tcW w:w="555" w:type="dxa"/>
            <w:vMerge w:val="continue"/>
          </w:tcPr>
          <w:p w14:paraId="3A01850D">
            <w:pPr>
              <w:spacing w:line="240" w:lineRule="atLeast"/>
              <w:jc w:val="left"/>
              <w:rPr>
                <w:rFonts w:ascii="仿宋_GB2312" w:hAnsi="仿宋_GB2312" w:eastAsia="仿宋_GB2312" w:cs="仿宋_GB2312"/>
                <w:sz w:val="20"/>
                <w:szCs w:val="20"/>
              </w:rPr>
            </w:pPr>
          </w:p>
        </w:tc>
        <w:tc>
          <w:tcPr>
            <w:tcW w:w="784" w:type="dxa"/>
            <w:vAlign w:val="center"/>
          </w:tcPr>
          <w:p w14:paraId="54338DA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2B379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D5D0B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77650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724157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483C8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0C56F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4BFD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0B15F9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C2BF48C">
            <w:pPr>
              <w:spacing w:line="240" w:lineRule="atLeast"/>
              <w:jc w:val="left"/>
              <w:rPr>
                <w:rFonts w:ascii="仿宋_GB2312" w:hAnsi="仿宋_GB2312" w:eastAsia="仿宋_GB2312" w:cs="仿宋_GB2312"/>
                <w:sz w:val="20"/>
                <w:szCs w:val="20"/>
              </w:rPr>
            </w:pPr>
          </w:p>
        </w:tc>
      </w:tr>
      <w:tr w14:paraId="103D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008D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131</w:t>
            </w:r>
          </w:p>
        </w:tc>
        <w:tc>
          <w:tcPr>
            <w:tcW w:w="555" w:type="dxa"/>
            <w:vAlign w:val="center"/>
          </w:tcPr>
          <w:p w14:paraId="09748E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7175A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7D14B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F45964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对建设单位或者个人未经批准进行临时建设行为的处罚</w:t>
            </w:r>
          </w:p>
        </w:tc>
        <w:tc>
          <w:tcPr>
            <w:tcW w:w="660" w:type="dxa"/>
            <w:vAlign w:val="center"/>
          </w:tcPr>
          <w:p w14:paraId="732FDDAD">
            <w:pPr>
              <w:snapToGrid w:val="0"/>
              <w:spacing w:line="240" w:lineRule="atLeast"/>
              <w:jc w:val="center"/>
              <w:rPr>
                <w:rFonts w:ascii="仿宋_GB2312" w:hAnsi="仿宋_GB2312" w:eastAsia="仿宋_GB2312" w:cs="仿宋_GB2312"/>
                <w:sz w:val="20"/>
                <w:szCs w:val="20"/>
              </w:rPr>
            </w:pPr>
          </w:p>
        </w:tc>
        <w:tc>
          <w:tcPr>
            <w:tcW w:w="615" w:type="dxa"/>
            <w:vAlign w:val="center"/>
          </w:tcPr>
          <w:p w14:paraId="2F3645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27E4C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45F12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11FA88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未经批准进行临时建设的。</w:t>
            </w:r>
          </w:p>
        </w:tc>
        <w:tc>
          <w:tcPr>
            <w:tcW w:w="3585" w:type="dxa"/>
            <w:vAlign w:val="center"/>
          </w:tcPr>
          <w:p w14:paraId="1238AD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753A7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47FEF7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B4E58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49CDB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C419B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1214D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250A7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E5C4D2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9303B7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B606A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AD9C9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D770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50FC0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093D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7824F5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5118D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F0BA8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127EA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FDA57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6AA46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E622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62B9B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2EC8B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AE15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5A7E9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1C25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7B355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E15A92">
            <w:pPr>
              <w:snapToGrid w:val="0"/>
              <w:spacing w:line="240" w:lineRule="atLeast"/>
              <w:jc w:val="center"/>
              <w:rPr>
                <w:rFonts w:ascii="仿宋_GB2312" w:hAnsi="仿宋_GB2312" w:eastAsia="仿宋_GB2312" w:cs="仿宋_GB2312"/>
                <w:sz w:val="20"/>
                <w:szCs w:val="20"/>
              </w:rPr>
            </w:pPr>
          </w:p>
        </w:tc>
      </w:tr>
    </w:tbl>
    <w:p w14:paraId="39EE2F38"/>
    <w:p w14:paraId="5308FFC0"/>
    <w:p w14:paraId="6D4972E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C49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7809A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E13DF5A">
            <w:pPr>
              <w:spacing w:line="240" w:lineRule="atLeast"/>
              <w:rPr>
                <w:rFonts w:asciiTheme="majorEastAsia" w:hAnsiTheme="majorEastAsia" w:eastAsiaTheme="majorEastAsia" w:cstheme="majorEastAsia"/>
                <w:spacing w:val="-20"/>
                <w:sz w:val="20"/>
                <w:szCs w:val="20"/>
              </w:rPr>
            </w:pPr>
          </w:p>
          <w:p w14:paraId="7F71753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6219C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709106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FFABCF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3D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1AE5EA4">
            <w:pPr>
              <w:spacing w:line="240" w:lineRule="atLeast"/>
              <w:jc w:val="left"/>
              <w:rPr>
                <w:rFonts w:ascii="仿宋_GB2312" w:hAnsi="仿宋_GB2312" w:eastAsia="仿宋_GB2312" w:cs="仿宋_GB2312"/>
                <w:sz w:val="20"/>
                <w:szCs w:val="20"/>
              </w:rPr>
            </w:pPr>
          </w:p>
        </w:tc>
        <w:tc>
          <w:tcPr>
            <w:tcW w:w="555" w:type="dxa"/>
            <w:vMerge w:val="continue"/>
          </w:tcPr>
          <w:p w14:paraId="43072F91">
            <w:pPr>
              <w:spacing w:line="240" w:lineRule="atLeast"/>
              <w:jc w:val="left"/>
              <w:rPr>
                <w:rFonts w:ascii="仿宋_GB2312" w:hAnsi="仿宋_GB2312" w:eastAsia="仿宋_GB2312" w:cs="仿宋_GB2312"/>
                <w:sz w:val="20"/>
                <w:szCs w:val="20"/>
              </w:rPr>
            </w:pPr>
          </w:p>
        </w:tc>
        <w:tc>
          <w:tcPr>
            <w:tcW w:w="784" w:type="dxa"/>
            <w:vAlign w:val="center"/>
          </w:tcPr>
          <w:p w14:paraId="7B65885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77756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BBD32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15003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720487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4E021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93A3A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1EC9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BC7F6C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85AC7C5">
            <w:pPr>
              <w:spacing w:line="240" w:lineRule="atLeast"/>
              <w:jc w:val="left"/>
              <w:rPr>
                <w:rFonts w:ascii="仿宋_GB2312" w:hAnsi="仿宋_GB2312" w:eastAsia="仿宋_GB2312" w:cs="仿宋_GB2312"/>
                <w:sz w:val="20"/>
                <w:szCs w:val="20"/>
              </w:rPr>
            </w:pPr>
          </w:p>
        </w:tc>
      </w:tr>
      <w:tr w14:paraId="092B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08133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132</w:t>
            </w:r>
          </w:p>
        </w:tc>
        <w:tc>
          <w:tcPr>
            <w:tcW w:w="555" w:type="dxa"/>
            <w:vAlign w:val="center"/>
          </w:tcPr>
          <w:p w14:paraId="633511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4EE7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1CFB8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1322B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对建设单位或者个人未按照批准内容进行临时建设行为的处罚</w:t>
            </w:r>
          </w:p>
        </w:tc>
        <w:tc>
          <w:tcPr>
            <w:tcW w:w="660" w:type="dxa"/>
            <w:vAlign w:val="center"/>
          </w:tcPr>
          <w:p w14:paraId="162DCA51">
            <w:pPr>
              <w:snapToGrid w:val="0"/>
              <w:spacing w:line="240" w:lineRule="atLeast"/>
              <w:jc w:val="center"/>
              <w:rPr>
                <w:rFonts w:ascii="仿宋_GB2312" w:hAnsi="仿宋_GB2312" w:eastAsia="仿宋_GB2312" w:cs="仿宋_GB2312"/>
                <w:sz w:val="20"/>
                <w:szCs w:val="20"/>
              </w:rPr>
            </w:pPr>
          </w:p>
        </w:tc>
        <w:tc>
          <w:tcPr>
            <w:tcW w:w="615" w:type="dxa"/>
            <w:vAlign w:val="center"/>
          </w:tcPr>
          <w:p w14:paraId="11956A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A4A50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B2A14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38E9DC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未按照批准内容进行临时建设的。</w:t>
            </w:r>
          </w:p>
        </w:tc>
        <w:tc>
          <w:tcPr>
            <w:tcW w:w="3585" w:type="dxa"/>
            <w:vAlign w:val="center"/>
          </w:tcPr>
          <w:p w14:paraId="7818AC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6221A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901ED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82897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03092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96F2C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F07F5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53D7C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6DFCF3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EFFE4E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C2300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5FE3CA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07BF6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0D4F3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E04D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C1365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85347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C68E8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2F2D9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9DE9E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C021C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3D35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2C08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D1156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E8446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D4E45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13F85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1A290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8229869">
            <w:pPr>
              <w:snapToGrid w:val="0"/>
              <w:spacing w:line="240" w:lineRule="atLeast"/>
              <w:jc w:val="center"/>
              <w:rPr>
                <w:rFonts w:ascii="仿宋_GB2312" w:hAnsi="仿宋_GB2312" w:eastAsia="仿宋_GB2312" w:cs="仿宋_GB2312"/>
                <w:sz w:val="20"/>
                <w:szCs w:val="20"/>
              </w:rPr>
            </w:pPr>
          </w:p>
        </w:tc>
      </w:tr>
    </w:tbl>
    <w:p w14:paraId="3E7D3B61"/>
    <w:p w14:paraId="08B1B96E"/>
    <w:p w14:paraId="20DC8EAA"/>
    <w:p w14:paraId="5EC655F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971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8FCA73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1E3B68">
            <w:pPr>
              <w:spacing w:line="240" w:lineRule="atLeast"/>
              <w:rPr>
                <w:rFonts w:asciiTheme="majorEastAsia" w:hAnsiTheme="majorEastAsia" w:eastAsiaTheme="majorEastAsia" w:cstheme="majorEastAsia"/>
                <w:spacing w:val="-20"/>
                <w:sz w:val="20"/>
                <w:szCs w:val="20"/>
              </w:rPr>
            </w:pPr>
          </w:p>
          <w:p w14:paraId="1F9B1A4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3C1FBC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6D18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8E319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6F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57997F8">
            <w:pPr>
              <w:spacing w:line="240" w:lineRule="atLeast"/>
              <w:jc w:val="left"/>
              <w:rPr>
                <w:rFonts w:ascii="仿宋_GB2312" w:hAnsi="仿宋_GB2312" w:eastAsia="仿宋_GB2312" w:cs="仿宋_GB2312"/>
                <w:sz w:val="20"/>
                <w:szCs w:val="20"/>
              </w:rPr>
            </w:pPr>
          </w:p>
        </w:tc>
        <w:tc>
          <w:tcPr>
            <w:tcW w:w="555" w:type="dxa"/>
            <w:vMerge w:val="continue"/>
          </w:tcPr>
          <w:p w14:paraId="5520A9E3">
            <w:pPr>
              <w:spacing w:line="240" w:lineRule="atLeast"/>
              <w:jc w:val="left"/>
              <w:rPr>
                <w:rFonts w:ascii="仿宋_GB2312" w:hAnsi="仿宋_GB2312" w:eastAsia="仿宋_GB2312" w:cs="仿宋_GB2312"/>
                <w:sz w:val="20"/>
                <w:szCs w:val="20"/>
              </w:rPr>
            </w:pPr>
          </w:p>
        </w:tc>
        <w:tc>
          <w:tcPr>
            <w:tcW w:w="784" w:type="dxa"/>
            <w:vAlign w:val="center"/>
          </w:tcPr>
          <w:p w14:paraId="6397187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C53FE5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77A666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CA1792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C74380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4E66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14192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CCE0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CB2494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66C8BAB">
            <w:pPr>
              <w:spacing w:line="240" w:lineRule="atLeast"/>
              <w:jc w:val="left"/>
              <w:rPr>
                <w:rFonts w:ascii="仿宋_GB2312" w:hAnsi="仿宋_GB2312" w:eastAsia="仿宋_GB2312" w:cs="仿宋_GB2312"/>
                <w:sz w:val="20"/>
                <w:szCs w:val="20"/>
              </w:rPr>
            </w:pPr>
          </w:p>
        </w:tc>
      </w:tr>
      <w:tr w14:paraId="5435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FECF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133</w:t>
            </w:r>
          </w:p>
        </w:tc>
        <w:tc>
          <w:tcPr>
            <w:tcW w:w="555" w:type="dxa"/>
            <w:vAlign w:val="center"/>
          </w:tcPr>
          <w:p w14:paraId="4162A8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8BF20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0C1A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0A34D7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对建设单位或者个人超过批准期限不拆除临时建筑物、构筑物行为的处罚</w:t>
            </w:r>
          </w:p>
        </w:tc>
        <w:tc>
          <w:tcPr>
            <w:tcW w:w="660" w:type="dxa"/>
            <w:vAlign w:val="center"/>
          </w:tcPr>
          <w:p w14:paraId="3752FE4F">
            <w:pPr>
              <w:snapToGrid w:val="0"/>
              <w:spacing w:line="240" w:lineRule="atLeast"/>
              <w:jc w:val="center"/>
              <w:rPr>
                <w:rFonts w:ascii="仿宋_GB2312" w:hAnsi="仿宋_GB2312" w:eastAsia="仿宋_GB2312" w:cs="仿宋_GB2312"/>
                <w:sz w:val="20"/>
                <w:szCs w:val="20"/>
              </w:rPr>
            </w:pPr>
          </w:p>
        </w:tc>
        <w:tc>
          <w:tcPr>
            <w:tcW w:w="615" w:type="dxa"/>
            <w:vAlign w:val="center"/>
          </w:tcPr>
          <w:p w14:paraId="1C79E7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D2050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9388A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5D6222E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（三）临时建筑物、构筑物超过批准期限不拆除的。</w:t>
            </w:r>
          </w:p>
        </w:tc>
        <w:tc>
          <w:tcPr>
            <w:tcW w:w="3585" w:type="dxa"/>
            <w:vAlign w:val="center"/>
          </w:tcPr>
          <w:p w14:paraId="4D46BB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EB613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AEA8F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C7AAF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DCD2C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902BB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391D8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A88E70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60BE60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092D68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BEB5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80EA05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C342F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2AF7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A85D5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B4A3F3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6BA06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D4DE0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006A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93F3D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0474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E6EC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7B439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58618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C315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3C51C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8231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10FFB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68D1CB3">
            <w:pPr>
              <w:snapToGrid w:val="0"/>
              <w:spacing w:line="240" w:lineRule="atLeast"/>
              <w:jc w:val="center"/>
              <w:rPr>
                <w:rFonts w:ascii="仿宋_GB2312" w:hAnsi="仿宋_GB2312" w:eastAsia="仿宋_GB2312" w:cs="仿宋_GB2312"/>
                <w:sz w:val="20"/>
                <w:szCs w:val="20"/>
              </w:rPr>
            </w:pPr>
          </w:p>
        </w:tc>
      </w:tr>
    </w:tbl>
    <w:p w14:paraId="6CAEA7CE"/>
    <w:p w14:paraId="12B749C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99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53A12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5BC9886">
            <w:pPr>
              <w:spacing w:line="240" w:lineRule="atLeast"/>
              <w:rPr>
                <w:rFonts w:asciiTheme="majorEastAsia" w:hAnsiTheme="majorEastAsia" w:eastAsiaTheme="majorEastAsia" w:cstheme="majorEastAsia"/>
                <w:spacing w:val="-20"/>
                <w:sz w:val="20"/>
                <w:szCs w:val="20"/>
              </w:rPr>
            </w:pPr>
          </w:p>
          <w:p w14:paraId="673D07A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6B9FDC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9724B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3C520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199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9CC08D6">
            <w:pPr>
              <w:spacing w:line="240" w:lineRule="atLeast"/>
              <w:jc w:val="left"/>
              <w:rPr>
                <w:rFonts w:ascii="仿宋_GB2312" w:hAnsi="仿宋_GB2312" w:eastAsia="仿宋_GB2312" w:cs="仿宋_GB2312"/>
                <w:sz w:val="20"/>
                <w:szCs w:val="20"/>
              </w:rPr>
            </w:pPr>
          </w:p>
        </w:tc>
        <w:tc>
          <w:tcPr>
            <w:tcW w:w="555" w:type="dxa"/>
            <w:vMerge w:val="continue"/>
          </w:tcPr>
          <w:p w14:paraId="6F977229">
            <w:pPr>
              <w:spacing w:line="240" w:lineRule="atLeast"/>
              <w:jc w:val="left"/>
              <w:rPr>
                <w:rFonts w:ascii="仿宋_GB2312" w:hAnsi="仿宋_GB2312" w:eastAsia="仿宋_GB2312" w:cs="仿宋_GB2312"/>
                <w:sz w:val="20"/>
                <w:szCs w:val="20"/>
              </w:rPr>
            </w:pPr>
          </w:p>
        </w:tc>
        <w:tc>
          <w:tcPr>
            <w:tcW w:w="784" w:type="dxa"/>
            <w:vAlign w:val="center"/>
          </w:tcPr>
          <w:p w14:paraId="14373D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C330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E5C62D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D3217F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4CC926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EF7BD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B04FF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DE5D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7B970E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3BE274">
            <w:pPr>
              <w:spacing w:line="240" w:lineRule="atLeast"/>
              <w:jc w:val="left"/>
              <w:rPr>
                <w:rFonts w:ascii="仿宋_GB2312" w:hAnsi="仿宋_GB2312" w:eastAsia="仿宋_GB2312" w:cs="仿宋_GB2312"/>
                <w:sz w:val="20"/>
                <w:szCs w:val="20"/>
              </w:rPr>
            </w:pPr>
          </w:p>
        </w:tc>
      </w:tr>
      <w:tr w14:paraId="6272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7FAD9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134</w:t>
            </w:r>
          </w:p>
        </w:tc>
        <w:tc>
          <w:tcPr>
            <w:tcW w:w="555" w:type="dxa"/>
            <w:vAlign w:val="center"/>
          </w:tcPr>
          <w:p w14:paraId="5406F1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076E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D1DB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16BA4D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对建设单位未在建设工程竣工验收后六个月内向城乡规划主管部门报送有关竣工验收资料行为的处罚</w:t>
            </w:r>
          </w:p>
        </w:tc>
        <w:tc>
          <w:tcPr>
            <w:tcW w:w="660" w:type="dxa"/>
            <w:vAlign w:val="center"/>
          </w:tcPr>
          <w:p w14:paraId="4AB3F6B5">
            <w:pPr>
              <w:snapToGrid w:val="0"/>
              <w:spacing w:line="240" w:lineRule="atLeast"/>
              <w:jc w:val="center"/>
              <w:rPr>
                <w:rFonts w:ascii="仿宋_GB2312" w:hAnsi="仿宋_GB2312" w:eastAsia="仿宋_GB2312" w:cs="仿宋_GB2312"/>
                <w:sz w:val="20"/>
                <w:szCs w:val="20"/>
              </w:rPr>
            </w:pPr>
          </w:p>
        </w:tc>
        <w:tc>
          <w:tcPr>
            <w:tcW w:w="615" w:type="dxa"/>
            <w:vAlign w:val="center"/>
          </w:tcPr>
          <w:p w14:paraId="5FC9C9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57967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63DED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城乡规划法》第六十七条：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3585" w:type="dxa"/>
            <w:vAlign w:val="center"/>
          </w:tcPr>
          <w:p w14:paraId="63E853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C2D11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67C17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C4D38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6DA05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980A9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14947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0567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3798B7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21884A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6388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8F5E39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9FBB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65078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8CD04E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DCCF48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B6A40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DE13C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B8D27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BDC2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F5818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F024E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24CBA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FDF4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B3648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0D8D5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C016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804DE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276CF12">
            <w:pPr>
              <w:snapToGrid w:val="0"/>
              <w:spacing w:line="240" w:lineRule="atLeast"/>
              <w:jc w:val="center"/>
              <w:rPr>
                <w:rFonts w:ascii="仿宋_GB2312" w:hAnsi="仿宋_GB2312" w:eastAsia="仿宋_GB2312" w:cs="仿宋_GB2312"/>
                <w:sz w:val="20"/>
                <w:szCs w:val="20"/>
              </w:rPr>
            </w:pPr>
          </w:p>
        </w:tc>
      </w:tr>
    </w:tbl>
    <w:p w14:paraId="7E646A64"/>
    <w:p w14:paraId="5139FC53"/>
    <w:p w14:paraId="012FD4CD"/>
    <w:p w14:paraId="609718A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0C9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8DAF01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A97A541">
            <w:pPr>
              <w:spacing w:line="240" w:lineRule="atLeast"/>
              <w:rPr>
                <w:rFonts w:asciiTheme="majorEastAsia" w:hAnsiTheme="majorEastAsia" w:eastAsiaTheme="majorEastAsia" w:cstheme="majorEastAsia"/>
                <w:spacing w:val="-20"/>
                <w:sz w:val="20"/>
                <w:szCs w:val="20"/>
              </w:rPr>
            </w:pPr>
          </w:p>
          <w:p w14:paraId="288DFAE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54A178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C722FB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34B5A8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C6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07C85A4">
            <w:pPr>
              <w:spacing w:line="240" w:lineRule="atLeast"/>
              <w:jc w:val="left"/>
              <w:rPr>
                <w:rFonts w:ascii="仿宋_GB2312" w:hAnsi="仿宋_GB2312" w:eastAsia="仿宋_GB2312" w:cs="仿宋_GB2312"/>
                <w:sz w:val="20"/>
                <w:szCs w:val="20"/>
              </w:rPr>
            </w:pPr>
          </w:p>
        </w:tc>
        <w:tc>
          <w:tcPr>
            <w:tcW w:w="555" w:type="dxa"/>
            <w:vMerge w:val="continue"/>
          </w:tcPr>
          <w:p w14:paraId="755F96F9">
            <w:pPr>
              <w:spacing w:line="240" w:lineRule="atLeast"/>
              <w:jc w:val="left"/>
              <w:rPr>
                <w:rFonts w:ascii="仿宋_GB2312" w:hAnsi="仿宋_GB2312" w:eastAsia="仿宋_GB2312" w:cs="仿宋_GB2312"/>
                <w:sz w:val="20"/>
                <w:szCs w:val="20"/>
              </w:rPr>
            </w:pPr>
          </w:p>
        </w:tc>
        <w:tc>
          <w:tcPr>
            <w:tcW w:w="784" w:type="dxa"/>
            <w:vAlign w:val="center"/>
          </w:tcPr>
          <w:p w14:paraId="7F281CE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36C25B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644058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2FAE7B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C5CECE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C9422C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AB89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B994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47B816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442EA6C">
            <w:pPr>
              <w:spacing w:line="240" w:lineRule="atLeast"/>
              <w:jc w:val="left"/>
              <w:rPr>
                <w:rFonts w:ascii="仿宋_GB2312" w:hAnsi="仿宋_GB2312" w:eastAsia="仿宋_GB2312" w:cs="仿宋_GB2312"/>
                <w:sz w:val="20"/>
                <w:szCs w:val="20"/>
              </w:rPr>
            </w:pPr>
          </w:p>
        </w:tc>
      </w:tr>
      <w:tr w14:paraId="4494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B34C9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135</w:t>
            </w:r>
          </w:p>
        </w:tc>
        <w:tc>
          <w:tcPr>
            <w:tcW w:w="555" w:type="dxa"/>
            <w:vAlign w:val="center"/>
          </w:tcPr>
          <w:p w14:paraId="3CE27F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15DD8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B1867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E7AE0B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对外国的组织或者个人未经批准，或者未与中华人民共和国有关部门、单位合作，擅自从事测绘活动行为的处罚</w:t>
            </w:r>
          </w:p>
        </w:tc>
        <w:tc>
          <w:tcPr>
            <w:tcW w:w="660" w:type="dxa"/>
            <w:vAlign w:val="center"/>
          </w:tcPr>
          <w:p w14:paraId="3CE687A4">
            <w:pPr>
              <w:snapToGrid w:val="0"/>
              <w:spacing w:line="240" w:lineRule="atLeast"/>
              <w:jc w:val="center"/>
              <w:rPr>
                <w:rFonts w:ascii="仿宋_GB2312" w:hAnsi="仿宋_GB2312" w:eastAsia="仿宋_GB2312" w:cs="仿宋_GB2312"/>
                <w:sz w:val="20"/>
                <w:szCs w:val="20"/>
              </w:rPr>
            </w:pPr>
          </w:p>
        </w:tc>
        <w:tc>
          <w:tcPr>
            <w:tcW w:w="615" w:type="dxa"/>
            <w:vAlign w:val="center"/>
          </w:tcPr>
          <w:p w14:paraId="1CF011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54BD1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B0A69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一条：违反本法规定，外国的组织或者个人未经批准，或者未与中华人民共和国有关部门、单位合作，擅自从事测绘活动的，责令停止违法行为，没收违法所得、测绘成果和测绘工具，并处十万元以上五十万元以下的罚款；情节严重的，并处五十万元以上一百万元以下的罚款，限期出境或者驱逐出境；构成犯罪的，依法追究刑事责任。</w:t>
            </w:r>
          </w:p>
          <w:p w14:paraId="01A824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0E6493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14:paraId="5632DE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14:paraId="771700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A27B4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E4DE4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6AE8EE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25540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2F0BA16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614BEF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00DB83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FBC21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4C59DD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E8B0F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309B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AFCA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D1C99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F8975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2690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D42D8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23D2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4473E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8B13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8A4B2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0DE5F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BAFB9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70E6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44A81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0D77B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9F534A6">
            <w:pPr>
              <w:snapToGrid w:val="0"/>
              <w:spacing w:line="240" w:lineRule="atLeast"/>
              <w:jc w:val="center"/>
              <w:rPr>
                <w:rFonts w:ascii="仿宋_GB2312" w:hAnsi="仿宋_GB2312" w:eastAsia="仿宋_GB2312" w:cs="仿宋_GB2312"/>
                <w:sz w:val="20"/>
                <w:szCs w:val="20"/>
              </w:rPr>
            </w:pPr>
          </w:p>
        </w:tc>
      </w:tr>
    </w:tbl>
    <w:p w14:paraId="70D60C8C"/>
    <w:p w14:paraId="6E7797F0"/>
    <w:p w14:paraId="70462EC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CCA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30E9C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D18580">
            <w:pPr>
              <w:spacing w:line="240" w:lineRule="atLeast"/>
              <w:rPr>
                <w:rFonts w:asciiTheme="majorEastAsia" w:hAnsiTheme="majorEastAsia" w:eastAsiaTheme="majorEastAsia" w:cstheme="majorEastAsia"/>
                <w:spacing w:val="-20"/>
                <w:sz w:val="20"/>
                <w:szCs w:val="20"/>
              </w:rPr>
            </w:pPr>
          </w:p>
          <w:p w14:paraId="655F990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5FC5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642B0C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4A42E7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DF1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92A9757">
            <w:pPr>
              <w:spacing w:line="240" w:lineRule="atLeast"/>
              <w:jc w:val="left"/>
              <w:rPr>
                <w:rFonts w:ascii="仿宋_GB2312" w:hAnsi="仿宋_GB2312" w:eastAsia="仿宋_GB2312" w:cs="仿宋_GB2312"/>
                <w:sz w:val="20"/>
                <w:szCs w:val="20"/>
              </w:rPr>
            </w:pPr>
          </w:p>
        </w:tc>
        <w:tc>
          <w:tcPr>
            <w:tcW w:w="555" w:type="dxa"/>
            <w:vMerge w:val="continue"/>
          </w:tcPr>
          <w:p w14:paraId="372DDF9E">
            <w:pPr>
              <w:spacing w:line="240" w:lineRule="atLeast"/>
              <w:jc w:val="left"/>
              <w:rPr>
                <w:rFonts w:ascii="仿宋_GB2312" w:hAnsi="仿宋_GB2312" w:eastAsia="仿宋_GB2312" w:cs="仿宋_GB2312"/>
                <w:sz w:val="20"/>
                <w:szCs w:val="20"/>
              </w:rPr>
            </w:pPr>
          </w:p>
        </w:tc>
        <w:tc>
          <w:tcPr>
            <w:tcW w:w="784" w:type="dxa"/>
            <w:vAlign w:val="center"/>
          </w:tcPr>
          <w:p w14:paraId="002539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94D095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12AC20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26592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C8C4A7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30745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620A5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A270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024D9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72BDF3">
            <w:pPr>
              <w:spacing w:line="240" w:lineRule="atLeast"/>
              <w:jc w:val="left"/>
              <w:rPr>
                <w:rFonts w:ascii="仿宋_GB2312" w:hAnsi="仿宋_GB2312" w:eastAsia="仿宋_GB2312" w:cs="仿宋_GB2312"/>
                <w:sz w:val="20"/>
                <w:szCs w:val="20"/>
              </w:rPr>
            </w:pPr>
          </w:p>
        </w:tc>
      </w:tr>
      <w:tr w14:paraId="4EB3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98C5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136</w:t>
            </w:r>
          </w:p>
        </w:tc>
        <w:tc>
          <w:tcPr>
            <w:tcW w:w="555" w:type="dxa"/>
            <w:vAlign w:val="center"/>
          </w:tcPr>
          <w:p w14:paraId="23338C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EB13A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D0D9E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2DD396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对实施基础测绘项目，不使用全国统一的测绘基准和测绘系统或者不执行国家规定的测绘技术规范和标准行为的处罚</w:t>
            </w:r>
          </w:p>
        </w:tc>
        <w:tc>
          <w:tcPr>
            <w:tcW w:w="660" w:type="dxa"/>
            <w:vAlign w:val="center"/>
          </w:tcPr>
          <w:p w14:paraId="347BA5D6">
            <w:pPr>
              <w:snapToGrid w:val="0"/>
              <w:spacing w:line="240" w:lineRule="atLeast"/>
              <w:jc w:val="center"/>
              <w:rPr>
                <w:rFonts w:ascii="仿宋_GB2312" w:hAnsi="仿宋_GB2312" w:eastAsia="仿宋_GB2312" w:cs="仿宋_GB2312"/>
                <w:sz w:val="20"/>
                <w:szCs w:val="20"/>
              </w:rPr>
            </w:pPr>
          </w:p>
        </w:tc>
        <w:tc>
          <w:tcPr>
            <w:tcW w:w="615" w:type="dxa"/>
            <w:vAlign w:val="center"/>
          </w:tcPr>
          <w:p w14:paraId="526392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799F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AB3FF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1.【法律】《中华人民共和国测绘法》第五条：从事测绘活动，应当使用国家规定的测绘基准和测绘系统，执行国家规定的测绘技术规范和标准。</w:t>
            </w:r>
          </w:p>
          <w:p w14:paraId="65A053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基础测绘条例》（2009年国务院第556号令）第三十一条：违反本条例规定，实施基础测绘项目，不使用全国统一的测绘基准和测绘系统或者不执行国家规定的测绘技术规范和标准的，责令限期改正，给予警告，可以并处10万元以下罚款；对负有直接责任的主管人员和其他直接责任人员，依法给予处分。</w:t>
            </w:r>
          </w:p>
          <w:p w14:paraId="26BF9FE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第三十四条：本条例规定的降低资质等级、吊销测绘资质证书的行政处罚，由颁发资质证书的部门决定；其他行政处罚由县级以上人民政府测绘行政主管部门决定。</w:t>
            </w:r>
          </w:p>
        </w:tc>
        <w:tc>
          <w:tcPr>
            <w:tcW w:w="3585" w:type="dxa"/>
            <w:vAlign w:val="center"/>
          </w:tcPr>
          <w:p w14:paraId="01392B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实施基础测绘项目，不使用全国统一的测绘基准和测绘系统或者不执行国家规定的测绘技术规范和标准的情况，应及时制止（对正在实施的违法行为，下达《责令停止违法行为通知书》）,并进行审查核实，符合立案条件的予以立案。</w:t>
            </w:r>
          </w:p>
          <w:p w14:paraId="6E1917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实施基础测绘项目，不使用全国统一的测绘基准和测绘系统或者不执行国家规定的测绘技术规范和标准的情况，并制作笔录。调查时允许当事人辩解陈述。执法人员应保守有关秘密。</w:t>
            </w:r>
          </w:p>
          <w:p w14:paraId="7B4AED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0F2FD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411A4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实施基础测绘项目，不使用全国统一的测绘基准和测绘系统或者不执行国家规定的测绘技术规范和标准的事实进行认定，依法制作《行政处罚决定书》，载明违反法律法规或规章的事实和证据、行政处罚的具体依据和内容，告知当事人陈述申辩或者听证情况等内容，告知申请行政复议或提起行政诉讼的权利。</w:t>
            </w:r>
          </w:p>
          <w:p w14:paraId="6AAD26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3963A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18FCF5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660700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AE5095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3642E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B1E1B3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F50D3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2FDA2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F06A9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96970B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4A56E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D7B21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75C03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5E00B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83B0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B58BB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F5594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5AFD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BC9D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4374F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CA246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AA043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5863D8C">
            <w:pPr>
              <w:snapToGrid w:val="0"/>
              <w:spacing w:line="240" w:lineRule="atLeast"/>
              <w:jc w:val="center"/>
              <w:rPr>
                <w:rFonts w:ascii="仿宋_GB2312" w:hAnsi="仿宋_GB2312" w:eastAsia="仿宋_GB2312" w:cs="仿宋_GB2312"/>
                <w:sz w:val="20"/>
                <w:szCs w:val="20"/>
              </w:rPr>
            </w:pPr>
          </w:p>
        </w:tc>
      </w:tr>
    </w:tbl>
    <w:p w14:paraId="3C9AB13E"/>
    <w:p w14:paraId="336F8D33"/>
    <w:p w14:paraId="4452BFC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2AD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C3ADA8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EA9F919">
            <w:pPr>
              <w:spacing w:line="240" w:lineRule="atLeast"/>
              <w:rPr>
                <w:rFonts w:asciiTheme="majorEastAsia" w:hAnsiTheme="majorEastAsia" w:eastAsiaTheme="majorEastAsia" w:cstheme="majorEastAsia"/>
                <w:spacing w:val="-20"/>
                <w:sz w:val="20"/>
                <w:szCs w:val="20"/>
              </w:rPr>
            </w:pPr>
          </w:p>
          <w:p w14:paraId="4FD5CC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B4442B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FE30AC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6C52AD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CDA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8CD471">
            <w:pPr>
              <w:spacing w:line="240" w:lineRule="atLeast"/>
              <w:jc w:val="left"/>
              <w:rPr>
                <w:rFonts w:ascii="仿宋_GB2312" w:hAnsi="仿宋_GB2312" w:eastAsia="仿宋_GB2312" w:cs="仿宋_GB2312"/>
                <w:sz w:val="20"/>
                <w:szCs w:val="20"/>
              </w:rPr>
            </w:pPr>
          </w:p>
        </w:tc>
        <w:tc>
          <w:tcPr>
            <w:tcW w:w="555" w:type="dxa"/>
            <w:vMerge w:val="continue"/>
          </w:tcPr>
          <w:p w14:paraId="1922FC59">
            <w:pPr>
              <w:spacing w:line="240" w:lineRule="atLeast"/>
              <w:jc w:val="left"/>
              <w:rPr>
                <w:rFonts w:ascii="仿宋_GB2312" w:hAnsi="仿宋_GB2312" w:eastAsia="仿宋_GB2312" w:cs="仿宋_GB2312"/>
                <w:sz w:val="20"/>
                <w:szCs w:val="20"/>
              </w:rPr>
            </w:pPr>
          </w:p>
        </w:tc>
        <w:tc>
          <w:tcPr>
            <w:tcW w:w="784" w:type="dxa"/>
            <w:vAlign w:val="center"/>
          </w:tcPr>
          <w:p w14:paraId="65578FC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F5824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71884A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2354C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BBCC5C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B1E79F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81487F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C8FF93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BA4CB9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D308C07">
            <w:pPr>
              <w:spacing w:line="240" w:lineRule="atLeast"/>
              <w:jc w:val="left"/>
              <w:rPr>
                <w:rFonts w:ascii="仿宋_GB2312" w:hAnsi="仿宋_GB2312" w:eastAsia="仿宋_GB2312" w:cs="仿宋_GB2312"/>
                <w:sz w:val="20"/>
                <w:szCs w:val="20"/>
              </w:rPr>
            </w:pPr>
          </w:p>
        </w:tc>
      </w:tr>
      <w:tr w14:paraId="27FD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3702A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137</w:t>
            </w:r>
          </w:p>
        </w:tc>
        <w:tc>
          <w:tcPr>
            <w:tcW w:w="555" w:type="dxa"/>
            <w:vAlign w:val="center"/>
          </w:tcPr>
          <w:p w14:paraId="4E7B8C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BACEF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D94DB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94AC97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对未经批准擅自建立相对独立的平面坐标系统，或者采用不符合国家标准的基础地理信息数据建立地理信息系统行为的处罚</w:t>
            </w:r>
          </w:p>
        </w:tc>
        <w:tc>
          <w:tcPr>
            <w:tcW w:w="660" w:type="dxa"/>
            <w:vAlign w:val="center"/>
          </w:tcPr>
          <w:p w14:paraId="5A33C33A">
            <w:pPr>
              <w:snapToGrid w:val="0"/>
              <w:spacing w:line="240" w:lineRule="atLeast"/>
              <w:jc w:val="center"/>
              <w:rPr>
                <w:rFonts w:ascii="仿宋_GB2312" w:hAnsi="仿宋_GB2312" w:eastAsia="仿宋_GB2312" w:cs="仿宋_GB2312"/>
                <w:sz w:val="20"/>
                <w:szCs w:val="20"/>
              </w:rPr>
            </w:pPr>
          </w:p>
        </w:tc>
        <w:tc>
          <w:tcPr>
            <w:tcW w:w="615" w:type="dxa"/>
            <w:vAlign w:val="center"/>
          </w:tcPr>
          <w:p w14:paraId="181B0D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ECBE2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BA4B1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二条：违反本法规定，未经批准擅自建立相对独立的平面坐标系统，或者采用不符合国家标准的基础地理信息数据建立地理信息系统的，给予警告，责令改正，可以并处五十万元以下的罚款；对直接负责的主管人员和其他直接责任人员，依法给予处分。</w:t>
            </w:r>
          </w:p>
          <w:p w14:paraId="55670CC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4D919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经批准擅自建立相对独立的平面坐标系统，或者采用不符合国家标准的基础地理信息数据建立地理信息系统的情况，应及时制止（对正在实施的违法行为，下达《责令停止违法行为通知书》）,并进行审查核实，符合立案条件的予以立案。</w:t>
            </w:r>
          </w:p>
          <w:p w14:paraId="6F50D7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建立相对独立的平面坐标系统，或者采用不符合国家标准的基础地理信息数据建立地理信息系统的情况，并制作笔录。调查时允许当事人辩解陈述。执法人员应保守有关秘密。</w:t>
            </w:r>
          </w:p>
          <w:p w14:paraId="3BF88F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67B92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12D00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擅自建立相对独立的平面坐标系统，或者采用不符合国家标准的基础地理信息数据建立地理信息系统的事实进行认定，依法制作《行政处罚决定书》，载明违反法律法规或规章的事实和证据、行政处罚的具体依据和内容，告知当事人陈述申辩或者听证情况等内容，告知申请行政复议或提起行政诉讼的权力。</w:t>
            </w:r>
          </w:p>
          <w:p w14:paraId="24D727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75AC3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1CC439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A7D78B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83A2F3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094E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094EF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81BBA0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CE2E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D7BE42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40C52A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3907A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EDAD1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877E3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F8927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4486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29CD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2D679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EB83E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9557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E5E6D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3D5F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B58319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368057E">
            <w:pPr>
              <w:snapToGrid w:val="0"/>
              <w:spacing w:line="240" w:lineRule="atLeast"/>
              <w:jc w:val="center"/>
              <w:rPr>
                <w:rFonts w:ascii="仿宋_GB2312" w:hAnsi="仿宋_GB2312" w:eastAsia="仿宋_GB2312" w:cs="仿宋_GB2312"/>
                <w:sz w:val="20"/>
                <w:szCs w:val="20"/>
              </w:rPr>
            </w:pPr>
          </w:p>
        </w:tc>
      </w:tr>
    </w:tbl>
    <w:p w14:paraId="18C96C00"/>
    <w:p w14:paraId="330C2ED4"/>
    <w:p w14:paraId="7CF2A57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480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93DF6C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2AAB333">
            <w:pPr>
              <w:spacing w:line="240" w:lineRule="atLeast"/>
              <w:rPr>
                <w:rFonts w:asciiTheme="majorEastAsia" w:hAnsiTheme="majorEastAsia" w:eastAsiaTheme="majorEastAsia" w:cstheme="majorEastAsia"/>
                <w:spacing w:val="-20"/>
                <w:sz w:val="20"/>
                <w:szCs w:val="20"/>
              </w:rPr>
            </w:pPr>
          </w:p>
          <w:p w14:paraId="0EF62B2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F895E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B46EF7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D33FAB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15E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003E245">
            <w:pPr>
              <w:spacing w:line="240" w:lineRule="atLeast"/>
              <w:jc w:val="left"/>
              <w:rPr>
                <w:rFonts w:ascii="仿宋_GB2312" w:hAnsi="仿宋_GB2312" w:eastAsia="仿宋_GB2312" w:cs="仿宋_GB2312"/>
                <w:sz w:val="20"/>
                <w:szCs w:val="20"/>
              </w:rPr>
            </w:pPr>
          </w:p>
        </w:tc>
        <w:tc>
          <w:tcPr>
            <w:tcW w:w="555" w:type="dxa"/>
            <w:vMerge w:val="continue"/>
          </w:tcPr>
          <w:p w14:paraId="2BB4B9DB">
            <w:pPr>
              <w:spacing w:line="240" w:lineRule="atLeast"/>
              <w:jc w:val="left"/>
              <w:rPr>
                <w:rFonts w:ascii="仿宋_GB2312" w:hAnsi="仿宋_GB2312" w:eastAsia="仿宋_GB2312" w:cs="仿宋_GB2312"/>
                <w:sz w:val="20"/>
                <w:szCs w:val="20"/>
              </w:rPr>
            </w:pPr>
          </w:p>
        </w:tc>
        <w:tc>
          <w:tcPr>
            <w:tcW w:w="784" w:type="dxa"/>
            <w:vAlign w:val="center"/>
          </w:tcPr>
          <w:p w14:paraId="36E7D8A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FDA13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E3079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B1BA79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F22C3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286A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5039D9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7902B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6E8A78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17E5FCC">
            <w:pPr>
              <w:spacing w:line="240" w:lineRule="atLeast"/>
              <w:jc w:val="left"/>
              <w:rPr>
                <w:rFonts w:ascii="仿宋_GB2312" w:hAnsi="仿宋_GB2312" w:eastAsia="仿宋_GB2312" w:cs="仿宋_GB2312"/>
                <w:sz w:val="20"/>
                <w:szCs w:val="20"/>
              </w:rPr>
            </w:pPr>
          </w:p>
        </w:tc>
      </w:tr>
      <w:tr w14:paraId="570A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9E675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138</w:t>
            </w:r>
          </w:p>
        </w:tc>
        <w:tc>
          <w:tcPr>
            <w:tcW w:w="555" w:type="dxa"/>
            <w:vAlign w:val="center"/>
          </w:tcPr>
          <w:p w14:paraId="76979A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98FE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6133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B84B94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对卫星导航定位基准站建设单位未报备案行为的处罚</w:t>
            </w:r>
          </w:p>
        </w:tc>
        <w:tc>
          <w:tcPr>
            <w:tcW w:w="660" w:type="dxa"/>
            <w:vAlign w:val="center"/>
          </w:tcPr>
          <w:p w14:paraId="2F0E6A29">
            <w:pPr>
              <w:snapToGrid w:val="0"/>
              <w:spacing w:line="240" w:lineRule="atLeast"/>
              <w:jc w:val="center"/>
              <w:rPr>
                <w:rFonts w:ascii="仿宋_GB2312" w:hAnsi="仿宋_GB2312" w:eastAsia="仿宋_GB2312" w:cs="仿宋_GB2312"/>
                <w:sz w:val="20"/>
                <w:szCs w:val="20"/>
              </w:rPr>
            </w:pPr>
          </w:p>
        </w:tc>
        <w:tc>
          <w:tcPr>
            <w:tcW w:w="615" w:type="dxa"/>
            <w:vAlign w:val="center"/>
          </w:tcPr>
          <w:p w14:paraId="257C43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E2A44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C15E3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三条：违反本法规定，卫星导航定位基准站建设单位未报备案的，给予警告，责令限期改正；逾期不改正的，处十万元以上三十万元以下的罚款；对直接负责的主管人员和其他直接责任人员，依法给予处分。</w:t>
            </w:r>
          </w:p>
          <w:p w14:paraId="6F78C0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652663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卫星导航定位基准站建设单位未报备案的情况，应及时制止（对正在实施的违法行为，下达《责令停止违法行为通知书》）,并进行审查核实，符合立案条件的予以立案。</w:t>
            </w:r>
          </w:p>
          <w:p w14:paraId="1E35E6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2.调查责任：执法人员不得少于两人，出示证件、表明身份；通过搜集证据、现场了解核实卫星导航定位基准站建设单位未报备案的情况，并制作笔录。调查时允许当事人辩解陈述。执法人员应保守有关秘密。</w:t>
            </w:r>
          </w:p>
          <w:p w14:paraId="393B74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CD2BA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75914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卫星导航定位基准站建设单位未报备案的事实进行认定，依法制作《行政处罚决定书》，载明违反法律法规或规章的事实和证据、行政处罚的具体依据和内容，告知当事人陈述申辩或者听证情况等内容，告知申请行政复议或提起行政诉讼的权力。</w:t>
            </w:r>
          </w:p>
          <w:p w14:paraId="4DAB0A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4DFFB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458F4A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F3D3F4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DB464F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F90E2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51CEE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3C335F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6DACCE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714EAE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8726AD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9CF5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BD464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429A6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3CC4D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5BDF8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A1D4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08A58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3FB72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0FD4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442C4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5E1E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BE7B7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418AEA9">
            <w:pPr>
              <w:snapToGrid w:val="0"/>
              <w:spacing w:line="240" w:lineRule="atLeast"/>
              <w:jc w:val="center"/>
              <w:rPr>
                <w:rFonts w:ascii="仿宋_GB2312" w:hAnsi="仿宋_GB2312" w:eastAsia="仿宋_GB2312" w:cs="仿宋_GB2312"/>
                <w:sz w:val="20"/>
                <w:szCs w:val="20"/>
              </w:rPr>
            </w:pPr>
          </w:p>
        </w:tc>
      </w:tr>
    </w:tbl>
    <w:p w14:paraId="171A0C56"/>
    <w:p w14:paraId="6A471797"/>
    <w:p w14:paraId="431F572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711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3786B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245D825">
            <w:pPr>
              <w:spacing w:line="240" w:lineRule="atLeast"/>
              <w:rPr>
                <w:rFonts w:asciiTheme="majorEastAsia" w:hAnsiTheme="majorEastAsia" w:eastAsiaTheme="majorEastAsia" w:cstheme="majorEastAsia"/>
                <w:spacing w:val="-20"/>
                <w:sz w:val="20"/>
                <w:szCs w:val="20"/>
              </w:rPr>
            </w:pPr>
          </w:p>
          <w:p w14:paraId="570D282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6F99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F483D3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89ADDB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79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F6CD31A">
            <w:pPr>
              <w:spacing w:line="240" w:lineRule="atLeast"/>
              <w:jc w:val="left"/>
              <w:rPr>
                <w:rFonts w:ascii="仿宋_GB2312" w:hAnsi="仿宋_GB2312" w:eastAsia="仿宋_GB2312" w:cs="仿宋_GB2312"/>
                <w:sz w:val="20"/>
                <w:szCs w:val="20"/>
              </w:rPr>
            </w:pPr>
          </w:p>
        </w:tc>
        <w:tc>
          <w:tcPr>
            <w:tcW w:w="555" w:type="dxa"/>
            <w:vMerge w:val="continue"/>
          </w:tcPr>
          <w:p w14:paraId="51528761">
            <w:pPr>
              <w:spacing w:line="240" w:lineRule="atLeast"/>
              <w:jc w:val="left"/>
              <w:rPr>
                <w:rFonts w:ascii="仿宋_GB2312" w:hAnsi="仿宋_GB2312" w:eastAsia="仿宋_GB2312" w:cs="仿宋_GB2312"/>
                <w:sz w:val="20"/>
                <w:szCs w:val="20"/>
              </w:rPr>
            </w:pPr>
          </w:p>
        </w:tc>
        <w:tc>
          <w:tcPr>
            <w:tcW w:w="784" w:type="dxa"/>
            <w:vAlign w:val="center"/>
          </w:tcPr>
          <w:p w14:paraId="582442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8CD7C4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9554A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1E159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92B9C5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46481F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81219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67BD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0A2D81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26BAA7D">
            <w:pPr>
              <w:spacing w:line="240" w:lineRule="atLeast"/>
              <w:jc w:val="left"/>
              <w:rPr>
                <w:rFonts w:ascii="仿宋_GB2312" w:hAnsi="仿宋_GB2312" w:eastAsia="仿宋_GB2312" w:cs="仿宋_GB2312"/>
                <w:sz w:val="20"/>
                <w:szCs w:val="20"/>
              </w:rPr>
            </w:pPr>
          </w:p>
        </w:tc>
      </w:tr>
      <w:tr w14:paraId="6D71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AFEB9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139</w:t>
            </w:r>
          </w:p>
        </w:tc>
        <w:tc>
          <w:tcPr>
            <w:tcW w:w="555" w:type="dxa"/>
            <w:vAlign w:val="center"/>
          </w:tcPr>
          <w:p w14:paraId="5706D7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50A6A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A8F73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9B0DBA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对卫星导航定位基准站的建设和运行维护不符合国家标准、要求行为的处罚</w:t>
            </w:r>
          </w:p>
        </w:tc>
        <w:tc>
          <w:tcPr>
            <w:tcW w:w="660" w:type="dxa"/>
            <w:vAlign w:val="center"/>
          </w:tcPr>
          <w:p w14:paraId="68203B79">
            <w:pPr>
              <w:snapToGrid w:val="0"/>
              <w:spacing w:line="240" w:lineRule="atLeast"/>
              <w:jc w:val="center"/>
              <w:rPr>
                <w:rFonts w:ascii="仿宋_GB2312" w:hAnsi="仿宋_GB2312" w:eastAsia="仿宋_GB2312" w:cs="仿宋_GB2312"/>
                <w:sz w:val="20"/>
                <w:szCs w:val="20"/>
              </w:rPr>
            </w:pPr>
          </w:p>
        </w:tc>
        <w:tc>
          <w:tcPr>
            <w:tcW w:w="615" w:type="dxa"/>
            <w:vAlign w:val="center"/>
          </w:tcPr>
          <w:p w14:paraId="4F2222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DFA69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3644E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四条：违反本法规定，卫星导航定位基准站的建设和运行维护不符合国家标准、要求的，给予警告，责令限期改正，没收违法所得和测绘成果，并处三十万元以上五十万元以下的罚款；逾期不改正的，没收相关设备；对直接负责的主管人员和其他直接责任人员，依法给予处分；构成犯罪的，依法追究刑事责任。</w:t>
            </w:r>
          </w:p>
          <w:p w14:paraId="70D4AC5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29918B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卫星导航定位基准站的建设和运行维护不符合国家标准、要求的情况，应及时制止（对正在实施的违法行为，下达《责令停止违法行为通知书》）,并进行审查核实，符合立案条件的予以立案。</w:t>
            </w:r>
          </w:p>
          <w:p w14:paraId="5A6472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卫星导航定位基准站的建设和运行维护不符合国家标准、要求的情况，并制作笔录。调查时允许当事人辩解陈述。执法人员应保守有关秘密。</w:t>
            </w:r>
          </w:p>
          <w:p w14:paraId="1F3074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0A009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F59A8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卫星导航定位基准站的建设和运行维护不符合国家标准、要求的事实进行认定，依法制作《行政处罚决定书》，载明违反法律法规或规章的事实和证据、行政处罚的具体依据和内容，告知当事人陈述申辩或者听证情况等内容，告知申请行政复议或提起行政诉讼的权力。</w:t>
            </w:r>
          </w:p>
          <w:p w14:paraId="72AA98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F6FDD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B56C9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0D6717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BED6EE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5614D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86AF8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36E45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C44F0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2A3CC9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B1821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43455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FE338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17B68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9488B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FAAA0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4A66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E140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A4573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A3DB6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17D02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A92F1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2AF0FC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F9D1480">
            <w:pPr>
              <w:snapToGrid w:val="0"/>
              <w:spacing w:line="240" w:lineRule="atLeast"/>
              <w:jc w:val="center"/>
              <w:rPr>
                <w:rFonts w:ascii="仿宋_GB2312" w:hAnsi="仿宋_GB2312" w:eastAsia="仿宋_GB2312" w:cs="仿宋_GB2312"/>
                <w:sz w:val="20"/>
                <w:szCs w:val="20"/>
              </w:rPr>
            </w:pPr>
          </w:p>
        </w:tc>
      </w:tr>
    </w:tbl>
    <w:p w14:paraId="0CBF3D1B"/>
    <w:p w14:paraId="4CA663CA"/>
    <w:p w14:paraId="1AA708E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01B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19CA3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B73D323">
            <w:pPr>
              <w:spacing w:line="240" w:lineRule="atLeast"/>
              <w:rPr>
                <w:rFonts w:asciiTheme="majorEastAsia" w:hAnsiTheme="majorEastAsia" w:eastAsiaTheme="majorEastAsia" w:cstheme="majorEastAsia"/>
                <w:spacing w:val="-20"/>
                <w:sz w:val="20"/>
                <w:szCs w:val="20"/>
              </w:rPr>
            </w:pPr>
          </w:p>
          <w:p w14:paraId="6DF10DB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B7FEE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5D49D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B885D3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49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561F08">
            <w:pPr>
              <w:spacing w:line="240" w:lineRule="atLeast"/>
              <w:jc w:val="left"/>
              <w:rPr>
                <w:rFonts w:ascii="仿宋_GB2312" w:hAnsi="仿宋_GB2312" w:eastAsia="仿宋_GB2312" w:cs="仿宋_GB2312"/>
                <w:sz w:val="20"/>
                <w:szCs w:val="20"/>
              </w:rPr>
            </w:pPr>
          </w:p>
        </w:tc>
        <w:tc>
          <w:tcPr>
            <w:tcW w:w="555" w:type="dxa"/>
            <w:vMerge w:val="continue"/>
          </w:tcPr>
          <w:p w14:paraId="776F61E1">
            <w:pPr>
              <w:spacing w:line="240" w:lineRule="atLeast"/>
              <w:jc w:val="left"/>
              <w:rPr>
                <w:rFonts w:ascii="仿宋_GB2312" w:hAnsi="仿宋_GB2312" w:eastAsia="仿宋_GB2312" w:cs="仿宋_GB2312"/>
                <w:sz w:val="20"/>
                <w:szCs w:val="20"/>
              </w:rPr>
            </w:pPr>
          </w:p>
        </w:tc>
        <w:tc>
          <w:tcPr>
            <w:tcW w:w="784" w:type="dxa"/>
            <w:vAlign w:val="center"/>
          </w:tcPr>
          <w:p w14:paraId="2DD6C54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5E514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F1196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6DCFAE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567E72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5532F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234C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72D3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A80F36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69154F">
            <w:pPr>
              <w:spacing w:line="240" w:lineRule="atLeast"/>
              <w:jc w:val="left"/>
              <w:rPr>
                <w:rFonts w:ascii="仿宋_GB2312" w:hAnsi="仿宋_GB2312" w:eastAsia="仿宋_GB2312" w:cs="仿宋_GB2312"/>
                <w:sz w:val="20"/>
                <w:szCs w:val="20"/>
              </w:rPr>
            </w:pPr>
          </w:p>
        </w:tc>
      </w:tr>
      <w:tr w14:paraId="591C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06BFD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140</w:t>
            </w:r>
          </w:p>
        </w:tc>
        <w:tc>
          <w:tcPr>
            <w:tcW w:w="555" w:type="dxa"/>
            <w:vAlign w:val="center"/>
          </w:tcPr>
          <w:p w14:paraId="72BD93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C8422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6B795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F3E120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对未取得测绘资质证书，擅自从事测绘活动行为的处罚</w:t>
            </w:r>
          </w:p>
        </w:tc>
        <w:tc>
          <w:tcPr>
            <w:tcW w:w="660" w:type="dxa"/>
            <w:vAlign w:val="center"/>
          </w:tcPr>
          <w:p w14:paraId="6B8FFED2">
            <w:pPr>
              <w:snapToGrid w:val="0"/>
              <w:spacing w:line="240" w:lineRule="atLeast"/>
              <w:jc w:val="center"/>
              <w:rPr>
                <w:rFonts w:ascii="仿宋_GB2312" w:hAnsi="仿宋_GB2312" w:eastAsia="仿宋_GB2312" w:cs="仿宋_GB2312"/>
                <w:sz w:val="20"/>
                <w:szCs w:val="20"/>
              </w:rPr>
            </w:pPr>
          </w:p>
        </w:tc>
        <w:tc>
          <w:tcPr>
            <w:tcW w:w="615" w:type="dxa"/>
            <w:vAlign w:val="center"/>
          </w:tcPr>
          <w:p w14:paraId="387099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27D8B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35372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五条第一款：违反本法规定，未取得测绘资质证书，擅自从事测绘活动的，责令停止违法行为，没收违法所得和测绘成果，并处测绘约定报酬一倍以上二倍以下的罚款；情节严重的，没收测绘工具。</w:t>
            </w:r>
          </w:p>
          <w:p w14:paraId="7A4C7A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p w14:paraId="4FB3CAF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第二十九条：违反本条例规定，未取得测绘资质证书从事基础测绘活动的，责令停止违法行为，没收违法所得和测绘成果，并处测绘约定报酬1倍以上2倍以下的罚款。</w:t>
            </w:r>
          </w:p>
        </w:tc>
        <w:tc>
          <w:tcPr>
            <w:tcW w:w="3585" w:type="dxa"/>
            <w:vAlign w:val="center"/>
          </w:tcPr>
          <w:p w14:paraId="25E7FA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取得测绘资质证书，擅自从事测绘活动的情况，应及时制止（对正在实施的违法行为，下达《责令停止违法行为通知书》）,并进行审查核实，符合立案条件的予以立案。</w:t>
            </w:r>
          </w:p>
          <w:p w14:paraId="386594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2.调查责任：执法人员不得少于两人，出示证件、表明身份；通过搜集证据、现场了解核实未取得测绘资质证书，擅自从事测绘活动的情况，并制作笔录。调查时允许当事人辩解陈述。执法人员应保守有关秘密。</w:t>
            </w:r>
          </w:p>
          <w:p w14:paraId="66E306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8104D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0503C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取得测绘资质证书，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6FC3E9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798C4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E37BDC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C4B7C9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73722D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9A72A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26968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150FF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66C6C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7C338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CAD168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613F9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E821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E8B50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27717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7742F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7C59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4B165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8A67B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CFE2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F5371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91E65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077F7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86F018F">
            <w:pPr>
              <w:snapToGrid w:val="0"/>
              <w:spacing w:line="240" w:lineRule="atLeast"/>
              <w:jc w:val="center"/>
              <w:rPr>
                <w:rFonts w:ascii="仿宋_GB2312" w:hAnsi="仿宋_GB2312" w:eastAsia="仿宋_GB2312" w:cs="仿宋_GB2312"/>
                <w:sz w:val="20"/>
                <w:szCs w:val="20"/>
              </w:rPr>
            </w:pPr>
          </w:p>
        </w:tc>
      </w:tr>
    </w:tbl>
    <w:p w14:paraId="4EDCE38B"/>
    <w:p w14:paraId="5DD5E57C"/>
    <w:p w14:paraId="24F9A50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EFB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4F986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E76CC36">
            <w:pPr>
              <w:spacing w:line="240" w:lineRule="atLeast"/>
              <w:rPr>
                <w:rFonts w:asciiTheme="majorEastAsia" w:hAnsiTheme="majorEastAsia" w:eastAsiaTheme="majorEastAsia" w:cstheme="majorEastAsia"/>
                <w:spacing w:val="-20"/>
                <w:sz w:val="20"/>
                <w:szCs w:val="20"/>
              </w:rPr>
            </w:pPr>
          </w:p>
          <w:p w14:paraId="77575D6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25490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833D2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F7511A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EC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B388C4">
            <w:pPr>
              <w:spacing w:line="240" w:lineRule="atLeast"/>
              <w:jc w:val="left"/>
              <w:rPr>
                <w:rFonts w:ascii="仿宋_GB2312" w:hAnsi="仿宋_GB2312" w:eastAsia="仿宋_GB2312" w:cs="仿宋_GB2312"/>
                <w:sz w:val="20"/>
                <w:szCs w:val="20"/>
              </w:rPr>
            </w:pPr>
          </w:p>
        </w:tc>
        <w:tc>
          <w:tcPr>
            <w:tcW w:w="555" w:type="dxa"/>
            <w:vMerge w:val="continue"/>
          </w:tcPr>
          <w:p w14:paraId="1ADBED27">
            <w:pPr>
              <w:spacing w:line="240" w:lineRule="atLeast"/>
              <w:jc w:val="left"/>
              <w:rPr>
                <w:rFonts w:ascii="仿宋_GB2312" w:hAnsi="仿宋_GB2312" w:eastAsia="仿宋_GB2312" w:cs="仿宋_GB2312"/>
                <w:sz w:val="20"/>
                <w:szCs w:val="20"/>
              </w:rPr>
            </w:pPr>
          </w:p>
        </w:tc>
        <w:tc>
          <w:tcPr>
            <w:tcW w:w="784" w:type="dxa"/>
            <w:vAlign w:val="center"/>
          </w:tcPr>
          <w:p w14:paraId="1501C6B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712FF1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C16D6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C220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90E4FC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7DF91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52C33A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4D7A9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68EAB0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6DFA142">
            <w:pPr>
              <w:spacing w:line="240" w:lineRule="atLeast"/>
              <w:jc w:val="left"/>
              <w:rPr>
                <w:rFonts w:ascii="仿宋_GB2312" w:hAnsi="仿宋_GB2312" w:eastAsia="仿宋_GB2312" w:cs="仿宋_GB2312"/>
                <w:sz w:val="20"/>
                <w:szCs w:val="20"/>
              </w:rPr>
            </w:pPr>
          </w:p>
        </w:tc>
      </w:tr>
      <w:tr w14:paraId="4B3F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08C41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141</w:t>
            </w:r>
          </w:p>
        </w:tc>
        <w:tc>
          <w:tcPr>
            <w:tcW w:w="555" w:type="dxa"/>
            <w:vAlign w:val="center"/>
          </w:tcPr>
          <w:p w14:paraId="7470FF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AB400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93DA8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AD338B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对以欺骗手段取得测绘资质证书从事测绘活动行为的处罚</w:t>
            </w:r>
          </w:p>
        </w:tc>
        <w:tc>
          <w:tcPr>
            <w:tcW w:w="660" w:type="dxa"/>
            <w:vAlign w:val="center"/>
          </w:tcPr>
          <w:p w14:paraId="694CE33E">
            <w:pPr>
              <w:snapToGrid w:val="0"/>
              <w:spacing w:line="240" w:lineRule="atLeast"/>
              <w:jc w:val="center"/>
              <w:rPr>
                <w:rFonts w:ascii="仿宋_GB2312" w:hAnsi="仿宋_GB2312" w:eastAsia="仿宋_GB2312" w:cs="仿宋_GB2312"/>
                <w:sz w:val="20"/>
                <w:szCs w:val="20"/>
              </w:rPr>
            </w:pPr>
          </w:p>
        </w:tc>
        <w:tc>
          <w:tcPr>
            <w:tcW w:w="615" w:type="dxa"/>
            <w:vAlign w:val="center"/>
          </w:tcPr>
          <w:p w14:paraId="67047B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F5B7A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37F88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五条第二款：以欺骗手段取得测绘资质证书从事测绘活动的，吊销测绘资质证书，没收违法所得和测绘成果，并处测绘约定报酬一倍以上二倍以下的罚款；情节严重的，没收测绘工具。</w:t>
            </w:r>
          </w:p>
          <w:p w14:paraId="74F811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044B0BA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以欺骗手段取得测绘资质证书从事测绘活动的情况，应及时制止（对正在实施的违法行为，下达《责令停止违法行为通知书》）,并进行审查核实，符合立案条件的予以立案。</w:t>
            </w:r>
          </w:p>
          <w:p w14:paraId="6674BA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以欺骗手段取得测绘资质证书从事测绘活动的情况，并制作笔录。调查时允许当事人辩解陈述。执法人员应保守有关秘密。</w:t>
            </w:r>
          </w:p>
          <w:p w14:paraId="21FAAA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F741B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43672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以欺骗手段取得测绘资质证书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2A222A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03FDA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A9AF2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A3B23C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777BF6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B082C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6048A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6509B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FE9BB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9996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D16170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F0179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B93F5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D9B41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FC08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4BAB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261C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ECA15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79F31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4EB7E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2BE2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25F6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EFD02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4E238A1">
            <w:pPr>
              <w:snapToGrid w:val="0"/>
              <w:spacing w:line="240" w:lineRule="atLeast"/>
              <w:jc w:val="center"/>
              <w:rPr>
                <w:rFonts w:ascii="仿宋_GB2312" w:hAnsi="仿宋_GB2312" w:eastAsia="仿宋_GB2312" w:cs="仿宋_GB2312"/>
                <w:sz w:val="20"/>
                <w:szCs w:val="20"/>
              </w:rPr>
            </w:pPr>
          </w:p>
        </w:tc>
      </w:tr>
    </w:tbl>
    <w:p w14:paraId="51E6AFD1"/>
    <w:p w14:paraId="232B235F"/>
    <w:p w14:paraId="5295429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8C6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E799EF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437A909">
            <w:pPr>
              <w:spacing w:line="240" w:lineRule="atLeast"/>
              <w:rPr>
                <w:rFonts w:asciiTheme="majorEastAsia" w:hAnsiTheme="majorEastAsia" w:eastAsiaTheme="majorEastAsia" w:cstheme="majorEastAsia"/>
                <w:spacing w:val="-20"/>
                <w:sz w:val="20"/>
                <w:szCs w:val="20"/>
              </w:rPr>
            </w:pPr>
          </w:p>
          <w:p w14:paraId="6A69A27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F7EA56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ADA2F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54CE0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F37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CB00C1">
            <w:pPr>
              <w:spacing w:line="240" w:lineRule="atLeast"/>
              <w:jc w:val="left"/>
              <w:rPr>
                <w:rFonts w:ascii="仿宋_GB2312" w:hAnsi="仿宋_GB2312" w:eastAsia="仿宋_GB2312" w:cs="仿宋_GB2312"/>
                <w:sz w:val="20"/>
                <w:szCs w:val="20"/>
              </w:rPr>
            </w:pPr>
          </w:p>
        </w:tc>
        <w:tc>
          <w:tcPr>
            <w:tcW w:w="555" w:type="dxa"/>
            <w:vMerge w:val="continue"/>
          </w:tcPr>
          <w:p w14:paraId="23DF7D90">
            <w:pPr>
              <w:spacing w:line="240" w:lineRule="atLeast"/>
              <w:jc w:val="left"/>
              <w:rPr>
                <w:rFonts w:ascii="仿宋_GB2312" w:hAnsi="仿宋_GB2312" w:eastAsia="仿宋_GB2312" w:cs="仿宋_GB2312"/>
                <w:sz w:val="20"/>
                <w:szCs w:val="20"/>
              </w:rPr>
            </w:pPr>
          </w:p>
        </w:tc>
        <w:tc>
          <w:tcPr>
            <w:tcW w:w="784" w:type="dxa"/>
            <w:vAlign w:val="center"/>
          </w:tcPr>
          <w:p w14:paraId="7EF5BE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69DC0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641AE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3A9CDE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CF746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8D88B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65544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B127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82575A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F37FC0D">
            <w:pPr>
              <w:spacing w:line="240" w:lineRule="atLeast"/>
              <w:jc w:val="left"/>
              <w:rPr>
                <w:rFonts w:ascii="仿宋_GB2312" w:hAnsi="仿宋_GB2312" w:eastAsia="仿宋_GB2312" w:cs="仿宋_GB2312"/>
                <w:sz w:val="20"/>
                <w:szCs w:val="20"/>
              </w:rPr>
            </w:pPr>
          </w:p>
        </w:tc>
      </w:tr>
      <w:tr w14:paraId="68F9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492D1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142</w:t>
            </w:r>
          </w:p>
        </w:tc>
        <w:tc>
          <w:tcPr>
            <w:tcW w:w="555" w:type="dxa"/>
            <w:vAlign w:val="center"/>
          </w:tcPr>
          <w:p w14:paraId="446847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F5E30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627C2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F6DF1C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对测绘单位超越资质等级许可的范围从事测绘活动行为的处罚</w:t>
            </w:r>
          </w:p>
        </w:tc>
        <w:tc>
          <w:tcPr>
            <w:tcW w:w="660" w:type="dxa"/>
            <w:vAlign w:val="center"/>
          </w:tcPr>
          <w:p w14:paraId="1D1E7541">
            <w:pPr>
              <w:snapToGrid w:val="0"/>
              <w:spacing w:line="240" w:lineRule="atLeast"/>
              <w:jc w:val="center"/>
              <w:rPr>
                <w:rFonts w:ascii="仿宋_GB2312" w:hAnsi="仿宋_GB2312" w:eastAsia="仿宋_GB2312" w:cs="仿宋_GB2312"/>
                <w:sz w:val="20"/>
                <w:szCs w:val="20"/>
              </w:rPr>
            </w:pPr>
          </w:p>
        </w:tc>
        <w:tc>
          <w:tcPr>
            <w:tcW w:w="615" w:type="dxa"/>
            <w:vAlign w:val="center"/>
          </w:tcPr>
          <w:p w14:paraId="4F0F4C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9440B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5ABB9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五十六条第一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6C6BC7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（一）超越资质等级许可的范围从事测绘活动。</w:t>
            </w:r>
          </w:p>
          <w:p w14:paraId="3B7B0A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p w14:paraId="7B7AD48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第三十条：违反本条例规定，基础测绘项目承担单位超越资质等级许可的范围从事基础测绘活动的，责令停止违法行为，没收违法所得和测绘成果，处测绘约定报酬1倍以上2倍以下的罚款，并可以责令停业整顿或者降低资质等级；情节严重的，吊销测绘资质证书。</w:t>
            </w:r>
          </w:p>
        </w:tc>
        <w:tc>
          <w:tcPr>
            <w:tcW w:w="3585" w:type="dxa"/>
            <w:vAlign w:val="center"/>
          </w:tcPr>
          <w:p w14:paraId="10A7CB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超越资质等级许可的范围从事测绘活动的情况，应及时制止（对正在实施的违法行为，下达《责令停止违法行为通知书》）,并进行审查核实，符合立案条件的予以立案。</w:t>
            </w:r>
          </w:p>
          <w:p w14:paraId="41C249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2.调查责任：执法人员不得少于两人，出示证件、表明身份；通过搜集证据、现场了解核实超越资质等级许可的范围从事测绘活动的情况，并制作笔录。调查时允许当事人辩解陈述。执法人员应保守有关秘密。</w:t>
            </w:r>
          </w:p>
          <w:p w14:paraId="01311F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C5473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88640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超越资质等级许可的范围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0631E0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77BAE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A11489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305467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376D17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9C6D0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2E06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8127A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8DC28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757EF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FC963F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4C1F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9BED0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AC7F9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C1DEE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405D4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B4B0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44BE9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06641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6A5FC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1AAD3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7CFAE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B0825C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9ADB408">
            <w:pPr>
              <w:snapToGrid w:val="0"/>
              <w:spacing w:line="240" w:lineRule="atLeast"/>
              <w:jc w:val="center"/>
              <w:rPr>
                <w:rFonts w:ascii="仿宋_GB2312" w:hAnsi="仿宋_GB2312" w:eastAsia="仿宋_GB2312" w:cs="仿宋_GB2312"/>
                <w:sz w:val="20"/>
                <w:szCs w:val="20"/>
              </w:rPr>
            </w:pPr>
          </w:p>
        </w:tc>
      </w:tr>
    </w:tbl>
    <w:p w14:paraId="07CCE254"/>
    <w:p w14:paraId="2E6B0F5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5C3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38EA0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7CA2730">
            <w:pPr>
              <w:spacing w:line="240" w:lineRule="atLeast"/>
              <w:rPr>
                <w:rFonts w:asciiTheme="majorEastAsia" w:hAnsiTheme="majorEastAsia" w:eastAsiaTheme="majorEastAsia" w:cstheme="majorEastAsia"/>
                <w:spacing w:val="-20"/>
                <w:sz w:val="20"/>
                <w:szCs w:val="20"/>
              </w:rPr>
            </w:pPr>
          </w:p>
          <w:p w14:paraId="3DAB9F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81DF1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E8C613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E53070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7A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C905B8F">
            <w:pPr>
              <w:spacing w:line="240" w:lineRule="atLeast"/>
              <w:jc w:val="left"/>
              <w:rPr>
                <w:rFonts w:ascii="仿宋_GB2312" w:hAnsi="仿宋_GB2312" w:eastAsia="仿宋_GB2312" w:cs="仿宋_GB2312"/>
                <w:sz w:val="20"/>
                <w:szCs w:val="20"/>
              </w:rPr>
            </w:pPr>
          </w:p>
        </w:tc>
        <w:tc>
          <w:tcPr>
            <w:tcW w:w="555" w:type="dxa"/>
            <w:vMerge w:val="continue"/>
          </w:tcPr>
          <w:p w14:paraId="447A70B5">
            <w:pPr>
              <w:spacing w:line="240" w:lineRule="atLeast"/>
              <w:jc w:val="left"/>
              <w:rPr>
                <w:rFonts w:ascii="仿宋_GB2312" w:hAnsi="仿宋_GB2312" w:eastAsia="仿宋_GB2312" w:cs="仿宋_GB2312"/>
                <w:sz w:val="20"/>
                <w:szCs w:val="20"/>
              </w:rPr>
            </w:pPr>
          </w:p>
        </w:tc>
        <w:tc>
          <w:tcPr>
            <w:tcW w:w="784" w:type="dxa"/>
            <w:vAlign w:val="center"/>
          </w:tcPr>
          <w:p w14:paraId="65CC2D8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94C611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EF6C61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699F2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7D1459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E3AE8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38AD2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D3F4F9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0FCB0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CBCC47B">
            <w:pPr>
              <w:spacing w:line="240" w:lineRule="atLeast"/>
              <w:jc w:val="left"/>
              <w:rPr>
                <w:rFonts w:ascii="仿宋_GB2312" w:hAnsi="仿宋_GB2312" w:eastAsia="仿宋_GB2312" w:cs="仿宋_GB2312"/>
                <w:sz w:val="20"/>
                <w:szCs w:val="20"/>
              </w:rPr>
            </w:pPr>
          </w:p>
        </w:tc>
      </w:tr>
      <w:tr w14:paraId="43A6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09F1D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143</w:t>
            </w:r>
          </w:p>
        </w:tc>
        <w:tc>
          <w:tcPr>
            <w:tcW w:w="555" w:type="dxa"/>
            <w:vAlign w:val="center"/>
          </w:tcPr>
          <w:p w14:paraId="7CEFA5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EA5AF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1115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F37503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对测绘单位以其他测绘单位的名义从事测绘活动行为的处罚</w:t>
            </w:r>
          </w:p>
        </w:tc>
        <w:tc>
          <w:tcPr>
            <w:tcW w:w="660" w:type="dxa"/>
            <w:vAlign w:val="center"/>
          </w:tcPr>
          <w:p w14:paraId="1C9409D5">
            <w:pPr>
              <w:snapToGrid w:val="0"/>
              <w:spacing w:line="240" w:lineRule="atLeast"/>
              <w:jc w:val="center"/>
              <w:rPr>
                <w:rFonts w:ascii="仿宋_GB2312" w:hAnsi="仿宋_GB2312" w:eastAsia="仿宋_GB2312" w:cs="仿宋_GB2312"/>
                <w:sz w:val="20"/>
                <w:szCs w:val="20"/>
              </w:rPr>
            </w:pPr>
          </w:p>
        </w:tc>
        <w:tc>
          <w:tcPr>
            <w:tcW w:w="615" w:type="dxa"/>
            <w:vAlign w:val="center"/>
          </w:tcPr>
          <w:p w14:paraId="13303A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8A474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A5517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六条第二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6B7357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（二）以其他测绘单位的名义从事测绘活动。</w:t>
            </w:r>
          </w:p>
          <w:p w14:paraId="5309B5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71E336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以其他测绘单位的名义从事测绘活动的情况，应及时制止（对正在实施的违法行为，下达《责令停止违法行为通知书》）,并进行审查核实，符合立案条件的予以立案。</w:t>
            </w:r>
          </w:p>
          <w:p w14:paraId="26DB15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2.调查责任：执法人员不得少于两人，出示证件、表明身份；通过搜集证据、现场了解核实以其他测绘单位的名义从事测绘活动的情况，并制作笔录。调查时允许当事人辩解陈述。执法人员应保守有关秘密。</w:t>
            </w:r>
          </w:p>
          <w:p w14:paraId="3BC9D9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06569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50012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以其他测绘单位的名义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12499A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927F8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7D0561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5F9386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D8A954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CC2EE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6CC31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0E081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C733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2B3B7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EA3268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2BE19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30B1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F91C7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1FB34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1A96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05252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92EA2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74E51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B28D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B269F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A7AC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E7E92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B6DADC9">
            <w:pPr>
              <w:snapToGrid w:val="0"/>
              <w:spacing w:line="240" w:lineRule="atLeast"/>
              <w:jc w:val="center"/>
              <w:rPr>
                <w:rFonts w:ascii="仿宋_GB2312" w:hAnsi="仿宋_GB2312" w:eastAsia="仿宋_GB2312" w:cs="仿宋_GB2312"/>
                <w:sz w:val="20"/>
                <w:szCs w:val="20"/>
              </w:rPr>
            </w:pPr>
          </w:p>
        </w:tc>
      </w:tr>
    </w:tbl>
    <w:p w14:paraId="059870AE"/>
    <w:p w14:paraId="3AB87BAF"/>
    <w:p w14:paraId="089E3DF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1F4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0CC4C3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1EE7AFA">
            <w:pPr>
              <w:spacing w:line="240" w:lineRule="atLeast"/>
              <w:rPr>
                <w:rFonts w:asciiTheme="majorEastAsia" w:hAnsiTheme="majorEastAsia" w:eastAsiaTheme="majorEastAsia" w:cstheme="majorEastAsia"/>
                <w:spacing w:val="-20"/>
                <w:sz w:val="20"/>
                <w:szCs w:val="20"/>
              </w:rPr>
            </w:pPr>
          </w:p>
          <w:p w14:paraId="7C479D2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0C7C8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7972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9B0258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894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16ED4C">
            <w:pPr>
              <w:spacing w:line="240" w:lineRule="atLeast"/>
              <w:jc w:val="left"/>
              <w:rPr>
                <w:rFonts w:ascii="仿宋_GB2312" w:hAnsi="仿宋_GB2312" w:eastAsia="仿宋_GB2312" w:cs="仿宋_GB2312"/>
                <w:sz w:val="20"/>
                <w:szCs w:val="20"/>
              </w:rPr>
            </w:pPr>
          </w:p>
        </w:tc>
        <w:tc>
          <w:tcPr>
            <w:tcW w:w="555" w:type="dxa"/>
            <w:vMerge w:val="continue"/>
          </w:tcPr>
          <w:p w14:paraId="1D5D29E3">
            <w:pPr>
              <w:spacing w:line="240" w:lineRule="atLeast"/>
              <w:jc w:val="left"/>
              <w:rPr>
                <w:rFonts w:ascii="仿宋_GB2312" w:hAnsi="仿宋_GB2312" w:eastAsia="仿宋_GB2312" w:cs="仿宋_GB2312"/>
                <w:sz w:val="20"/>
                <w:szCs w:val="20"/>
              </w:rPr>
            </w:pPr>
          </w:p>
        </w:tc>
        <w:tc>
          <w:tcPr>
            <w:tcW w:w="784" w:type="dxa"/>
            <w:vAlign w:val="center"/>
          </w:tcPr>
          <w:p w14:paraId="749B9CD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022D91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0966F1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CB89A3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E0588E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B5D7D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FB2D24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8479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F793CC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5CC3EA1">
            <w:pPr>
              <w:spacing w:line="240" w:lineRule="atLeast"/>
              <w:jc w:val="left"/>
              <w:rPr>
                <w:rFonts w:ascii="仿宋_GB2312" w:hAnsi="仿宋_GB2312" w:eastAsia="仿宋_GB2312" w:cs="仿宋_GB2312"/>
                <w:sz w:val="20"/>
                <w:szCs w:val="20"/>
              </w:rPr>
            </w:pPr>
          </w:p>
        </w:tc>
      </w:tr>
      <w:tr w14:paraId="7BEB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A4FFD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144</w:t>
            </w:r>
          </w:p>
        </w:tc>
        <w:tc>
          <w:tcPr>
            <w:tcW w:w="555" w:type="dxa"/>
            <w:vAlign w:val="center"/>
          </w:tcPr>
          <w:p w14:paraId="26E59E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C0949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10CDB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8D5015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对测绘单位允许其他单位以本单位的名义从事测绘活动行为的处罚</w:t>
            </w:r>
          </w:p>
        </w:tc>
        <w:tc>
          <w:tcPr>
            <w:tcW w:w="660" w:type="dxa"/>
            <w:vAlign w:val="center"/>
          </w:tcPr>
          <w:p w14:paraId="1CF66AF7">
            <w:pPr>
              <w:snapToGrid w:val="0"/>
              <w:spacing w:line="240" w:lineRule="atLeast"/>
              <w:jc w:val="center"/>
              <w:rPr>
                <w:rFonts w:ascii="仿宋_GB2312" w:hAnsi="仿宋_GB2312" w:eastAsia="仿宋_GB2312" w:cs="仿宋_GB2312"/>
                <w:sz w:val="20"/>
                <w:szCs w:val="20"/>
              </w:rPr>
            </w:pPr>
          </w:p>
        </w:tc>
        <w:tc>
          <w:tcPr>
            <w:tcW w:w="615" w:type="dxa"/>
            <w:vAlign w:val="center"/>
          </w:tcPr>
          <w:p w14:paraId="545447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8F0C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1FCBA7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六条第三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2600A6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（三）允许其他单位以本单位的名义从事测绘活动。</w:t>
            </w:r>
          </w:p>
          <w:p w14:paraId="693165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617AF2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允许其他单位以本单位的名义从事测绘活动的情况，应及时制止（对正在实施的违法行为，下达《责令停止违法行为通知书》）,并进行审查核实，符合立案条件的予以立案。</w:t>
            </w:r>
          </w:p>
          <w:p w14:paraId="0882EB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允许其他单位以本单位的名义从事测绘活动的情况，并制作笔录。调查时允许当事人辩解陈述。执法人员应保守有关秘密。</w:t>
            </w:r>
          </w:p>
          <w:p w14:paraId="628279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4B283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32CFB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允许其他单位以本单位的名义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251380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2AAA9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53DAFB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7635C1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65BB0D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215C8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57D0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E1B4B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4034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D07046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D9CF57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137C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85074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9BF23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16DC0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2D809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8976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2555D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9252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EF1E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781A3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58D6D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AB6F5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2557290">
            <w:pPr>
              <w:snapToGrid w:val="0"/>
              <w:spacing w:line="240" w:lineRule="atLeast"/>
              <w:jc w:val="center"/>
              <w:rPr>
                <w:rFonts w:ascii="仿宋_GB2312" w:hAnsi="仿宋_GB2312" w:eastAsia="仿宋_GB2312" w:cs="仿宋_GB2312"/>
                <w:sz w:val="20"/>
                <w:szCs w:val="20"/>
              </w:rPr>
            </w:pPr>
          </w:p>
        </w:tc>
      </w:tr>
    </w:tbl>
    <w:p w14:paraId="34A9D711"/>
    <w:p w14:paraId="64EEA258"/>
    <w:p w14:paraId="1EFF7BF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96E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3720D9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F3D4A53">
            <w:pPr>
              <w:spacing w:line="240" w:lineRule="atLeast"/>
              <w:rPr>
                <w:rFonts w:asciiTheme="majorEastAsia" w:hAnsiTheme="majorEastAsia" w:eastAsiaTheme="majorEastAsia" w:cstheme="majorEastAsia"/>
                <w:spacing w:val="-20"/>
                <w:sz w:val="20"/>
                <w:szCs w:val="20"/>
              </w:rPr>
            </w:pPr>
          </w:p>
          <w:p w14:paraId="2367FCC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00796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B7F52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E3F678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DC0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52353C">
            <w:pPr>
              <w:spacing w:line="240" w:lineRule="atLeast"/>
              <w:jc w:val="left"/>
              <w:rPr>
                <w:rFonts w:ascii="仿宋_GB2312" w:hAnsi="仿宋_GB2312" w:eastAsia="仿宋_GB2312" w:cs="仿宋_GB2312"/>
                <w:sz w:val="20"/>
                <w:szCs w:val="20"/>
              </w:rPr>
            </w:pPr>
          </w:p>
        </w:tc>
        <w:tc>
          <w:tcPr>
            <w:tcW w:w="555" w:type="dxa"/>
            <w:vMerge w:val="continue"/>
          </w:tcPr>
          <w:p w14:paraId="56475D0C">
            <w:pPr>
              <w:spacing w:line="240" w:lineRule="atLeast"/>
              <w:jc w:val="left"/>
              <w:rPr>
                <w:rFonts w:ascii="仿宋_GB2312" w:hAnsi="仿宋_GB2312" w:eastAsia="仿宋_GB2312" w:cs="仿宋_GB2312"/>
                <w:sz w:val="20"/>
                <w:szCs w:val="20"/>
              </w:rPr>
            </w:pPr>
          </w:p>
        </w:tc>
        <w:tc>
          <w:tcPr>
            <w:tcW w:w="784" w:type="dxa"/>
            <w:vAlign w:val="center"/>
          </w:tcPr>
          <w:p w14:paraId="732DE22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06497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CFD423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5EE24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E3C7CF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A5982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0010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22A9F6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7FAC2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48F2CA2">
            <w:pPr>
              <w:spacing w:line="240" w:lineRule="atLeast"/>
              <w:jc w:val="left"/>
              <w:rPr>
                <w:rFonts w:ascii="仿宋_GB2312" w:hAnsi="仿宋_GB2312" w:eastAsia="仿宋_GB2312" w:cs="仿宋_GB2312"/>
                <w:sz w:val="20"/>
                <w:szCs w:val="20"/>
              </w:rPr>
            </w:pPr>
          </w:p>
        </w:tc>
      </w:tr>
      <w:tr w14:paraId="25BA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8E612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145</w:t>
            </w:r>
          </w:p>
        </w:tc>
        <w:tc>
          <w:tcPr>
            <w:tcW w:w="555" w:type="dxa"/>
            <w:vAlign w:val="center"/>
          </w:tcPr>
          <w:p w14:paraId="7E63F9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4D0E9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C55C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6BA7A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对测绘资质单位的名称、注册地址或者法定代表人发生变化未及时申请变更行为的处罚</w:t>
            </w:r>
          </w:p>
        </w:tc>
        <w:tc>
          <w:tcPr>
            <w:tcW w:w="660" w:type="dxa"/>
            <w:vAlign w:val="center"/>
          </w:tcPr>
          <w:p w14:paraId="6367D3F0">
            <w:pPr>
              <w:snapToGrid w:val="0"/>
              <w:spacing w:line="240" w:lineRule="atLeast"/>
              <w:jc w:val="center"/>
              <w:rPr>
                <w:rFonts w:ascii="仿宋_GB2312" w:hAnsi="仿宋_GB2312" w:eastAsia="仿宋_GB2312" w:cs="仿宋_GB2312"/>
                <w:sz w:val="20"/>
                <w:szCs w:val="20"/>
              </w:rPr>
            </w:pPr>
          </w:p>
        </w:tc>
        <w:tc>
          <w:tcPr>
            <w:tcW w:w="615" w:type="dxa"/>
            <w:vAlign w:val="center"/>
          </w:tcPr>
          <w:p w14:paraId="0A4681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3646F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B979E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议第二次修订）第十九条：测绘资质单位的名称、注册地址、法定代表人发生变更的，应当在有关部门核准完成变更后三十日内，向测绘资质审批机关申请变更登记。</w:t>
            </w:r>
          </w:p>
          <w:p w14:paraId="691FDE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二条：违反本条例第十九条规定，测绘资质单位的名称、注册地址或者法定代表人发生变化未及时申请变更的，由县级以上人民政府测绘地理信息主管部门给予警告，责令限期改正；逾期不改正的，处五千元以上五万元以下的罚款。</w:t>
            </w:r>
          </w:p>
        </w:tc>
        <w:tc>
          <w:tcPr>
            <w:tcW w:w="3585" w:type="dxa"/>
            <w:vAlign w:val="center"/>
          </w:tcPr>
          <w:p w14:paraId="65A4FC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资质单位的名称、注册地址或者法定代表人发生变化未及时申请变更的情况，应及时制止（对正在实施的违法行为，下达《责令停止违法行为通知书》）,并进行审查核实，符合立案条件的予以立案。</w:t>
            </w:r>
          </w:p>
          <w:p w14:paraId="23A913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2.调查责任：执法人员不得少于两人，出示证件、表明身份；通过搜集证据、现场了解核实测绘资质单位的名称、注册地址或者法定代表人发生变化未及时申请变更的情况，并制作笔录。</w:t>
            </w:r>
          </w:p>
          <w:p w14:paraId="636A9B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3.审查责任：对调查结果进行审核；提出是否给予当事人处罚和给予何种处罚的意见。调查时允许当事人辩解陈述。执法人员应保守有关秘密。</w:t>
            </w:r>
          </w:p>
          <w:p w14:paraId="07A354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92F2B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资质单位的名称、注册地址或者法定代表人发生变化未及时申请变更的事实进行认定，依法制作《行政处罚决定书》，载明违反法律法规或规章的事实和证据、行政处罚的具体依据和内容，告知当事人陈述申辩或者听证情况等内容，告知申请行政复议或提起行政诉讼的权利。</w:t>
            </w:r>
          </w:p>
          <w:p w14:paraId="58B772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8E69A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72108E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F95A43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6F403B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04F1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D78C56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81F41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EF664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4A94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C9D7F2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2A2D6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36FA7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50480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2B3A3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718D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5D94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D7D6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42739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7E86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1018E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B19C0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E703D7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07FA361">
            <w:pPr>
              <w:snapToGrid w:val="0"/>
              <w:spacing w:line="240" w:lineRule="atLeast"/>
              <w:jc w:val="center"/>
              <w:rPr>
                <w:rFonts w:ascii="仿宋_GB2312" w:hAnsi="仿宋_GB2312" w:eastAsia="仿宋_GB2312" w:cs="仿宋_GB2312"/>
                <w:sz w:val="20"/>
                <w:szCs w:val="20"/>
              </w:rPr>
            </w:pPr>
          </w:p>
        </w:tc>
      </w:tr>
    </w:tbl>
    <w:p w14:paraId="4EA0730C"/>
    <w:p w14:paraId="2EF0B183"/>
    <w:p w14:paraId="43CFDDA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418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7CFA8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A81426F">
            <w:pPr>
              <w:spacing w:line="240" w:lineRule="atLeast"/>
              <w:rPr>
                <w:rFonts w:asciiTheme="majorEastAsia" w:hAnsiTheme="majorEastAsia" w:eastAsiaTheme="majorEastAsia" w:cstheme="majorEastAsia"/>
                <w:spacing w:val="-20"/>
                <w:sz w:val="20"/>
                <w:szCs w:val="20"/>
              </w:rPr>
            </w:pPr>
          </w:p>
          <w:p w14:paraId="1F9AD47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75882A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558242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4C6B96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AA7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B56435">
            <w:pPr>
              <w:spacing w:line="240" w:lineRule="atLeast"/>
              <w:jc w:val="left"/>
              <w:rPr>
                <w:rFonts w:ascii="仿宋_GB2312" w:hAnsi="仿宋_GB2312" w:eastAsia="仿宋_GB2312" w:cs="仿宋_GB2312"/>
                <w:sz w:val="20"/>
                <w:szCs w:val="20"/>
              </w:rPr>
            </w:pPr>
          </w:p>
        </w:tc>
        <w:tc>
          <w:tcPr>
            <w:tcW w:w="555" w:type="dxa"/>
            <w:vMerge w:val="continue"/>
          </w:tcPr>
          <w:p w14:paraId="21F0D246">
            <w:pPr>
              <w:spacing w:line="240" w:lineRule="atLeast"/>
              <w:jc w:val="left"/>
              <w:rPr>
                <w:rFonts w:ascii="仿宋_GB2312" w:hAnsi="仿宋_GB2312" w:eastAsia="仿宋_GB2312" w:cs="仿宋_GB2312"/>
                <w:sz w:val="20"/>
                <w:szCs w:val="20"/>
              </w:rPr>
            </w:pPr>
          </w:p>
        </w:tc>
        <w:tc>
          <w:tcPr>
            <w:tcW w:w="784" w:type="dxa"/>
            <w:vAlign w:val="center"/>
          </w:tcPr>
          <w:p w14:paraId="4205F2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DFD7E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DE4261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232298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53B45A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732B7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4C47F5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3EFD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80D99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514D67A">
            <w:pPr>
              <w:spacing w:line="240" w:lineRule="atLeast"/>
              <w:jc w:val="left"/>
              <w:rPr>
                <w:rFonts w:ascii="仿宋_GB2312" w:hAnsi="仿宋_GB2312" w:eastAsia="仿宋_GB2312" w:cs="仿宋_GB2312"/>
                <w:sz w:val="20"/>
                <w:szCs w:val="20"/>
              </w:rPr>
            </w:pPr>
          </w:p>
        </w:tc>
      </w:tr>
      <w:tr w14:paraId="00A7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82420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146</w:t>
            </w:r>
          </w:p>
        </w:tc>
        <w:tc>
          <w:tcPr>
            <w:tcW w:w="555" w:type="dxa"/>
            <w:vAlign w:val="center"/>
          </w:tcPr>
          <w:p w14:paraId="1769A9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921F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B7874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27AC4A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对测绘项目的招标单位让不具有相应资质等级的测绘单位中标，或者让测绘单位低于测绘成本中标行为的处罚</w:t>
            </w:r>
          </w:p>
        </w:tc>
        <w:tc>
          <w:tcPr>
            <w:tcW w:w="660" w:type="dxa"/>
            <w:vAlign w:val="center"/>
          </w:tcPr>
          <w:p w14:paraId="0413A360">
            <w:pPr>
              <w:snapToGrid w:val="0"/>
              <w:spacing w:line="240" w:lineRule="atLeast"/>
              <w:jc w:val="center"/>
              <w:rPr>
                <w:rFonts w:ascii="仿宋_GB2312" w:hAnsi="仿宋_GB2312" w:eastAsia="仿宋_GB2312" w:cs="仿宋_GB2312"/>
                <w:sz w:val="20"/>
                <w:szCs w:val="20"/>
              </w:rPr>
            </w:pPr>
          </w:p>
        </w:tc>
        <w:tc>
          <w:tcPr>
            <w:tcW w:w="615" w:type="dxa"/>
            <w:vAlign w:val="center"/>
          </w:tcPr>
          <w:p w14:paraId="3856D3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A9CD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98444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七条：违反本法规定，测绘项目的招标单位让不具有相应资质等级的测绘单位中标，或者让测绘单位低于测绘成本中标的，责令改正，可以处测绘约定报酬二倍以下的罚款。招标单位的工作人员利用职务上的便利，索取他人财物，或者非法收受他人财物为他人谋取利益的，依法给予处分；构成犯罪的，依法追究刑事责任。</w:t>
            </w:r>
          </w:p>
          <w:p w14:paraId="113C95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3D7176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项目的招标单位让不具有相应资质等级的测绘单位中标，或者让测绘单位低于测绘成本中标的情况，应及时制止（对正在实施的违法行为，下达《责令停止违法行为通知书》）,并进行审查核实，符合立案条件的予以立案。</w:t>
            </w:r>
          </w:p>
          <w:p w14:paraId="4FD73C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项目的招标单位让不具有相应资质等级的测绘单位中标，或者让测绘单位低于测绘成本中标的情况，并制作笔录。调查时允许当事人辩解陈述。执法人员应保守有关秘密。</w:t>
            </w:r>
          </w:p>
          <w:p w14:paraId="0904A6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BEC34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BD329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项目的招标单位让不具有相应资质等级的测绘单位中标，或者让测绘单位低于测绘成本中标的事实进行认定，依法制作《行政处罚决定书》，载明违反法律法规或规章的事实和证据、行政处罚的具体依据和内容，告知当事人陈述申辩或者听证情况等内容，告知申请行政复议或提起行政诉讼的权利。</w:t>
            </w:r>
          </w:p>
          <w:p w14:paraId="0F9437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0B4C9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7FF1B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1DC35E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0DDFD6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DF359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8C680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5C57F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53AE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BFC8A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DFF439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B6D82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EDC6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50471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0C28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A7E7E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C851E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7BAF4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15409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5ACD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6C59C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5223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7E66ED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1DD0B84">
            <w:pPr>
              <w:snapToGrid w:val="0"/>
              <w:spacing w:line="240" w:lineRule="atLeast"/>
              <w:jc w:val="center"/>
              <w:rPr>
                <w:rFonts w:ascii="仿宋_GB2312" w:hAnsi="仿宋_GB2312" w:eastAsia="仿宋_GB2312" w:cs="仿宋_GB2312"/>
                <w:sz w:val="20"/>
                <w:szCs w:val="20"/>
              </w:rPr>
            </w:pPr>
          </w:p>
        </w:tc>
      </w:tr>
    </w:tbl>
    <w:p w14:paraId="151495AD"/>
    <w:p w14:paraId="67C92B9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7A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DA0510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5DC1BF6">
            <w:pPr>
              <w:spacing w:line="240" w:lineRule="atLeast"/>
              <w:rPr>
                <w:rFonts w:asciiTheme="majorEastAsia" w:hAnsiTheme="majorEastAsia" w:eastAsiaTheme="majorEastAsia" w:cstheme="majorEastAsia"/>
                <w:spacing w:val="-20"/>
                <w:sz w:val="20"/>
                <w:szCs w:val="20"/>
              </w:rPr>
            </w:pPr>
          </w:p>
          <w:p w14:paraId="6528B6E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59CB71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D2C5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9D7588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C7B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AA7A2A3">
            <w:pPr>
              <w:spacing w:line="240" w:lineRule="atLeast"/>
              <w:jc w:val="left"/>
              <w:rPr>
                <w:rFonts w:ascii="仿宋_GB2312" w:hAnsi="仿宋_GB2312" w:eastAsia="仿宋_GB2312" w:cs="仿宋_GB2312"/>
                <w:sz w:val="20"/>
                <w:szCs w:val="20"/>
              </w:rPr>
            </w:pPr>
          </w:p>
        </w:tc>
        <w:tc>
          <w:tcPr>
            <w:tcW w:w="555" w:type="dxa"/>
            <w:vMerge w:val="continue"/>
          </w:tcPr>
          <w:p w14:paraId="61D47720">
            <w:pPr>
              <w:spacing w:line="240" w:lineRule="atLeast"/>
              <w:jc w:val="left"/>
              <w:rPr>
                <w:rFonts w:ascii="仿宋_GB2312" w:hAnsi="仿宋_GB2312" w:eastAsia="仿宋_GB2312" w:cs="仿宋_GB2312"/>
                <w:sz w:val="20"/>
                <w:szCs w:val="20"/>
              </w:rPr>
            </w:pPr>
          </w:p>
        </w:tc>
        <w:tc>
          <w:tcPr>
            <w:tcW w:w="784" w:type="dxa"/>
            <w:vAlign w:val="center"/>
          </w:tcPr>
          <w:p w14:paraId="7870A1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8C6FFC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A74B1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BBCC0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740E3A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5BCF8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E6DA4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D007C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3483D4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59D618">
            <w:pPr>
              <w:spacing w:line="240" w:lineRule="atLeast"/>
              <w:jc w:val="left"/>
              <w:rPr>
                <w:rFonts w:ascii="仿宋_GB2312" w:hAnsi="仿宋_GB2312" w:eastAsia="仿宋_GB2312" w:cs="仿宋_GB2312"/>
                <w:sz w:val="20"/>
                <w:szCs w:val="20"/>
              </w:rPr>
            </w:pPr>
          </w:p>
        </w:tc>
      </w:tr>
      <w:tr w14:paraId="34E9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FD59D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147</w:t>
            </w:r>
          </w:p>
        </w:tc>
        <w:tc>
          <w:tcPr>
            <w:tcW w:w="555" w:type="dxa"/>
            <w:vAlign w:val="center"/>
          </w:tcPr>
          <w:p w14:paraId="0E5697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6E1EC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6A24B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A9AE3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对中标的测绘单位向他人转让测绘项目行为的处罚</w:t>
            </w:r>
          </w:p>
        </w:tc>
        <w:tc>
          <w:tcPr>
            <w:tcW w:w="660" w:type="dxa"/>
            <w:vAlign w:val="center"/>
          </w:tcPr>
          <w:p w14:paraId="33DA70DD">
            <w:pPr>
              <w:snapToGrid w:val="0"/>
              <w:spacing w:line="240" w:lineRule="atLeast"/>
              <w:jc w:val="center"/>
              <w:rPr>
                <w:rFonts w:ascii="仿宋_GB2312" w:hAnsi="仿宋_GB2312" w:eastAsia="仿宋_GB2312" w:cs="仿宋_GB2312"/>
                <w:sz w:val="20"/>
                <w:szCs w:val="20"/>
              </w:rPr>
            </w:pPr>
          </w:p>
        </w:tc>
        <w:tc>
          <w:tcPr>
            <w:tcW w:w="615" w:type="dxa"/>
            <w:vAlign w:val="center"/>
          </w:tcPr>
          <w:p w14:paraId="5C7ED3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2B55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044A4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八条：违反本法规定，中标的测绘单位向他人转让测绘项目的，责令改正，没收违法所得，处测绘约定报酬一倍以上二倍以下的罚款，并可以责令停业整顿或者降低测绘资质等级；情节严重的，吊销测绘资质证书。</w:t>
            </w:r>
          </w:p>
          <w:p w14:paraId="34BE763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7DC65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中标的测绘单位向他人转让测绘项目的情况，应及时制止（对正在实施的违法行为，下达《责令停止违法行为通知书》）,并进行审查核实，符合立案条件的予以立案。</w:t>
            </w:r>
          </w:p>
          <w:p w14:paraId="40C53C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2.调查责任：执法人员不得少于两人，出示证件、表明身份；通过搜集证据、现场了解核实中标的测绘单位向他人转让测绘项目的情况，并制作笔录。调查时允许当事人辩解陈述。执法人员应保守有关秘密。</w:t>
            </w:r>
          </w:p>
          <w:p w14:paraId="45259F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6C8E9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736FF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中标的测绘单位向他人转让测绘项目的事实进行认定，依法制作《行政处罚决定书》，载明违反法律法规或规章的事实和证据、行政处罚的具体依据和内容，告知当事人陈述申辩或者听证情况等内容，告知申请行政复议或提起行政诉讼的权利。</w:t>
            </w:r>
          </w:p>
          <w:p w14:paraId="770128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21693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220646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4A62A5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21237C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83B63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42060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11CF8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1AF83E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F3673A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80BF20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86505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7EA28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045F5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A912A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E6704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54A3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FC744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44C1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7F02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6F7C2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4ABDC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21B36C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7A404FF">
            <w:pPr>
              <w:snapToGrid w:val="0"/>
              <w:spacing w:line="240" w:lineRule="atLeast"/>
              <w:jc w:val="center"/>
              <w:rPr>
                <w:rFonts w:ascii="仿宋_GB2312" w:hAnsi="仿宋_GB2312" w:eastAsia="仿宋_GB2312" w:cs="仿宋_GB2312"/>
                <w:sz w:val="20"/>
                <w:szCs w:val="20"/>
              </w:rPr>
            </w:pPr>
          </w:p>
        </w:tc>
      </w:tr>
    </w:tbl>
    <w:p w14:paraId="20EE20DD"/>
    <w:p w14:paraId="25CEEF82"/>
    <w:p w14:paraId="39CDFE6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602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7E23EF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352CCD2">
            <w:pPr>
              <w:spacing w:line="240" w:lineRule="atLeast"/>
              <w:rPr>
                <w:rFonts w:asciiTheme="majorEastAsia" w:hAnsiTheme="majorEastAsia" w:eastAsiaTheme="majorEastAsia" w:cstheme="majorEastAsia"/>
                <w:spacing w:val="-20"/>
                <w:sz w:val="20"/>
                <w:szCs w:val="20"/>
              </w:rPr>
            </w:pPr>
          </w:p>
          <w:p w14:paraId="4152B84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90B2E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336DC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ED2FF7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867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A5C6B86">
            <w:pPr>
              <w:spacing w:line="240" w:lineRule="atLeast"/>
              <w:jc w:val="left"/>
              <w:rPr>
                <w:rFonts w:ascii="仿宋_GB2312" w:hAnsi="仿宋_GB2312" w:eastAsia="仿宋_GB2312" w:cs="仿宋_GB2312"/>
                <w:sz w:val="20"/>
                <w:szCs w:val="20"/>
              </w:rPr>
            </w:pPr>
          </w:p>
        </w:tc>
        <w:tc>
          <w:tcPr>
            <w:tcW w:w="555" w:type="dxa"/>
            <w:vMerge w:val="continue"/>
          </w:tcPr>
          <w:p w14:paraId="41028267">
            <w:pPr>
              <w:spacing w:line="240" w:lineRule="atLeast"/>
              <w:jc w:val="left"/>
              <w:rPr>
                <w:rFonts w:ascii="仿宋_GB2312" w:hAnsi="仿宋_GB2312" w:eastAsia="仿宋_GB2312" w:cs="仿宋_GB2312"/>
                <w:sz w:val="20"/>
                <w:szCs w:val="20"/>
              </w:rPr>
            </w:pPr>
          </w:p>
        </w:tc>
        <w:tc>
          <w:tcPr>
            <w:tcW w:w="784" w:type="dxa"/>
            <w:vAlign w:val="center"/>
          </w:tcPr>
          <w:p w14:paraId="6A184C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2FEF98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44C8D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536A70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53CA5D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4752C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34CCC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28917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D4ABB4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BA989B2">
            <w:pPr>
              <w:spacing w:line="240" w:lineRule="atLeast"/>
              <w:jc w:val="left"/>
              <w:rPr>
                <w:rFonts w:ascii="仿宋_GB2312" w:hAnsi="仿宋_GB2312" w:eastAsia="仿宋_GB2312" w:cs="仿宋_GB2312"/>
                <w:sz w:val="20"/>
                <w:szCs w:val="20"/>
              </w:rPr>
            </w:pPr>
          </w:p>
        </w:tc>
      </w:tr>
      <w:tr w14:paraId="4DFE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621E9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148</w:t>
            </w:r>
          </w:p>
        </w:tc>
        <w:tc>
          <w:tcPr>
            <w:tcW w:w="555" w:type="dxa"/>
            <w:vAlign w:val="center"/>
          </w:tcPr>
          <w:p w14:paraId="0E5E69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CAFCA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FBB63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BC3347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对未取得测绘执业资格，擅自从事测绘活动行为的处罚</w:t>
            </w:r>
          </w:p>
        </w:tc>
        <w:tc>
          <w:tcPr>
            <w:tcW w:w="660" w:type="dxa"/>
            <w:vAlign w:val="center"/>
          </w:tcPr>
          <w:p w14:paraId="774686F8">
            <w:pPr>
              <w:snapToGrid w:val="0"/>
              <w:spacing w:line="240" w:lineRule="atLeast"/>
              <w:jc w:val="center"/>
              <w:rPr>
                <w:rFonts w:ascii="仿宋_GB2312" w:hAnsi="仿宋_GB2312" w:eastAsia="仿宋_GB2312" w:cs="仿宋_GB2312"/>
                <w:sz w:val="20"/>
                <w:szCs w:val="20"/>
              </w:rPr>
            </w:pPr>
          </w:p>
        </w:tc>
        <w:tc>
          <w:tcPr>
            <w:tcW w:w="615" w:type="dxa"/>
            <w:vAlign w:val="center"/>
          </w:tcPr>
          <w:p w14:paraId="2E8812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F1920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B5253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九条：违反本法规定，未取得测绘执业资格，擅自从事测绘活动的，责令停止违法行为，没收违法所得和测绘成果，对其所在单位可以处违法所得二倍以下的罚款；情节严重的，没收测绘工具；造成损失的，依法承担赔偿责任。</w:t>
            </w:r>
          </w:p>
          <w:p w14:paraId="7BFEE9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14828A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取得测绘执业资格，擅自从事测绘活动的情况，应及时制止（对正在实施的违法行为，下达《责令停止违法行为通知书》）,并进行审查核实，符合立案条件的予以立案。</w:t>
            </w:r>
          </w:p>
          <w:p w14:paraId="0FC179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2.调查责任：执法人员不得少于两人，出示证件、表明身份；通过搜集证据、现场了解核实未取得测绘执业资格，擅自从事测绘活动的情况，并制作笔录。调查时允许当事人辩解陈述。执法人员应保守有关秘密。</w:t>
            </w:r>
          </w:p>
          <w:p w14:paraId="475B40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57D7B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57B50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取得测绘执业资格，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37E861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1DA17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22CFBD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E7A8E7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734579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EAC27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A02A0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EEBA5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E19B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A936D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DD1A3C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D3F92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C3F1B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5F082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119AB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F9474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91D4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D93A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762A0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8A9AB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95896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48A79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6804B3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6473102">
            <w:pPr>
              <w:snapToGrid w:val="0"/>
              <w:spacing w:line="240" w:lineRule="atLeast"/>
              <w:jc w:val="center"/>
              <w:rPr>
                <w:rFonts w:ascii="仿宋_GB2312" w:hAnsi="仿宋_GB2312" w:eastAsia="仿宋_GB2312" w:cs="仿宋_GB2312"/>
                <w:sz w:val="20"/>
                <w:szCs w:val="20"/>
              </w:rPr>
            </w:pPr>
          </w:p>
        </w:tc>
      </w:tr>
    </w:tbl>
    <w:p w14:paraId="0A27B70B"/>
    <w:p w14:paraId="3ECEA82B"/>
    <w:p w14:paraId="1D12E9D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15"/>
        <w:gridCol w:w="630"/>
        <w:gridCol w:w="1155"/>
        <w:gridCol w:w="4380"/>
        <w:gridCol w:w="3585"/>
        <w:gridCol w:w="9515"/>
        <w:gridCol w:w="330"/>
      </w:tblGrid>
      <w:tr w14:paraId="40D4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4C6EDE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B9D1168">
            <w:pPr>
              <w:spacing w:line="240" w:lineRule="atLeast"/>
              <w:rPr>
                <w:rFonts w:asciiTheme="majorEastAsia" w:hAnsiTheme="majorEastAsia" w:eastAsiaTheme="majorEastAsia" w:cstheme="majorEastAsia"/>
                <w:spacing w:val="-20"/>
                <w:sz w:val="20"/>
                <w:szCs w:val="20"/>
              </w:rPr>
            </w:pPr>
          </w:p>
          <w:p w14:paraId="16A4BF2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C40247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1906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0A095E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799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E13ACB2">
            <w:pPr>
              <w:spacing w:line="240" w:lineRule="atLeast"/>
              <w:jc w:val="left"/>
              <w:rPr>
                <w:rFonts w:ascii="仿宋_GB2312" w:hAnsi="仿宋_GB2312" w:eastAsia="仿宋_GB2312" w:cs="仿宋_GB2312"/>
                <w:sz w:val="20"/>
                <w:szCs w:val="20"/>
              </w:rPr>
            </w:pPr>
          </w:p>
        </w:tc>
        <w:tc>
          <w:tcPr>
            <w:tcW w:w="555" w:type="dxa"/>
            <w:vMerge w:val="continue"/>
          </w:tcPr>
          <w:p w14:paraId="21BFBB64">
            <w:pPr>
              <w:spacing w:line="240" w:lineRule="atLeast"/>
              <w:jc w:val="left"/>
              <w:rPr>
                <w:rFonts w:ascii="仿宋_GB2312" w:hAnsi="仿宋_GB2312" w:eastAsia="仿宋_GB2312" w:cs="仿宋_GB2312"/>
                <w:sz w:val="20"/>
                <w:szCs w:val="20"/>
              </w:rPr>
            </w:pPr>
          </w:p>
        </w:tc>
        <w:tc>
          <w:tcPr>
            <w:tcW w:w="994" w:type="dxa"/>
            <w:vAlign w:val="center"/>
          </w:tcPr>
          <w:p w14:paraId="3E64D5A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AD77C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2DB1A06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30" w:type="dxa"/>
            <w:vAlign w:val="center"/>
          </w:tcPr>
          <w:p w14:paraId="2406026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55" w:type="dxa"/>
            <w:vAlign w:val="center"/>
          </w:tcPr>
          <w:p w14:paraId="4C04ED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80" w:type="dxa"/>
            <w:vAlign w:val="center"/>
          </w:tcPr>
          <w:p w14:paraId="3A4C7D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3FE98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2C87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D99CB4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4B74B5E">
            <w:pPr>
              <w:spacing w:line="240" w:lineRule="atLeast"/>
              <w:jc w:val="left"/>
              <w:rPr>
                <w:rFonts w:ascii="仿宋_GB2312" w:hAnsi="仿宋_GB2312" w:eastAsia="仿宋_GB2312" w:cs="仿宋_GB2312"/>
                <w:sz w:val="20"/>
                <w:szCs w:val="20"/>
              </w:rPr>
            </w:pPr>
          </w:p>
        </w:tc>
      </w:tr>
      <w:tr w14:paraId="48E5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CE125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149</w:t>
            </w:r>
          </w:p>
        </w:tc>
        <w:tc>
          <w:tcPr>
            <w:tcW w:w="555" w:type="dxa"/>
            <w:vAlign w:val="center"/>
          </w:tcPr>
          <w:p w14:paraId="18AF85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2248F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78C1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32728B6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对不汇交测绘成果资料的，测绘项目出资人逾期不汇交的，承担国家投资的测绘项目的单位逾期不汇交的，自暂扣测绘资质证书之日起六个月内仍不汇交行为的处罚</w:t>
            </w:r>
          </w:p>
        </w:tc>
        <w:tc>
          <w:tcPr>
            <w:tcW w:w="615" w:type="dxa"/>
            <w:vAlign w:val="center"/>
          </w:tcPr>
          <w:p w14:paraId="2EF86979">
            <w:pPr>
              <w:snapToGrid w:val="0"/>
              <w:spacing w:line="240" w:lineRule="atLeast"/>
              <w:jc w:val="center"/>
              <w:rPr>
                <w:rFonts w:ascii="仿宋_GB2312" w:hAnsi="仿宋_GB2312" w:eastAsia="仿宋_GB2312" w:cs="仿宋_GB2312"/>
                <w:sz w:val="20"/>
                <w:szCs w:val="20"/>
              </w:rPr>
            </w:pPr>
          </w:p>
        </w:tc>
        <w:tc>
          <w:tcPr>
            <w:tcW w:w="630" w:type="dxa"/>
            <w:vAlign w:val="center"/>
          </w:tcPr>
          <w:p w14:paraId="4BD6A3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55" w:type="dxa"/>
            <w:vAlign w:val="center"/>
          </w:tcPr>
          <w:p w14:paraId="14D36B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80" w:type="dxa"/>
            <w:vAlign w:val="center"/>
          </w:tcPr>
          <w:p w14:paraId="50CD5E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条：违反本法规定，不汇交测绘成果资料的，责令限期汇交；测绘项目出资人逾期不汇交的，处重测所需费用一倍以上二倍以下的罚款；承担国家投资的测绘项目的单位逾期不汇交的，处五万元以上二十万元以下的罚款，并处暂扣测绘资质证书，自暂扣测绘资质证书之日起六个月内仍不汇交的，吊销测绘资质证书；对直接负责的主管人员和其他直接责任人员，依法给予处分。</w:t>
            </w:r>
          </w:p>
        </w:tc>
        <w:tc>
          <w:tcPr>
            <w:tcW w:w="3585" w:type="dxa"/>
            <w:vAlign w:val="center"/>
          </w:tcPr>
          <w:p w14:paraId="68F65A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不汇交测绘成果资料，测绘项目出资人逾期不汇交的，承担国家投资的测绘项目的单位逾期不汇交的，自暂扣测绘资质证书之日起六个月内仍不汇交的情况，应及时制止（对正在实施的违法行为，下达《责令停止违法行为通知书》）,并进行审查核实，符合立案条件的予以立案。</w:t>
            </w:r>
          </w:p>
          <w:p w14:paraId="7CAFF2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不汇交测绘成果资料，测绘项目出资人逾期不汇交的，承担国家投资的测绘项目的单位逾期不汇交的，自暂扣测绘资质证书之日起六个月内仍不汇的情况，并制作笔录。调查时允许当事人辩解陈述。执法人员应保守有关秘密。</w:t>
            </w:r>
          </w:p>
          <w:p w14:paraId="71F5C1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2D1A0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7AD2E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不汇交测绘成果资料，测绘项目出资人逾期不汇交的，承担国家投资的测绘项目的单位逾期不汇交的，自暂扣测绘资质证书之日起六个月内仍不汇交的事实进行认定，依法制作《行政处罚决定书》，载明违反法律法规或规章的事实和证据、行政处罚的具体依据和内容，告知当事人陈述申辩或者听证情况等内容，告知申请行政复议或提起行政诉讼的权利。</w:t>
            </w:r>
          </w:p>
          <w:p w14:paraId="2D0ADD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CB963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843EA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3BABE0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FDDBE6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3A56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993AC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36786C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1A1F9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FF4E0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25A8E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1E8F4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0395B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657DE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9510E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69B3C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0EC8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E6FC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38316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C94C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776AA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5ACC7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EFFC9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A90DFD2">
            <w:pPr>
              <w:snapToGrid w:val="0"/>
              <w:spacing w:line="240" w:lineRule="atLeast"/>
              <w:jc w:val="center"/>
              <w:rPr>
                <w:rFonts w:ascii="仿宋_GB2312" w:hAnsi="仿宋_GB2312" w:eastAsia="仿宋_GB2312" w:cs="仿宋_GB2312"/>
                <w:sz w:val="20"/>
                <w:szCs w:val="20"/>
              </w:rPr>
            </w:pPr>
          </w:p>
        </w:tc>
      </w:tr>
    </w:tbl>
    <w:p w14:paraId="23229F51"/>
    <w:p w14:paraId="2E65D8A0"/>
    <w:p w14:paraId="6FDF304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301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30DB6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16F48DE">
            <w:pPr>
              <w:spacing w:line="240" w:lineRule="atLeast"/>
              <w:rPr>
                <w:rFonts w:asciiTheme="majorEastAsia" w:hAnsiTheme="majorEastAsia" w:eastAsiaTheme="majorEastAsia" w:cstheme="majorEastAsia"/>
                <w:spacing w:val="-20"/>
                <w:sz w:val="20"/>
                <w:szCs w:val="20"/>
              </w:rPr>
            </w:pPr>
          </w:p>
          <w:p w14:paraId="6E74335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B5FB37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1734B2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05C05A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0A2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0FC5EC4">
            <w:pPr>
              <w:spacing w:line="240" w:lineRule="atLeast"/>
              <w:jc w:val="left"/>
              <w:rPr>
                <w:rFonts w:ascii="仿宋_GB2312" w:hAnsi="仿宋_GB2312" w:eastAsia="仿宋_GB2312" w:cs="仿宋_GB2312"/>
                <w:sz w:val="20"/>
                <w:szCs w:val="20"/>
              </w:rPr>
            </w:pPr>
          </w:p>
        </w:tc>
        <w:tc>
          <w:tcPr>
            <w:tcW w:w="555" w:type="dxa"/>
            <w:vMerge w:val="continue"/>
          </w:tcPr>
          <w:p w14:paraId="19FA350D">
            <w:pPr>
              <w:spacing w:line="240" w:lineRule="atLeast"/>
              <w:jc w:val="left"/>
              <w:rPr>
                <w:rFonts w:ascii="仿宋_GB2312" w:hAnsi="仿宋_GB2312" w:eastAsia="仿宋_GB2312" w:cs="仿宋_GB2312"/>
                <w:sz w:val="20"/>
                <w:szCs w:val="20"/>
              </w:rPr>
            </w:pPr>
          </w:p>
        </w:tc>
        <w:tc>
          <w:tcPr>
            <w:tcW w:w="784" w:type="dxa"/>
            <w:vAlign w:val="center"/>
          </w:tcPr>
          <w:p w14:paraId="23EC924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CFF74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F1C8A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6BE0A8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C060B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60DBBC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2B353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A74E5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ECD30D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20440D4">
            <w:pPr>
              <w:spacing w:line="240" w:lineRule="atLeast"/>
              <w:jc w:val="left"/>
              <w:rPr>
                <w:rFonts w:ascii="仿宋_GB2312" w:hAnsi="仿宋_GB2312" w:eastAsia="仿宋_GB2312" w:cs="仿宋_GB2312"/>
                <w:sz w:val="20"/>
                <w:szCs w:val="20"/>
              </w:rPr>
            </w:pPr>
          </w:p>
        </w:tc>
      </w:tr>
      <w:tr w14:paraId="6D30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8064F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150</w:t>
            </w:r>
          </w:p>
        </w:tc>
        <w:tc>
          <w:tcPr>
            <w:tcW w:w="555" w:type="dxa"/>
            <w:vAlign w:val="center"/>
          </w:tcPr>
          <w:p w14:paraId="15273F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C3F3C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D2FE4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4F254A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对擅自发布中华人民共和国领域和中华人民共和国管辖的其他海域的重要地理信息数据行为的处罚</w:t>
            </w:r>
          </w:p>
        </w:tc>
        <w:tc>
          <w:tcPr>
            <w:tcW w:w="660" w:type="dxa"/>
            <w:vAlign w:val="center"/>
          </w:tcPr>
          <w:p w14:paraId="0234AF97">
            <w:pPr>
              <w:snapToGrid w:val="0"/>
              <w:spacing w:line="240" w:lineRule="atLeast"/>
              <w:jc w:val="center"/>
              <w:rPr>
                <w:rFonts w:ascii="仿宋_GB2312" w:hAnsi="仿宋_GB2312" w:eastAsia="仿宋_GB2312" w:cs="仿宋_GB2312"/>
                <w:sz w:val="20"/>
                <w:szCs w:val="20"/>
              </w:rPr>
            </w:pPr>
          </w:p>
        </w:tc>
        <w:tc>
          <w:tcPr>
            <w:tcW w:w="615" w:type="dxa"/>
            <w:vAlign w:val="center"/>
          </w:tcPr>
          <w:p w14:paraId="12AD11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5148B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8AEEB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六十一条：违反本法规定，擅自发布中华人民共和国领域和中华人民共和国管辖的其他海域的重要地理信息数据的，给予警告，责令改正，可以并处五十万元以下的罚款；对直接负责的主管人员和其他直接责任人员，依法给予处分；构成犯罪的，依法追究刑事责任。</w:t>
            </w:r>
          </w:p>
          <w:p w14:paraId="6C79AAD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F0619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发布中华人民共和国领域和中华人民共和国管辖的其他海域的重要地理信息数据的情况，应及时制止（对正在实施的违法行为，下达《责令停止违法行为通知书》）,并进行审查核实，符合立案条件的予以立案。</w:t>
            </w:r>
          </w:p>
          <w:p w14:paraId="465385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发布中华人民共和国领域和中华人民共和国管辖的其他海域的重要地理信息数据的情况，并制作笔录。调查时允许当事人辩解陈述。执法人员应保守有关秘密。</w:t>
            </w:r>
          </w:p>
          <w:p w14:paraId="495AE9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8C788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CF019E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擅自发布我国领域和管辖的其他海域的重要地理信息数据的事实进行认定，依法制作《行政处罚决定书》，载明违反法律法规或规章的事实和证据、行政处罚的具体依据和内容，告知当事人陈述申辩或者听证情况等内容，告知申请行政复议或提起行政诉讼的权力。</w:t>
            </w:r>
          </w:p>
          <w:p w14:paraId="5C99C1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ABB0E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5B809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2FB781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D8788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C3ED9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1A06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A65752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4D297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5C716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6FE17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112D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86CBD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02632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C0828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AED01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C5BC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1825D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7C786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3D954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5926B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4FC1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C36705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A01FC02">
            <w:pPr>
              <w:snapToGrid w:val="0"/>
              <w:spacing w:line="240" w:lineRule="atLeast"/>
              <w:jc w:val="center"/>
              <w:rPr>
                <w:rFonts w:ascii="仿宋_GB2312" w:hAnsi="仿宋_GB2312" w:eastAsia="仿宋_GB2312" w:cs="仿宋_GB2312"/>
                <w:sz w:val="20"/>
                <w:szCs w:val="20"/>
              </w:rPr>
            </w:pPr>
          </w:p>
        </w:tc>
      </w:tr>
    </w:tbl>
    <w:p w14:paraId="2870678E"/>
    <w:p w14:paraId="05FD880B"/>
    <w:p w14:paraId="2122088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E09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CEDEA7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0428615">
            <w:pPr>
              <w:spacing w:line="240" w:lineRule="atLeast"/>
              <w:rPr>
                <w:rFonts w:asciiTheme="majorEastAsia" w:hAnsiTheme="majorEastAsia" w:eastAsiaTheme="majorEastAsia" w:cstheme="majorEastAsia"/>
                <w:spacing w:val="-20"/>
                <w:sz w:val="20"/>
                <w:szCs w:val="20"/>
              </w:rPr>
            </w:pPr>
          </w:p>
          <w:p w14:paraId="11C289E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9F319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77F106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FB5CFD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3F0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D9FC77">
            <w:pPr>
              <w:spacing w:line="240" w:lineRule="atLeast"/>
              <w:jc w:val="left"/>
              <w:rPr>
                <w:rFonts w:ascii="仿宋_GB2312" w:hAnsi="仿宋_GB2312" w:eastAsia="仿宋_GB2312" w:cs="仿宋_GB2312"/>
                <w:sz w:val="20"/>
                <w:szCs w:val="20"/>
              </w:rPr>
            </w:pPr>
          </w:p>
        </w:tc>
        <w:tc>
          <w:tcPr>
            <w:tcW w:w="555" w:type="dxa"/>
            <w:vMerge w:val="continue"/>
          </w:tcPr>
          <w:p w14:paraId="32B02DFF">
            <w:pPr>
              <w:spacing w:line="240" w:lineRule="atLeast"/>
              <w:jc w:val="left"/>
              <w:rPr>
                <w:rFonts w:ascii="仿宋_GB2312" w:hAnsi="仿宋_GB2312" w:eastAsia="仿宋_GB2312" w:cs="仿宋_GB2312"/>
                <w:sz w:val="20"/>
                <w:szCs w:val="20"/>
              </w:rPr>
            </w:pPr>
          </w:p>
        </w:tc>
        <w:tc>
          <w:tcPr>
            <w:tcW w:w="784" w:type="dxa"/>
            <w:vAlign w:val="center"/>
          </w:tcPr>
          <w:p w14:paraId="058FA5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728D0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B4305A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71385D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666384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E8AA31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77C46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FEEFE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5097CD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1B59679">
            <w:pPr>
              <w:spacing w:line="240" w:lineRule="atLeast"/>
              <w:jc w:val="left"/>
              <w:rPr>
                <w:rFonts w:ascii="仿宋_GB2312" w:hAnsi="仿宋_GB2312" w:eastAsia="仿宋_GB2312" w:cs="仿宋_GB2312"/>
                <w:sz w:val="20"/>
                <w:szCs w:val="20"/>
              </w:rPr>
            </w:pPr>
          </w:p>
        </w:tc>
      </w:tr>
      <w:tr w14:paraId="305B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4AFF4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151</w:t>
            </w:r>
          </w:p>
        </w:tc>
        <w:tc>
          <w:tcPr>
            <w:tcW w:w="555" w:type="dxa"/>
            <w:vAlign w:val="center"/>
          </w:tcPr>
          <w:p w14:paraId="141453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3D1F1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A9D8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0FD000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在对社会公众有影响的活动中使用未经依法公布的重要地理信息数据行为的处罚</w:t>
            </w:r>
          </w:p>
        </w:tc>
        <w:tc>
          <w:tcPr>
            <w:tcW w:w="660" w:type="dxa"/>
            <w:vAlign w:val="center"/>
          </w:tcPr>
          <w:p w14:paraId="1AE5057D">
            <w:pPr>
              <w:snapToGrid w:val="0"/>
              <w:spacing w:line="240" w:lineRule="atLeast"/>
              <w:jc w:val="center"/>
              <w:rPr>
                <w:rFonts w:ascii="仿宋_GB2312" w:hAnsi="仿宋_GB2312" w:eastAsia="仿宋_GB2312" w:cs="仿宋_GB2312"/>
                <w:sz w:val="20"/>
                <w:szCs w:val="20"/>
              </w:rPr>
            </w:pPr>
          </w:p>
        </w:tc>
        <w:tc>
          <w:tcPr>
            <w:tcW w:w="615" w:type="dxa"/>
            <w:vAlign w:val="center"/>
          </w:tcPr>
          <w:p w14:paraId="193801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EE194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85E09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第二十九条：违反本条例规定，有下列行为之一的，由测绘行政主管部门或者其他有关部门依据职责责令改正，给予警告，可处10万元以下的罚款；对直接负责的主管人员和其他直接责任人员，依法给予处分：</w:t>
            </w:r>
          </w:p>
          <w:p w14:paraId="18A9218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（三）在对社会公众有影响的活动中使用未经依法公布的重要地理信息数据的。</w:t>
            </w:r>
          </w:p>
        </w:tc>
        <w:tc>
          <w:tcPr>
            <w:tcW w:w="3585" w:type="dxa"/>
            <w:vAlign w:val="center"/>
          </w:tcPr>
          <w:p w14:paraId="36E5EA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在对社会公众有影响的活动中使用未经依法公布的重要地理信息数据的情况，应及时制止（对正在实施的违法行为，下达《责令停止违法行为通知书》）,并进行审查核实，符合立案条件的予以立案。</w:t>
            </w:r>
          </w:p>
          <w:p w14:paraId="67C150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在对社会公众有影响的活动中使用未经依法公布的重要地理信息数据的情况，并制作笔录。调查时允许当事人辩解陈述。执法人员应保守有关秘密。</w:t>
            </w:r>
          </w:p>
          <w:p w14:paraId="012725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92BDF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EE413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对社会公众有影响的活动中使用未经依法公布的重要地理信息数据的事实进行认定，依法制作《行政处罚决定书》，载明违反法律法规或规章的事实和证据、行政处罚的具体依据和内容，告知当事人陈述申辩或者听证情况等内容，告知申请行政复议或提起行政诉讼的权力。</w:t>
            </w:r>
          </w:p>
          <w:p w14:paraId="5ECB19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73474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39AC7E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067DCE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2D0BDD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EEE5F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112DBF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D185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FAFC6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1B59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F428BD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18E9F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6009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866E5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02B15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498BB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F7D1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FF19E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E4A70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9750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87F45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1C485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5892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45F6588">
            <w:pPr>
              <w:snapToGrid w:val="0"/>
              <w:spacing w:line="240" w:lineRule="atLeast"/>
              <w:jc w:val="center"/>
              <w:rPr>
                <w:rFonts w:ascii="仿宋_GB2312" w:hAnsi="仿宋_GB2312" w:eastAsia="仿宋_GB2312" w:cs="仿宋_GB2312"/>
                <w:sz w:val="20"/>
                <w:szCs w:val="20"/>
              </w:rPr>
            </w:pPr>
          </w:p>
        </w:tc>
      </w:tr>
    </w:tbl>
    <w:p w14:paraId="5CF27EC5"/>
    <w:p w14:paraId="4E0E8F59"/>
    <w:p w14:paraId="2E59310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9A8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1BF07B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0CD845D">
            <w:pPr>
              <w:spacing w:line="240" w:lineRule="atLeast"/>
              <w:rPr>
                <w:rFonts w:asciiTheme="majorEastAsia" w:hAnsiTheme="majorEastAsia" w:eastAsiaTheme="majorEastAsia" w:cstheme="majorEastAsia"/>
                <w:spacing w:val="-20"/>
                <w:sz w:val="20"/>
                <w:szCs w:val="20"/>
              </w:rPr>
            </w:pPr>
          </w:p>
          <w:p w14:paraId="159668B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61F00F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9685F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08B0A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DBC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187AC1B">
            <w:pPr>
              <w:spacing w:line="240" w:lineRule="atLeast"/>
              <w:jc w:val="left"/>
              <w:rPr>
                <w:rFonts w:ascii="仿宋_GB2312" w:hAnsi="仿宋_GB2312" w:eastAsia="仿宋_GB2312" w:cs="仿宋_GB2312"/>
                <w:sz w:val="20"/>
                <w:szCs w:val="20"/>
              </w:rPr>
            </w:pPr>
          </w:p>
        </w:tc>
        <w:tc>
          <w:tcPr>
            <w:tcW w:w="555" w:type="dxa"/>
            <w:vMerge w:val="continue"/>
          </w:tcPr>
          <w:p w14:paraId="56321668">
            <w:pPr>
              <w:spacing w:line="240" w:lineRule="atLeast"/>
              <w:jc w:val="left"/>
              <w:rPr>
                <w:rFonts w:ascii="仿宋_GB2312" w:hAnsi="仿宋_GB2312" w:eastAsia="仿宋_GB2312" w:cs="仿宋_GB2312"/>
                <w:sz w:val="20"/>
                <w:szCs w:val="20"/>
              </w:rPr>
            </w:pPr>
          </w:p>
        </w:tc>
        <w:tc>
          <w:tcPr>
            <w:tcW w:w="784" w:type="dxa"/>
            <w:vAlign w:val="center"/>
          </w:tcPr>
          <w:p w14:paraId="2E838C8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3E3519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F029E6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A8D087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F4C067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1C435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13E48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AD65DB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07D9AA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34C9EAB">
            <w:pPr>
              <w:spacing w:line="240" w:lineRule="atLeast"/>
              <w:jc w:val="left"/>
              <w:rPr>
                <w:rFonts w:ascii="仿宋_GB2312" w:hAnsi="仿宋_GB2312" w:eastAsia="仿宋_GB2312" w:cs="仿宋_GB2312"/>
                <w:sz w:val="20"/>
                <w:szCs w:val="20"/>
              </w:rPr>
            </w:pPr>
          </w:p>
        </w:tc>
      </w:tr>
      <w:tr w14:paraId="60B6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285F3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152</w:t>
            </w:r>
          </w:p>
        </w:tc>
        <w:tc>
          <w:tcPr>
            <w:tcW w:w="555" w:type="dxa"/>
            <w:vAlign w:val="center"/>
          </w:tcPr>
          <w:p w14:paraId="0EBDD9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89790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3E04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EFA5AB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对未在地图的适当位置显著标注审图号，或者未按照有关规定送交样本行为的处罚</w:t>
            </w:r>
          </w:p>
        </w:tc>
        <w:tc>
          <w:tcPr>
            <w:tcW w:w="660" w:type="dxa"/>
            <w:vAlign w:val="center"/>
          </w:tcPr>
          <w:p w14:paraId="3B71615E">
            <w:pPr>
              <w:snapToGrid w:val="0"/>
              <w:spacing w:line="240" w:lineRule="atLeast"/>
              <w:jc w:val="center"/>
              <w:rPr>
                <w:rFonts w:ascii="仿宋_GB2312" w:hAnsi="仿宋_GB2312" w:eastAsia="仿宋_GB2312" w:cs="仿宋_GB2312"/>
                <w:sz w:val="20"/>
                <w:szCs w:val="20"/>
              </w:rPr>
            </w:pPr>
          </w:p>
        </w:tc>
        <w:tc>
          <w:tcPr>
            <w:tcW w:w="615" w:type="dxa"/>
            <w:vAlign w:val="center"/>
          </w:tcPr>
          <w:p w14:paraId="6C26AF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3B0C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254FC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394C9A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2.【行政法规】《地图管理条例》（2015年国务院令第664号） 第五十三条：违反本条例规定，未在地图的适当位置显著标注审图号，或者未按照有关规定送交样本的，责令改正，给予警告；情节严重的，责令停业整顿，降低资质等级或者吊销测绘资质证书。</w:t>
            </w:r>
          </w:p>
        </w:tc>
        <w:tc>
          <w:tcPr>
            <w:tcW w:w="3585" w:type="dxa"/>
            <w:vAlign w:val="center"/>
          </w:tcPr>
          <w:p w14:paraId="0F0E87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在地图的适当位置显著标注审图号，或者未按照有关规定送交样本的情况，应及时制止（对正在实施的违法行为，下达《责令停止违法行为通知书》）,并进行审查核实，符合立案条件的予以立案。</w:t>
            </w:r>
          </w:p>
          <w:p w14:paraId="76EF32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行政执法人员不得少于两人，出示证件、表明身份；通过搜集证据、现场了解核实未在地图的适当位置显著标注审图号，或者未按照有关规定送交样本的情况，并制作笔录。调查时允许当事人辩解陈述。执法人员应保守有关秘密。</w:t>
            </w:r>
          </w:p>
          <w:p w14:paraId="3E60C2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3.审查责任：对调查结果进行审核；提出是否给予当事人行政处罚和给予何种处罚的意见。</w:t>
            </w:r>
          </w:p>
          <w:p w14:paraId="47B54F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1C742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在地图的适当位置显著标注审图号，或者未按照有关规定送交样本的事实进行认定，依法制作《行政处罚决定书》，载明违反法律法规或规章的事实和证据、行政处罚具体的依据和内容，告知当事人陈述申辩或者听证情况等内容， 告知申请行政复议或提起行政诉讼的权力。</w:t>
            </w:r>
          </w:p>
          <w:p w14:paraId="773173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6E0FE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6B2F4C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447FF5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7FAF05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67EAA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5BDD8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20439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FD6E40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C29E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32C54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8C94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E2953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2B0F1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9072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FD2C6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3FDA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71754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F0EAF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6338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E610E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F270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41227C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776B6F6">
            <w:pPr>
              <w:snapToGrid w:val="0"/>
              <w:spacing w:line="240" w:lineRule="atLeast"/>
              <w:jc w:val="center"/>
              <w:rPr>
                <w:rFonts w:ascii="仿宋_GB2312" w:hAnsi="仿宋_GB2312" w:eastAsia="仿宋_GB2312" w:cs="仿宋_GB2312"/>
                <w:sz w:val="20"/>
                <w:szCs w:val="20"/>
              </w:rPr>
            </w:pPr>
          </w:p>
        </w:tc>
      </w:tr>
    </w:tbl>
    <w:p w14:paraId="6AB3D94E"/>
    <w:p w14:paraId="741410F9"/>
    <w:p w14:paraId="42D1AAC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25F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E8DB4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E42ED5">
            <w:pPr>
              <w:spacing w:line="240" w:lineRule="atLeast"/>
              <w:rPr>
                <w:rFonts w:asciiTheme="majorEastAsia" w:hAnsiTheme="majorEastAsia" w:eastAsiaTheme="majorEastAsia" w:cstheme="majorEastAsia"/>
                <w:spacing w:val="-20"/>
                <w:sz w:val="20"/>
                <w:szCs w:val="20"/>
              </w:rPr>
            </w:pPr>
          </w:p>
          <w:p w14:paraId="03EDDD0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447FD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E3FC5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32EBDD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B0B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2A53AB">
            <w:pPr>
              <w:spacing w:line="240" w:lineRule="atLeast"/>
              <w:jc w:val="left"/>
              <w:rPr>
                <w:rFonts w:ascii="仿宋_GB2312" w:hAnsi="仿宋_GB2312" w:eastAsia="仿宋_GB2312" w:cs="仿宋_GB2312"/>
                <w:sz w:val="20"/>
                <w:szCs w:val="20"/>
              </w:rPr>
            </w:pPr>
          </w:p>
        </w:tc>
        <w:tc>
          <w:tcPr>
            <w:tcW w:w="555" w:type="dxa"/>
            <w:vMerge w:val="continue"/>
          </w:tcPr>
          <w:p w14:paraId="6E32031F">
            <w:pPr>
              <w:spacing w:line="240" w:lineRule="atLeast"/>
              <w:jc w:val="left"/>
              <w:rPr>
                <w:rFonts w:ascii="仿宋_GB2312" w:hAnsi="仿宋_GB2312" w:eastAsia="仿宋_GB2312" w:cs="仿宋_GB2312"/>
                <w:sz w:val="20"/>
                <w:szCs w:val="20"/>
              </w:rPr>
            </w:pPr>
          </w:p>
        </w:tc>
        <w:tc>
          <w:tcPr>
            <w:tcW w:w="784" w:type="dxa"/>
            <w:vAlign w:val="center"/>
          </w:tcPr>
          <w:p w14:paraId="3B45512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D03FF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79ABD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2E47DC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A4E30C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3AA4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27B0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6AC54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55644A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2A2F95B">
            <w:pPr>
              <w:spacing w:line="240" w:lineRule="atLeast"/>
              <w:jc w:val="left"/>
              <w:rPr>
                <w:rFonts w:ascii="仿宋_GB2312" w:hAnsi="仿宋_GB2312" w:eastAsia="仿宋_GB2312" w:cs="仿宋_GB2312"/>
                <w:sz w:val="20"/>
                <w:szCs w:val="20"/>
              </w:rPr>
            </w:pPr>
          </w:p>
        </w:tc>
      </w:tr>
      <w:tr w14:paraId="270B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F009A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153</w:t>
            </w:r>
          </w:p>
        </w:tc>
        <w:tc>
          <w:tcPr>
            <w:tcW w:w="555" w:type="dxa"/>
            <w:vAlign w:val="center"/>
          </w:tcPr>
          <w:p w14:paraId="5C61CF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C7327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EDE04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1C6B67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对应当送审而未送审地图或者附着地图图形产品行为的处罚</w:t>
            </w:r>
          </w:p>
        </w:tc>
        <w:tc>
          <w:tcPr>
            <w:tcW w:w="660" w:type="dxa"/>
            <w:vAlign w:val="center"/>
          </w:tcPr>
          <w:p w14:paraId="458A3ED2">
            <w:pPr>
              <w:snapToGrid w:val="0"/>
              <w:spacing w:line="240" w:lineRule="atLeast"/>
              <w:jc w:val="center"/>
              <w:rPr>
                <w:rFonts w:ascii="仿宋_GB2312" w:hAnsi="仿宋_GB2312" w:eastAsia="仿宋_GB2312" w:cs="仿宋_GB2312"/>
                <w:sz w:val="20"/>
                <w:szCs w:val="20"/>
              </w:rPr>
            </w:pPr>
          </w:p>
        </w:tc>
        <w:tc>
          <w:tcPr>
            <w:tcW w:w="615" w:type="dxa"/>
            <w:vAlign w:val="center"/>
          </w:tcPr>
          <w:p w14:paraId="188DEF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5D551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E8923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05E513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 第四十九条：违反本条例规定，应当送审而未送审的，责令改正，给予警告，没收违法地图或者附着地图图形的产品，可以处10万元以下的罚款；有违法所得的，没收违法所得；构成犯罪的，依法追究刑事责任。</w:t>
            </w:r>
          </w:p>
          <w:p w14:paraId="15F831E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0BECA2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地图或者附着地图图形产品应当送审而未送审的情况，，应及时制止（对正在实施的违法行为，下达《责令停止违法行为通知书》）,并进行审查核实，符合立案条件的予以立案。</w:t>
            </w:r>
          </w:p>
          <w:p w14:paraId="1DF520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地图或者附着地图图形产品应当送审而未送审的情况，并制作笔录。调查时允许当事人辩解陈述。执法人员应保守有关秘密。</w:t>
            </w:r>
          </w:p>
          <w:p w14:paraId="098F90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03989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52371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地图或者附着地图图形产品应当送审而未送审的事实进行认定，依法制作《行政处罚决定书》，载明违反法律法规或规章的事实和证据、行政处罚的具体依据和内容，告知当事人陈述申辩或者听证情况等内容，告知申请行政复议或提出行政诉讼的权利。</w:t>
            </w:r>
          </w:p>
          <w:p w14:paraId="6D11E3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C021B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903DC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7F7ECC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D28E7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86CE0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BB91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D532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5D91E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E4222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ECA990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9D60D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C6820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E043D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5C8B3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FFF98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AE32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E34C1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DC9A6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4912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E2F07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5092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E730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F94D27">
            <w:pPr>
              <w:snapToGrid w:val="0"/>
              <w:spacing w:line="240" w:lineRule="atLeast"/>
              <w:jc w:val="center"/>
              <w:rPr>
                <w:rFonts w:ascii="仿宋_GB2312" w:hAnsi="仿宋_GB2312" w:eastAsia="仿宋_GB2312" w:cs="仿宋_GB2312"/>
                <w:sz w:val="20"/>
                <w:szCs w:val="20"/>
              </w:rPr>
            </w:pPr>
          </w:p>
        </w:tc>
      </w:tr>
    </w:tbl>
    <w:p w14:paraId="24DA435A"/>
    <w:p w14:paraId="2349E379"/>
    <w:p w14:paraId="6BF424F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5A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CC38E4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00AEDC5">
            <w:pPr>
              <w:spacing w:line="240" w:lineRule="atLeast"/>
              <w:rPr>
                <w:rFonts w:asciiTheme="majorEastAsia" w:hAnsiTheme="majorEastAsia" w:eastAsiaTheme="majorEastAsia" w:cstheme="majorEastAsia"/>
                <w:spacing w:val="-20"/>
                <w:sz w:val="20"/>
                <w:szCs w:val="20"/>
              </w:rPr>
            </w:pPr>
          </w:p>
          <w:p w14:paraId="551C78F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0EA66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A279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613B70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70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B11E67A">
            <w:pPr>
              <w:spacing w:line="240" w:lineRule="atLeast"/>
              <w:jc w:val="left"/>
              <w:rPr>
                <w:rFonts w:ascii="仿宋_GB2312" w:hAnsi="仿宋_GB2312" w:eastAsia="仿宋_GB2312" w:cs="仿宋_GB2312"/>
                <w:sz w:val="20"/>
                <w:szCs w:val="20"/>
              </w:rPr>
            </w:pPr>
          </w:p>
        </w:tc>
        <w:tc>
          <w:tcPr>
            <w:tcW w:w="555" w:type="dxa"/>
            <w:vMerge w:val="continue"/>
          </w:tcPr>
          <w:p w14:paraId="79218EC5">
            <w:pPr>
              <w:spacing w:line="240" w:lineRule="atLeast"/>
              <w:jc w:val="left"/>
              <w:rPr>
                <w:rFonts w:ascii="仿宋_GB2312" w:hAnsi="仿宋_GB2312" w:eastAsia="仿宋_GB2312" w:cs="仿宋_GB2312"/>
                <w:sz w:val="20"/>
                <w:szCs w:val="20"/>
              </w:rPr>
            </w:pPr>
          </w:p>
        </w:tc>
        <w:tc>
          <w:tcPr>
            <w:tcW w:w="784" w:type="dxa"/>
            <w:vAlign w:val="center"/>
          </w:tcPr>
          <w:p w14:paraId="77B25B8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AEDA7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9D32A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B9418A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AB2397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D4C7D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006E0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F4F8E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5596A0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9760579">
            <w:pPr>
              <w:spacing w:line="240" w:lineRule="atLeast"/>
              <w:jc w:val="left"/>
              <w:rPr>
                <w:rFonts w:ascii="仿宋_GB2312" w:hAnsi="仿宋_GB2312" w:eastAsia="仿宋_GB2312" w:cs="仿宋_GB2312"/>
                <w:sz w:val="20"/>
                <w:szCs w:val="20"/>
              </w:rPr>
            </w:pPr>
          </w:p>
        </w:tc>
      </w:tr>
      <w:tr w14:paraId="5C38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4ACFD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154</w:t>
            </w:r>
          </w:p>
        </w:tc>
        <w:tc>
          <w:tcPr>
            <w:tcW w:w="555" w:type="dxa"/>
            <w:vAlign w:val="center"/>
          </w:tcPr>
          <w:p w14:paraId="60B673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C1AB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DA65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8DF171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对不需要送审的地图不符合国家有关标准和规定行为的处罚</w:t>
            </w:r>
          </w:p>
        </w:tc>
        <w:tc>
          <w:tcPr>
            <w:tcW w:w="660" w:type="dxa"/>
            <w:vAlign w:val="center"/>
          </w:tcPr>
          <w:p w14:paraId="4BCE8476">
            <w:pPr>
              <w:snapToGrid w:val="0"/>
              <w:spacing w:line="240" w:lineRule="atLeast"/>
              <w:jc w:val="center"/>
              <w:rPr>
                <w:rFonts w:ascii="仿宋_GB2312" w:hAnsi="仿宋_GB2312" w:eastAsia="仿宋_GB2312" w:cs="仿宋_GB2312"/>
                <w:sz w:val="20"/>
                <w:szCs w:val="20"/>
              </w:rPr>
            </w:pPr>
          </w:p>
        </w:tc>
        <w:tc>
          <w:tcPr>
            <w:tcW w:w="615" w:type="dxa"/>
            <w:vAlign w:val="center"/>
          </w:tcPr>
          <w:p w14:paraId="5DD147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A684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25B87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0AAE41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条：违反本条例规定，不需要送审的地图不符合国家有关标准和规定的，责令改正，给予警告，没收违法地图或者附着地图图形的产品，可以处10万元以下的罚款;有违法所得的，没收违法所得;情节严重的，可以向社会通报;构成犯罪的，依法追究刑事责任。</w:t>
            </w:r>
          </w:p>
          <w:p w14:paraId="5090F57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77E8B9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不需要送审的地图不符合国家有关标准和规定的情况，应及时制止（对正在实施的违法行为，下达《责令停止违法行为通知书》）,并进行审查核实，符合立案条件的予以立案。</w:t>
            </w:r>
          </w:p>
          <w:p w14:paraId="7B3968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不需要送审的地图不符合国家有关标准和规定的情况，并制作笔录。调查时允许当事人辩解陈述。执法人员应保守有关秘密。</w:t>
            </w:r>
          </w:p>
          <w:p w14:paraId="4E00EB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90BC2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52747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不需要送审的地图不符合国家有关标准和规定的事实进行认定，依法制作《行政处罚决定书》，载明违反法律法规或规章的事实和证据、行政处罚的具体依据和内容，告知当事人陈述申辩或者听证情况等内容，告知申请行政复议或提起行政诉讼的权利。</w:t>
            </w:r>
          </w:p>
          <w:p w14:paraId="0D0044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37845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1B9BC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F28F7A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11DAB9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26049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D392E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2DF67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E563D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C035A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E4D610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26BA9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6300D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6F672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0DBBE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39A3B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0D05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BA01A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3BE39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1EC6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8F68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AEB4C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CC80AC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2D2E99B">
            <w:pPr>
              <w:snapToGrid w:val="0"/>
              <w:spacing w:line="240" w:lineRule="atLeast"/>
              <w:jc w:val="center"/>
              <w:rPr>
                <w:rFonts w:ascii="仿宋_GB2312" w:hAnsi="仿宋_GB2312" w:eastAsia="仿宋_GB2312" w:cs="仿宋_GB2312"/>
                <w:sz w:val="20"/>
                <w:szCs w:val="20"/>
              </w:rPr>
            </w:pPr>
          </w:p>
        </w:tc>
      </w:tr>
    </w:tbl>
    <w:p w14:paraId="01A605C7"/>
    <w:p w14:paraId="0E471DBB"/>
    <w:p w14:paraId="3920114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195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395BA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6BBC6DD">
            <w:pPr>
              <w:spacing w:line="240" w:lineRule="atLeast"/>
              <w:rPr>
                <w:rFonts w:asciiTheme="majorEastAsia" w:hAnsiTheme="majorEastAsia" w:eastAsiaTheme="majorEastAsia" w:cstheme="majorEastAsia"/>
                <w:spacing w:val="-20"/>
                <w:sz w:val="20"/>
                <w:szCs w:val="20"/>
              </w:rPr>
            </w:pPr>
          </w:p>
          <w:p w14:paraId="478D20D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75071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C1975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ED509D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A5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6D19E7A">
            <w:pPr>
              <w:spacing w:line="240" w:lineRule="atLeast"/>
              <w:jc w:val="left"/>
              <w:rPr>
                <w:rFonts w:ascii="仿宋_GB2312" w:hAnsi="仿宋_GB2312" w:eastAsia="仿宋_GB2312" w:cs="仿宋_GB2312"/>
                <w:sz w:val="20"/>
                <w:szCs w:val="20"/>
              </w:rPr>
            </w:pPr>
          </w:p>
        </w:tc>
        <w:tc>
          <w:tcPr>
            <w:tcW w:w="555" w:type="dxa"/>
            <w:vMerge w:val="continue"/>
          </w:tcPr>
          <w:p w14:paraId="172C063C">
            <w:pPr>
              <w:spacing w:line="240" w:lineRule="atLeast"/>
              <w:jc w:val="left"/>
              <w:rPr>
                <w:rFonts w:ascii="仿宋_GB2312" w:hAnsi="仿宋_GB2312" w:eastAsia="仿宋_GB2312" w:cs="仿宋_GB2312"/>
                <w:sz w:val="20"/>
                <w:szCs w:val="20"/>
              </w:rPr>
            </w:pPr>
          </w:p>
        </w:tc>
        <w:tc>
          <w:tcPr>
            <w:tcW w:w="784" w:type="dxa"/>
            <w:vAlign w:val="center"/>
          </w:tcPr>
          <w:p w14:paraId="666BF71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97BDD5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64D2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F5103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7BF904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F9749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E9811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38A67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A36E39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D7F89D7">
            <w:pPr>
              <w:spacing w:line="240" w:lineRule="atLeast"/>
              <w:jc w:val="left"/>
              <w:rPr>
                <w:rFonts w:ascii="仿宋_GB2312" w:hAnsi="仿宋_GB2312" w:eastAsia="仿宋_GB2312" w:cs="仿宋_GB2312"/>
                <w:sz w:val="20"/>
                <w:szCs w:val="20"/>
              </w:rPr>
            </w:pPr>
          </w:p>
        </w:tc>
      </w:tr>
      <w:tr w14:paraId="420F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96EA9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155</w:t>
            </w:r>
          </w:p>
        </w:tc>
        <w:tc>
          <w:tcPr>
            <w:tcW w:w="555" w:type="dxa"/>
            <w:vAlign w:val="center"/>
          </w:tcPr>
          <w:p w14:paraId="0E7CD6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A095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2BE6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B91308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对经审核不符合国家有关标准和规定的地图未按照审核要求修改即向社会公开行为的处罚</w:t>
            </w:r>
          </w:p>
        </w:tc>
        <w:tc>
          <w:tcPr>
            <w:tcW w:w="660" w:type="dxa"/>
            <w:vAlign w:val="center"/>
          </w:tcPr>
          <w:p w14:paraId="41009886">
            <w:pPr>
              <w:snapToGrid w:val="0"/>
              <w:spacing w:line="240" w:lineRule="atLeast"/>
              <w:jc w:val="center"/>
              <w:rPr>
                <w:rFonts w:ascii="仿宋_GB2312" w:hAnsi="仿宋_GB2312" w:eastAsia="仿宋_GB2312" w:cs="仿宋_GB2312"/>
                <w:sz w:val="20"/>
                <w:szCs w:val="20"/>
              </w:rPr>
            </w:pPr>
          </w:p>
        </w:tc>
        <w:tc>
          <w:tcPr>
            <w:tcW w:w="615" w:type="dxa"/>
            <w:vAlign w:val="center"/>
          </w:tcPr>
          <w:p w14:paraId="7FDBC6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7AE8F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B6BC6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49302F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五十一条：违反本条例规定，经审核不符合国家有关标准和规定的地图未按照审核要求修改即向社会公开的，责令改正，给予警告，没收违法地图或者附着地图图形的产品，可以处10万元以下的罚款；有违法所得的，没收违法所得；情节严重的，责令停业整顿，降低资质等级或者吊销测绘资质证书，可以向社会通报；构成犯罪的，依法追究刑事责任。</w:t>
            </w:r>
          </w:p>
          <w:p w14:paraId="6133AE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4D08E1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经审核不符合国家有关标准和规定的地图未按照审核要求修改即向社会公开的情况，应及时制止（对正在实施的违法行为，下达《责令停止违法行为通知书》）,并进行审查核实，符合立案条件的予以立案。</w:t>
            </w:r>
          </w:p>
          <w:p w14:paraId="5219D9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经审核不符合国家有关标准和规定的地图未按照审核要求修改即向社会公开的情况，并制作笔录。调查时允许当事人辩解陈述。执法人员应保守有关秘密。</w:t>
            </w:r>
          </w:p>
          <w:p w14:paraId="1AE783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3D885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05F5C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经审核不符合国家有关标准和规定的地图未按照审核要求修改即向社会公开的事实进行认定，依法制作《行政处罚决定书》，载明违反法律法规或规章的事实和证据、行政处罚的具体依据和内容，告知当事人陈述申辩或者听证情况等内容，告知申请行政复议或提起行政诉讼的权利。</w:t>
            </w:r>
          </w:p>
          <w:p w14:paraId="52A393A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DDEF6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C68FA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306A9D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5331A9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E67C0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51B6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F3D8E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A4E2F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00738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EF75D4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F2F49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0527D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C5A7B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79B80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C420F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A94B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8015B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5F3F0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5F16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9F85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1A72A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F12B6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3122988">
            <w:pPr>
              <w:snapToGrid w:val="0"/>
              <w:spacing w:line="240" w:lineRule="atLeast"/>
              <w:jc w:val="center"/>
              <w:rPr>
                <w:rFonts w:ascii="仿宋_GB2312" w:hAnsi="仿宋_GB2312" w:eastAsia="仿宋_GB2312" w:cs="仿宋_GB2312"/>
                <w:sz w:val="20"/>
                <w:szCs w:val="20"/>
              </w:rPr>
            </w:pPr>
          </w:p>
        </w:tc>
      </w:tr>
    </w:tbl>
    <w:p w14:paraId="014B97FE"/>
    <w:p w14:paraId="0045AC50"/>
    <w:p w14:paraId="1AE531F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79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3971D7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BFB90B4">
            <w:pPr>
              <w:spacing w:line="240" w:lineRule="atLeast"/>
              <w:rPr>
                <w:rFonts w:asciiTheme="majorEastAsia" w:hAnsiTheme="majorEastAsia" w:eastAsiaTheme="majorEastAsia" w:cstheme="majorEastAsia"/>
                <w:spacing w:val="-20"/>
                <w:sz w:val="20"/>
                <w:szCs w:val="20"/>
              </w:rPr>
            </w:pPr>
          </w:p>
          <w:p w14:paraId="5D788E8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2E82EE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D8BE8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6DE869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F1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A09348">
            <w:pPr>
              <w:spacing w:line="240" w:lineRule="atLeast"/>
              <w:jc w:val="left"/>
              <w:rPr>
                <w:rFonts w:ascii="仿宋_GB2312" w:hAnsi="仿宋_GB2312" w:eastAsia="仿宋_GB2312" w:cs="仿宋_GB2312"/>
                <w:sz w:val="20"/>
                <w:szCs w:val="20"/>
              </w:rPr>
            </w:pPr>
          </w:p>
        </w:tc>
        <w:tc>
          <w:tcPr>
            <w:tcW w:w="555" w:type="dxa"/>
            <w:vMerge w:val="continue"/>
          </w:tcPr>
          <w:p w14:paraId="7CD5530B">
            <w:pPr>
              <w:spacing w:line="240" w:lineRule="atLeast"/>
              <w:jc w:val="left"/>
              <w:rPr>
                <w:rFonts w:ascii="仿宋_GB2312" w:hAnsi="仿宋_GB2312" w:eastAsia="仿宋_GB2312" w:cs="仿宋_GB2312"/>
                <w:sz w:val="20"/>
                <w:szCs w:val="20"/>
              </w:rPr>
            </w:pPr>
          </w:p>
        </w:tc>
        <w:tc>
          <w:tcPr>
            <w:tcW w:w="784" w:type="dxa"/>
            <w:vAlign w:val="center"/>
          </w:tcPr>
          <w:p w14:paraId="79FF1F1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53138D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B7C1C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33461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2B0885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DEB40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0C686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5A715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FBE77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4B2A88A">
            <w:pPr>
              <w:spacing w:line="240" w:lineRule="atLeast"/>
              <w:jc w:val="left"/>
              <w:rPr>
                <w:rFonts w:ascii="仿宋_GB2312" w:hAnsi="仿宋_GB2312" w:eastAsia="仿宋_GB2312" w:cs="仿宋_GB2312"/>
                <w:sz w:val="20"/>
                <w:szCs w:val="20"/>
              </w:rPr>
            </w:pPr>
          </w:p>
        </w:tc>
      </w:tr>
      <w:tr w14:paraId="4854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45599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156</w:t>
            </w:r>
          </w:p>
        </w:tc>
        <w:tc>
          <w:tcPr>
            <w:tcW w:w="555" w:type="dxa"/>
            <w:vAlign w:val="center"/>
          </w:tcPr>
          <w:p w14:paraId="457EEA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3A268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FFC7D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B3E37F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对弄虚作假、伪造申请材料骗取地图审核批准文件，或者伪造、冒用地图审核批准文件和审图号行为的处罚</w:t>
            </w:r>
          </w:p>
        </w:tc>
        <w:tc>
          <w:tcPr>
            <w:tcW w:w="660" w:type="dxa"/>
            <w:vAlign w:val="center"/>
          </w:tcPr>
          <w:p w14:paraId="4C506C6D">
            <w:pPr>
              <w:snapToGrid w:val="0"/>
              <w:spacing w:line="240" w:lineRule="atLeast"/>
              <w:jc w:val="center"/>
              <w:rPr>
                <w:rFonts w:ascii="仿宋_GB2312" w:hAnsi="仿宋_GB2312" w:eastAsia="仿宋_GB2312" w:cs="仿宋_GB2312"/>
                <w:sz w:val="20"/>
                <w:szCs w:val="20"/>
              </w:rPr>
            </w:pPr>
          </w:p>
        </w:tc>
        <w:tc>
          <w:tcPr>
            <w:tcW w:w="615" w:type="dxa"/>
            <w:vAlign w:val="center"/>
          </w:tcPr>
          <w:p w14:paraId="45063A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E38B5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281FA7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3D74E8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二条：违反本条例规定，弄虚作假、伪造申请材料骗取地图审核批准文件，或者伪造、冒用地图审核批准文件和审图号的，责令停止违法行为，给予警告，没收违法地图和附着地图图形的产品，并处10万元以上20万元以下的罚款；有违法所得的，没收违法所得；情节严重的，责令停业整顿，降低资质等级或者吊销测绘资质证书；构成犯罪的，依法追究刑事责任。</w:t>
            </w:r>
          </w:p>
          <w:p w14:paraId="64D219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1DB7AA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弄虚作假、伪造申请材料骗取地图审核批准文件，或者伪造、冒用地图审核批准文件和审图号的情况，应及时制止（对正在实施的违法行为，下达《责令停止违法行为通知书》）,并进行审查核实，符合立案条件的予以立案。</w:t>
            </w:r>
          </w:p>
          <w:p w14:paraId="5630CF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弄虚作假、伪造申请材料骗取地图审核批准文件，或者伪造、冒用地图审核批准文件和审图号的情况，并制作笔录。调查时允许当事人辩解陈述。执法人员应保守有关秘密。</w:t>
            </w:r>
          </w:p>
          <w:p w14:paraId="5D7887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66499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893EF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弄虚作假、伪造申请材料骗取地图审核批准文件，或者伪造、冒用地图审核批准文件和审图号的事实进行认定，依法制作《行政处罚决定书》，载明违反法律法规或规章的事实和证据、行政处罚的具体依据和内容，告知当事人陈述申辩或者听证情况等内容，告知申请行政复议或提起行政诉讼的权利。</w:t>
            </w:r>
          </w:p>
          <w:p w14:paraId="5EB175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9519E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1E766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83AF7E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F2A941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628D0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69A59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E62B40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4ACE5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7A21E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AA0C0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A7E29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341DF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64E3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3E4E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BD290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7678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73A1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FC654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8C9E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B1CC0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099CA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82E5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D9AF361">
            <w:pPr>
              <w:snapToGrid w:val="0"/>
              <w:spacing w:line="240" w:lineRule="atLeast"/>
              <w:jc w:val="center"/>
              <w:rPr>
                <w:rFonts w:ascii="仿宋_GB2312" w:hAnsi="仿宋_GB2312" w:eastAsia="仿宋_GB2312" w:cs="仿宋_GB2312"/>
                <w:sz w:val="20"/>
                <w:szCs w:val="20"/>
              </w:rPr>
            </w:pPr>
          </w:p>
        </w:tc>
      </w:tr>
    </w:tbl>
    <w:p w14:paraId="0F5B099A"/>
    <w:p w14:paraId="1AE6AD2A"/>
    <w:p w14:paraId="634B9AF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C3F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B3E587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EB99252">
            <w:pPr>
              <w:spacing w:line="240" w:lineRule="atLeast"/>
              <w:rPr>
                <w:rFonts w:asciiTheme="majorEastAsia" w:hAnsiTheme="majorEastAsia" w:eastAsiaTheme="majorEastAsia" w:cstheme="majorEastAsia"/>
                <w:spacing w:val="-20"/>
                <w:sz w:val="20"/>
                <w:szCs w:val="20"/>
              </w:rPr>
            </w:pPr>
          </w:p>
          <w:p w14:paraId="6890BD0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8E3C8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40DE9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A77B2B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5FD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3F63A5C">
            <w:pPr>
              <w:spacing w:line="240" w:lineRule="atLeast"/>
              <w:jc w:val="left"/>
              <w:rPr>
                <w:rFonts w:ascii="仿宋_GB2312" w:hAnsi="仿宋_GB2312" w:eastAsia="仿宋_GB2312" w:cs="仿宋_GB2312"/>
                <w:sz w:val="20"/>
                <w:szCs w:val="20"/>
              </w:rPr>
            </w:pPr>
          </w:p>
        </w:tc>
        <w:tc>
          <w:tcPr>
            <w:tcW w:w="555" w:type="dxa"/>
            <w:vMerge w:val="continue"/>
          </w:tcPr>
          <w:p w14:paraId="4FEF92A7">
            <w:pPr>
              <w:spacing w:line="240" w:lineRule="atLeast"/>
              <w:jc w:val="left"/>
              <w:rPr>
                <w:rFonts w:ascii="仿宋_GB2312" w:hAnsi="仿宋_GB2312" w:eastAsia="仿宋_GB2312" w:cs="仿宋_GB2312"/>
                <w:sz w:val="20"/>
                <w:szCs w:val="20"/>
              </w:rPr>
            </w:pPr>
          </w:p>
        </w:tc>
        <w:tc>
          <w:tcPr>
            <w:tcW w:w="784" w:type="dxa"/>
            <w:vAlign w:val="center"/>
          </w:tcPr>
          <w:p w14:paraId="17359E7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CF7CD7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84D9F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48EBD7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708BE0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9B7A3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F22D30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9531F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1FA3A6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6B3C85">
            <w:pPr>
              <w:spacing w:line="240" w:lineRule="atLeast"/>
              <w:jc w:val="left"/>
              <w:rPr>
                <w:rFonts w:ascii="仿宋_GB2312" w:hAnsi="仿宋_GB2312" w:eastAsia="仿宋_GB2312" w:cs="仿宋_GB2312"/>
                <w:sz w:val="20"/>
                <w:szCs w:val="20"/>
              </w:rPr>
            </w:pPr>
          </w:p>
        </w:tc>
      </w:tr>
      <w:tr w14:paraId="37E5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7C4BD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157</w:t>
            </w:r>
          </w:p>
        </w:tc>
        <w:tc>
          <w:tcPr>
            <w:tcW w:w="555" w:type="dxa"/>
            <w:vAlign w:val="center"/>
          </w:tcPr>
          <w:p w14:paraId="47E921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8259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13A57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29E2D4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对互联网地图服务单位使用未经依法审核批准的地图提供服务，或者未对互联网地图新增内容进行核查校对行为的处罚</w:t>
            </w:r>
          </w:p>
        </w:tc>
        <w:tc>
          <w:tcPr>
            <w:tcW w:w="660" w:type="dxa"/>
            <w:vAlign w:val="center"/>
          </w:tcPr>
          <w:p w14:paraId="3CFC9275">
            <w:pPr>
              <w:snapToGrid w:val="0"/>
              <w:spacing w:line="240" w:lineRule="atLeast"/>
              <w:jc w:val="center"/>
              <w:rPr>
                <w:rFonts w:ascii="仿宋_GB2312" w:hAnsi="仿宋_GB2312" w:eastAsia="仿宋_GB2312" w:cs="仿宋_GB2312"/>
                <w:sz w:val="20"/>
                <w:szCs w:val="20"/>
              </w:rPr>
            </w:pPr>
          </w:p>
        </w:tc>
        <w:tc>
          <w:tcPr>
            <w:tcW w:w="615" w:type="dxa"/>
            <w:vAlign w:val="center"/>
          </w:tcPr>
          <w:p w14:paraId="7FC2B7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81B6B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5749F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4E7DEE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四条：违反本条例规定，互联网地图服务单位使用未经依法审核批准的地图提供服务，或者未对互联网地图新增内容进行核查校对的，责令改正，给予警告，可以处20万元以下的罚款；有违法所得的，没收违法所得；情节严重的，责令停业整顿，降低资质等级或者吊销测绘资质证书；构成犯罪的，依法追究刑事责任。</w:t>
            </w:r>
          </w:p>
          <w:p w14:paraId="78F12B6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5EFAA2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互联网地图服务单位使用未经依法审核批准的地图提供服务，或者未对互联网地图新增内容进行核查校对的情况，应及时制止（对正在实施的违法行为，下达《责令停止违法行为通知书》）,并进行审查核实，符合立案条件的予以立案。</w:t>
            </w:r>
          </w:p>
          <w:p w14:paraId="4C35A1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互联网地图服务单位使用未经依法审核批准的地图提供服务，或者未对互联网地图新增内容进行核查校对的情况，并制作笔录。调查时允许当事人辩解陈述。执法人员应保守有关秘密。</w:t>
            </w:r>
          </w:p>
          <w:p w14:paraId="675D8F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76DF0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8BAFF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互联网地图服务单位使用未经依法审核批准的地图提供服务，或者未对互联网地图新增内容进行核查校对的事实进行认定，依法制作《行政处罚决定书》，载明违反法律法规或规章的事实和证据、行政处罚的具体依据和内容，告知当事人陈述申辩或者听证情况等内容，告知申请行政复议或提起行政诉讼的权利。</w:t>
            </w:r>
          </w:p>
          <w:p w14:paraId="5B454D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39A9C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5A9BC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AF15EB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80D609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AD1B0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61266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0F10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D386F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81D0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2BEEC5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8C2BD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5394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51E35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65675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F6AFA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8217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662BE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2B8A3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544E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C5BFB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D31F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355A1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1B2F4E4">
            <w:pPr>
              <w:snapToGrid w:val="0"/>
              <w:spacing w:line="240" w:lineRule="atLeast"/>
              <w:jc w:val="center"/>
              <w:rPr>
                <w:rFonts w:ascii="仿宋_GB2312" w:hAnsi="仿宋_GB2312" w:eastAsia="仿宋_GB2312" w:cs="仿宋_GB2312"/>
                <w:sz w:val="20"/>
                <w:szCs w:val="20"/>
              </w:rPr>
            </w:pPr>
          </w:p>
        </w:tc>
      </w:tr>
    </w:tbl>
    <w:p w14:paraId="6FEF79A7"/>
    <w:p w14:paraId="30A71120"/>
    <w:p w14:paraId="279BBA0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DD6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2907B9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0BFEE64">
            <w:pPr>
              <w:spacing w:line="240" w:lineRule="atLeast"/>
              <w:rPr>
                <w:rFonts w:asciiTheme="majorEastAsia" w:hAnsiTheme="majorEastAsia" w:eastAsiaTheme="majorEastAsia" w:cstheme="majorEastAsia"/>
                <w:spacing w:val="-20"/>
                <w:sz w:val="20"/>
                <w:szCs w:val="20"/>
              </w:rPr>
            </w:pPr>
          </w:p>
          <w:p w14:paraId="431ADB8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09B56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7844DA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7D9FCA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16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DF2214">
            <w:pPr>
              <w:spacing w:line="240" w:lineRule="atLeast"/>
              <w:jc w:val="left"/>
              <w:rPr>
                <w:rFonts w:ascii="仿宋_GB2312" w:hAnsi="仿宋_GB2312" w:eastAsia="仿宋_GB2312" w:cs="仿宋_GB2312"/>
                <w:sz w:val="20"/>
                <w:szCs w:val="20"/>
              </w:rPr>
            </w:pPr>
          </w:p>
        </w:tc>
        <w:tc>
          <w:tcPr>
            <w:tcW w:w="555" w:type="dxa"/>
            <w:vMerge w:val="continue"/>
          </w:tcPr>
          <w:p w14:paraId="333C1CC9">
            <w:pPr>
              <w:spacing w:line="240" w:lineRule="atLeast"/>
              <w:jc w:val="left"/>
              <w:rPr>
                <w:rFonts w:ascii="仿宋_GB2312" w:hAnsi="仿宋_GB2312" w:eastAsia="仿宋_GB2312" w:cs="仿宋_GB2312"/>
                <w:sz w:val="20"/>
                <w:szCs w:val="20"/>
              </w:rPr>
            </w:pPr>
          </w:p>
        </w:tc>
        <w:tc>
          <w:tcPr>
            <w:tcW w:w="784" w:type="dxa"/>
            <w:vAlign w:val="center"/>
          </w:tcPr>
          <w:p w14:paraId="426D156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E76736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756A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8C514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7D7EB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6870A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042C5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6476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9D87FC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7491AA5">
            <w:pPr>
              <w:spacing w:line="240" w:lineRule="atLeast"/>
              <w:jc w:val="left"/>
              <w:rPr>
                <w:rFonts w:ascii="仿宋_GB2312" w:hAnsi="仿宋_GB2312" w:eastAsia="仿宋_GB2312" w:cs="仿宋_GB2312"/>
                <w:sz w:val="20"/>
                <w:szCs w:val="20"/>
              </w:rPr>
            </w:pPr>
          </w:p>
        </w:tc>
      </w:tr>
      <w:tr w14:paraId="4BF4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62C65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158</w:t>
            </w:r>
          </w:p>
        </w:tc>
        <w:tc>
          <w:tcPr>
            <w:tcW w:w="555" w:type="dxa"/>
            <w:vAlign w:val="center"/>
          </w:tcPr>
          <w:p w14:paraId="46B139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DE88A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72E9A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BB6D93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对通过互联网上传标注了含有按照国家有关规定在地图上不得表示的内容行为的处罚</w:t>
            </w:r>
          </w:p>
        </w:tc>
        <w:tc>
          <w:tcPr>
            <w:tcW w:w="660" w:type="dxa"/>
            <w:vAlign w:val="center"/>
          </w:tcPr>
          <w:p w14:paraId="224337AF">
            <w:pPr>
              <w:snapToGrid w:val="0"/>
              <w:spacing w:line="240" w:lineRule="atLeast"/>
              <w:jc w:val="center"/>
              <w:rPr>
                <w:rFonts w:ascii="仿宋_GB2312" w:hAnsi="仿宋_GB2312" w:eastAsia="仿宋_GB2312" w:cs="仿宋_GB2312"/>
                <w:sz w:val="20"/>
                <w:szCs w:val="20"/>
              </w:rPr>
            </w:pPr>
          </w:p>
        </w:tc>
        <w:tc>
          <w:tcPr>
            <w:tcW w:w="615" w:type="dxa"/>
            <w:vAlign w:val="center"/>
          </w:tcPr>
          <w:p w14:paraId="23EC9A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3C40E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FD4DA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5F60AA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五条：违反本条例规定，通过互联网上传标注了含有按照国家有关规定在地图上不得表示的内容的，责令改正，给予警告，可以处10万元以下的罚款；构成犯罪的，依法追究刑事责任。</w:t>
            </w:r>
          </w:p>
          <w:p w14:paraId="24AF52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762248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通过互联网上传标注了含有按照国家有关规定在地图上不得表示的内容的情况，应及时制止（对正在实施的违法行为，下达《责令停止违法行为通知书》）,并进行审查核实，符合立案条件的予以立案。</w:t>
            </w:r>
          </w:p>
          <w:p w14:paraId="1EA2D6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通过互联网上传标注了含有按照国家有关规定在地图上不得表示的内容进行核查校对的情况，并制作笔录。调查时允许当事人辩解陈述。执法人员应保守有关秘密。</w:t>
            </w:r>
          </w:p>
          <w:p w14:paraId="01209A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A14D9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A961C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通过互联网上传标注了含有按照国家有关规定在地图上不得表示的内容的事实进行认定，依法制作《行政处罚决定书》，载明违反法律法规或规章的事实和证据、行政处罚的具体依据和内容，告知当事人陈述申辩或者听证情况等内容，告知申请行政复议或提起行政诉讼的权利。</w:t>
            </w:r>
          </w:p>
          <w:p w14:paraId="289F4A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A13CC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16A33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44CCEB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62DC53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882F7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CE2076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95943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AC13B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AAE9B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90E6A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C87AE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6CD1B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C5813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2EAC4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FD36D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6042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716D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69057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5BB2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ADFD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BD3C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36957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922765">
            <w:pPr>
              <w:snapToGrid w:val="0"/>
              <w:spacing w:line="240" w:lineRule="atLeast"/>
              <w:jc w:val="center"/>
              <w:rPr>
                <w:rFonts w:ascii="仿宋_GB2312" w:hAnsi="仿宋_GB2312" w:eastAsia="仿宋_GB2312" w:cs="仿宋_GB2312"/>
                <w:sz w:val="20"/>
                <w:szCs w:val="20"/>
              </w:rPr>
            </w:pPr>
          </w:p>
        </w:tc>
      </w:tr>
    </w:tbl>
    <w:p w14:paraId="7B338918"/>
    <w:p w14:paraId="73568C9A"/>
    <w:p w14:paraId="57D3BEC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0D5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E1A67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2297EAF">
            <w:pPr>
              <w:spacing w:line="240" w:lineRule="atLeast"/>
              <w:rPr>
                <w:rFonts w:asciiTheme="majorEastAsia" w:hAnsiTheme="majorEastAsia" w:eastAsiaTheme="majorEastAsia" w:cstheme="majorEastAsia"/>
                <w:spacing w:val="-20"/>
                <w:sz w:val="20"/>
                <w:szCs w:val="20"/>
              </w:rPr>
            </w:pPr>
          </w:p>
          <w:p w14:paraId="5F203EF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4B9CF2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0046C7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8E6946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C93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41B9858">
            <w:pPr>
              <w:spacing w:line="240" w:lineRule="atLeast"/>
              <w:jc w:val="left"/>
              <w:rPr>
                <w:rFonts w:ascii="仿宋_GB2312" w:hAnsi="仿宋_GB2312" w:eastAsia="仿宋_GB2312" w:cs="仿宋_GB2312"/>
                <w:sz w:val="20"/>
                <w:szCs w:val="20"/>
              </w:rPr>
            </w:pPr>
          </w:p>
        </w:tc>
        <w:tc>
          <w:tcPr>
            <w:tcW w:w="555" w:type="dxa"/>
            <w:vMerge w:val="continue"/>
          </w:tcPr>
          <w:p w14:paraId="24735E36">
            <w:pPr>
              <w:spacing w:line="240" w:lineRule="atLeast"/>
              <w:jc w:val="left"/>
              <w:rPr>
                <w:rFonts w:ascii="仿宋_GB2312" w:hAnsi="仿宋_GB2312" w:eastAsia="仿宋_GB2312" w:cs="仿宋_GB2312"/>
                <w:sz w:val="20"/>
                <w:szCs w:val="20"/>
              </w:rPr>
            </w:pPr>
          </w:p>
        </w:tc>
        <w:tc>
          <w:tcPr>
            <w:tcW w:w="784" w:type="dxa"/>
            <w:vAlign w:val="center"/>
          </w:tcPr>
          <w:p w14:paraId="2DB0A80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8D298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E259E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5B548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2B9767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C066B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71AE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01B5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357B71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B7180B5">
            <w:pPr>
              <w:spacing w:line="240" w:lineRule="atLeast"/>
              <w:jc w:val="left"/>
              <w:rPr>
                <w:rFonts w:ascii="仿宋_GB2312" w:hAnsi="仿宋_GB2312" w:eastAsia="仿宋_GB2312" w:cs="仿宋_GB2312"/>
                <w:sz w:val="20"/>
                <w:szCs w:val="20"/>
              </w:rPr>
            </w:pPr>
          </w:p>
        </w:tc>
      </w:tr>
      <w:tr w14:paraId="1DD0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9993E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159</w:t>
            </w:r>
          </w:p>
        </w:tc>
        <w:tc>
          <w:tcPr>
            <w:tcW w:w="555" w:type="dxa"/>
            <w:vAlign w:val="center"/>
          </w:tcPr>
          <w:p w14:paraId="002B51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D411D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30197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C6B665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对最终向社会公开的地图与审核通过的地图内容及表现形式不一致，或者互联网地图服务审图号有效期届满未重新送审行为的处罚</w:t>
            </w:r>
          </w:p>
        </w:tc>
        <w:tc>
          <w:tcPr>
            <w:tcW w:w="660" w:type="dxa"/>
            <w:vAlign w:val="center"/>
          </w:tcPr>
          <w:p w14:paraId="40E1DB39">
            <w:pPr>
              <w:snapToGrid w:val="0"/>
              <w:spacing w:line="240" w:lineRule="atLeast"/>
              <w:jc w:val="center"/>
              <w:rPr>
                <w:rFonts w:ascii="仿宋_GB2312" w:hAnsi="仿宋_GB2312" w:eastAsia="仿宋_GB2312" w:cs="仿宋_GB2312"/>
                <w:sz w:val="20"/>
                <w:szCs w:val="20"/>
              </w:rPr>
            </w:pPr>
          </w:p>
        </w:tc>
        <w:tc>
          <w:tcPr>
            <w:tcW w:w="615" w:type="dxa"/>
            <w:vAlign w:val="center"/>
          </w:tcPr>
          <w:p w14:paraId="0FE0DE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719E2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BF99A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【部门规章】《地图审核管理规定》（2006年国土资源部第34号令公布，2019年自然资源部令第5号修正） 第三十二条：最终向社会公开的地图与审核通过的地图内容及表现形式不一致，或者互联网地图服务审图号有效期届满未重新送审的，自然资源主管部门应当责令改正、给予警告，可以处3万元以下的罚款。</w:t>
            </w:r>
          </w:p>
        </w:tc>
        <w:tc>
          <w:tcPr>
            <w:tcW w:w="3585" w:type="dxa"/>
            <w:vAlign w:val="center"/>
          </w:tcPr>
          <w:p w14:paraId="48E0FB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对最终向社会公开的地图与审核通过的地图内容及表现形式不一致，或者互联网地图服务审图号有效期届满未重新送审的情况，应及时制止（对正在实施的违法行为，下达《责令停止违法行为通知书》）,并进行审查核实，符合立案条件的予以立案。</w:t>
            </w:r>
          </w:p>
          <w:p w14:paraId="56B42B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对最终向社会公开的地图与审核通过的地图内容及表现形式不一致，或者互联网地图服务审图号有效期届满未重新送审的情况，并制作笔录。调查时允许当事人辩解陈述。执法人员应保守有关秘密。</w:t>
            </w:r>
          </w:p>
          <w:p w14:paraId="7CD588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ADF40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1AC9A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最终向社会公开的地图与审核通过的地图内容及表现形式不一致，或者互联网地图服务审图号有效期届满未重新送审的事实进行认定，依法制作《行政处罚决定书》，载明违反法律法规或规章的事实和证据、行政处罚的具体依据和内容，告知当事人陈述申辩或者听证情况等内容，告知申请行政复议或提起行政诉讼的权利。</w:t>
            </w:r>
          </w:p>
          <w:p w14:paraId="4F82C3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DCDE3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235CB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290906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72A4C8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BF8B2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4A9BE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8D8DE5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9B2E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7CB23E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797D3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F36B2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1FED8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4E9E6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5318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29964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E0895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B591D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FB2B7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6EC4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876E4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A1438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AF9736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8790443">
            <w:pPr>
              <w:snapToGrid w:val="0"/>
              <w:spacing w:line="240" w:lineRule="atLeast"/>
              <w:jc w:val="center"/>
              <w:rPr>
                <w:rFonts w:ascii="仿宋_GB2312" w:hAnsi="仿宋_GB2312" w:eastAsia="仿宋_GB2312" w:cs="仿宋_GB2312"/>
                <w:sz w:val="20"/>
                <w:szCs w:val="20"/>
              </w:rPr>
            </w:pPr>
          </w:p>
        </w:tc>
      </w:tr>
    </w:tbl>
    <w:p w14:paraId="1911A382"/>
    <w:p w14:paraId="418EDAD2"/>
    <w:p w14:paraId="3DBCA55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8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0785BC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95DE59D">
            <w:pPr>
              <w:spacing w:line="240" w:lineRule="atLeast"/>
              <w:rPr>
                <w:rFonts w:asciiTheme="majorEastAsia" w:hAnsiTheme="majorEastAsia" w:eastAsiaTheme="majorEastAsia" w:cstheme="majorEastAsia"/>
                <w:spacing w:val="-20"/>
                <w:sz w:val="20"/>
                <w:szCs w:val="20"/>
              </w:rPr>
            </w:pPr>
          </w:p>
          <w:p w14:paraId="2F982F7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DE26B2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245BA6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E654BC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C9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9583CD6">
            <w:pPr>
              <w:spacing w:line="240" w:lineRule="atLeast"/>
              <w:jc w:val="left"/>
              <w:rPr>
                <w:rFonts w:ascii="仿宋_GB2312" w:hAnsi="仿宋_GB2312" w:eastAsia="仿宋_GB2312" w:cs="仿宋_GB2312"/>
                <w:sz w:val="20"/>
                <w:szCs w:val="20"/>
              </w:rPr>
            </w:pPr>
          </w:p>
        </w:tc>
        <w:tc>
          <w:tcPr>
            <w:tcW w:w="555" w:type="dxa"/>
            <w:vMerge w:val="continue"/>
          </w:tcPr>
          <w:p w14:paraId="25C5AE93">
            <w:pPr>
              <w:spacing w:line="240" w:lineRule="atLeast"/>
              <w:jc w:val="left"/>
              <w:rPr>
                <w:rFonts w:ascii="仿宋_GB2312" w:hAnsi="仿宋_GB2312" w:eastAsia="仿宋_GB2312" w:cs="仿宋_GB2312"/>
                <w:sz w:val="20"/>
                <w:szCs w:val="20"/>
              </w:rPr>
            </w:pPr>
          </w:p>
        </w:tc>
        <w:tc>
          <w:tcPr>
            <w:tcW w:w="784" w:type="dxa"/>
            <w:vAlign w:val="center"/>
          </w:tcPr>
          <w:p w14:paraId="382F7C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789E5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D7D48E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0A957F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CE236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E6926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B88AD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FBDDF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9A2D14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0DB0B2">
            <w:pPr>
              <w:spacing w:line="240" w:lineRule="atLeast"/>
              <w:jc w:val="left"/>
              <w:rPr>
                <w:rFonts w:ascii="仿宋_GB2312" w:hAnsi="仿宋_GB2312" w:eastAsia="仿宋_GB2312" w:cs="仿宋_GB2312"/>
                <w:sz w:val="20"/>
                <w:szCs w:val="20"/>
              </w:rPr>
            </w:pPr>
          </w:p>
        </w:tc>
      </w:tr>
      <w:tr w14:paraId="2DAD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FC3D7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160</w:t>
            </w:r>
          </w:p>
        </w:tc>
        <w:tc>
          <w:tcPr>
            <w:tcW w:w="555" w:type="dxa"/>
            <w:vAlign w:val="center"/>
          </w:tcPr>
          <w:p w14:paraId="21671B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30715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CAFDE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85E9B1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对测绘单位测绘成果质量不合格行为的处罚</w:t>
            </w:r>
          </w:p>
        </w:tc>
        <w:tc>
          <w:tcPr>
            <w:tcW w:w="660" w:type="dxa"/>
            <w:vAlign w:val="center"/>
          </w:tcPr>
          <w:p w14:paraId="555B0ED2">
            <w:pPr>
              <w:snapToGrid w:val="0"/>
              <w:spacing w:line="240" w:lineRule="atLeast"/>
              <w:jc w:val="center"/>
              <w:rPr>
                <w:rFonts w:ascii="仿宋_GB2312" w:hAnsi="仿宋_GB2312" w:eastAsia="仿宋_GB2312" w:cs="仿宋_GB2312"/>
                <w:sz w:val="20"/>
                <w:szCs w:val="20"/>
              </w:rPr>
            </w:pPr>
          </w:p>
        </w:tc>
        <w:tc>
          <w:tcPr>
            <w:tcW w:w="615" w:type="dxa"/>
            <w:vAlign w:val="center"/>
          </w:tcPr>
          <w:p w14:paraId="0D9A42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6FC14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BC8FD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三条：违反本法规定，测绘成果质量不合格的，责令测绘单位补测或者重测；情节严重的，责令停业整顿，并处降低测绘资质等级或者吊销测绘资质证书；造成损失的，依法承担赔偿责任。</w:t>
            </w:r>
          </w:p>
          <w:p w14:paraId="09A3E6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2.【行政法规】《基础测绘条例》（2009年国务院第556号令） 第三十三条：违反本条例规定，基础测绘成果质量不合格的，责令基础测绘项目承担单位补测或者重测；情节严重的，责令停业整顿，降低资质等级直至吊销测绘资质证书；给用户造成损失的，依法承担赔偿责任。</w:t>
            </w:r>
          </w:p>
        </w:tc>
        <w:tc>
          <w:tcPr>
            <w:tcW w:w="3585" w:type="dxa"/>
            <w:vAlign w:val="center"/>
          </w:tcPr>
          <w:p w14:paraId="00B1C6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1.立案责任：对于日常监督检查发现或举报投诉，涉嫌测绘成果质量不合格的情况，应及时制止（对正在实施的违法行为，下达《责令停止违法行为通知书》）,并进行审查核实，符合立案条件的予以立案。</w:t>
            </w:r>
          </w:p>
          <w:p w14:paraId="35EBDA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2.调查责任：执法人员不得少于两人，出示证件、表明身份；通过搜集证据、现场了解核实测绘成果质量不合格的情况，并制作笔录。调查时允许当事人辩解陈述。执法人员应保守有关秘密。</w:t>
            </w:r>
          </w:p>
          <w:p w14:paraId="7FF087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70A39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A6B5E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质量不合格的事实进行认定，依法制作《行政处罚决定书》，载明违反法律法规或规章的事实和证据、行政处罚的具体依据和内容，告知当事人陈述申辩或者听证情况等内容，告知申请行政复议或提起行政诉讼的权利。</w:t>
            </w:r>
          </w:p>
          <w:p w14:paraId="70CB2C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FF1B9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47231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96253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8E716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37290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DE103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B64C8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0E0F9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3B971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DF39BE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05A5E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D8FE5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6C341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92F8D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FC028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92E2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07F6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C2DF0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3DFE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42EBA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ACFA8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39422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7C4382B">
            <w:pPr>
              <w:snapToGrid w:val="0"/>
              <w:spacing w:line="240" w:lineRule="atLeast"/>
              <w:jc w:val="center"/>
              <w:rPr>
                <w:rFonts w:ascii="仿宋_GB2312" w:hAnsi="仿宋_GB2312" w:eastAsia="仿宋_GB2312" w:cs="仿宋_GB2312"/>
                <w:sz w:val="20"/>
                <w:szCs w:val="20"/>
              </w:rPr>
            </w:pPr>
          </w:p>
        </w:tc>
      </w:tr>
    </w:tbl>
    <w:p w14:paraId="748CE50D"/>
    <w:p w14:paraId="2D337214"/>
    <w:p w14:paraId="37966A6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57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C9CCF3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6D70FD">
            <w:pPr>
              <w:spacing w:line="240" w:lineRule="atLeast"/>
              <w:rPr>
                <w:rFonts w:asciiTheme="majorEastAsia" w:hAnsiTheme="majorEastAsia" w:eastAsiaTheme="majorEastAsia" w:cstheme="majorEastAsia"/>
                <w:spacing w:val="-20"/>
                <w:sz w:val="20"/>
                <w:szCs w:val="20"/>
              </w:rPr>
            </w:pPr>
          </w:p>
          <w:p w14:paraId="61BCF28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8BF7A0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F7B9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16F61F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F7E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0B75E93">
            <w:pPr>
              <w:spacing w:line="240" w:lineRule="atLeast"/>
              <w:jc w:val="left"/>
              <w:rPr>
                <w:rFonts w:ascii="仿宋_GB2312" w:hAnsi="仿宋_GB2312" w:eastAsia="仿宋_GB2312" w:cs="仿宋_GB2312"/>
                <w:sz w:val="20"/>
                <w:szCs w:val="20"/>
              </w:rPr>
            </w:pPr>
          </w:p>
        </w:tc>
        <w:tc>
          <w:tcPr>
            <w:tcW w:w="555" w:type="dxa"/>
            <w:vMerge w:val="continue"/>
          </w:tcPr>
          <w:p w14:paraId="44EE5412">
            <w:pPr>
              <w:spacing w:line="240" w:lineRule="atLeast"/>
              <w:jc w:val="left"/>
              <w:rPr>
                <w:rFonts w:ascii="仿宋_GB2312" w:hAnsi="仿宋_GB2312" w:eastAsia="仿宋_GB2312" w:cs="仿宋_GB2312"/>
                <w:sz w:val="20"/>
                <w:szCs w:val="20"/>
              </w:rPr>
            </w:pPr>
          </w:p>
        </w:tc>
        <w:tc>
          <w:tcPr>
            <w:tcW w:w="784" w:type="dxa"/>
            <w:vAlign w:val="center"/>
          </w:tcPr>
          <w:p w14:paraId="6D861F1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EAA5B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D762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0CA6A1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3A08D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6A53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394EA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05938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2A3B29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95A47CD">
            <w:pPr>
              <w:spacing w:line="240" w:lineRule="atLeast"/>
              <w:jc w:val="left"/>
              <w:rPr>
                <w:rFonts w:ascii="仿宋_GB2312" w:hAnsi="仿宋_GB2312" w:eastAsia="仿宋_GB2312" w:cs="仿宋_GB2312"/>
                <w:sz w:val="20"/>
                <w:szCs w:val="20"/>
              </w:rPr>
            </w:pPr>
          </w:p>
        </w:tc>
      </w:tr>
      <w:tr w14:paraId="53A3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67031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161</w:t>
            </w:r>
          </w:p>
        </w:tc>
        <w:tc>
          <w:tcPr>
            <w:tcW w:w="555" w:type="dxa"/>
            <w:vAlign w:val="center"/>
          </w:tcPr>
          <w:p w14:paraId="738342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980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E479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3D7926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对损毁、擅自移动永久性测量标志或者正在使用中的临时性测量标志行为的处罚</w:t>
            </w:r>
          </w:p>
        </w:tc>
        <w:tc>
          <w:tcPr>
            <w:tcW w:w="660" w:type="dxa"/>
            <w:vAlign w:val="center"/>
          </w:tcPr>
          <w:p w14:paraId="6AECA059">
            <w:pPr>
              <w:snapToGrid w:val="0"/>
              <w:spacing w:line="240" w:lineRule="atLeast"/>
              <w:jc w:val="center"/>
              <w:rPr>
                <w:rFonts w:ascii="仿宋_GB2312" w:hAnsi="仿宋_GB2312" w:eastAsia="仿宋_GB2312" w:cs="仿宋_GB2312"/>
                <w:sz w:val="20"/>
                <w:szCs w:val="20"/>
              </w:rPr>
            </w:pPr>
          </w:p>
        </w:tc>
        <w:tc>
          <w:tcPr>
            <w:tcW w:w="615" w:type="dxa"/>
            <w:vAlign w:val="center"/>
          </w:tcPr>
          <w:p w14:paraId="1C1073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663A8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F5630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54A26B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628BF0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（一）损毁、擅自移动永久性测量标志或者正在使用中的临时性测量标志。</w:t>
            </w:r>
          </w:p>
          <w:p w14:paraId="287A42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2.【行政法规】《中华人民共和国测量标志保护条例》（1996年国务院令第203号发布，根据2011年1月8日国务院令第588号《国务院关于废止和修改部分行政法规的决定》修正） 第二十二条：测量标志受国家保护，禁止下列有损测量标志安全和使测量标志失去使用效能的行为：</w:t>
            </w:r>
          </w:p>
          <w:p w14:paraId="410A42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（一）损毁或者擅自移动地下或者地上的永久性测量标志以及使用中的临时性测量标志的。</w:t>
            </w:r>
          </w:p>
          <w:p w14:paraId="719531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3585" w:type="dxa"/>
            <w:vAlign w:val="center"/>
          </w:tcPr>
          <w:p w14:paraId="430B215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损毁、擅自移动永久性测量标志或者正在使用中的临时性测量标志的情况，应及时制止（对正在实施的违法行为，下达《责令停止违法行为通知书》）,并进行审查核实，符合立案条件的予以立案。</w:t>
            </w:r>
          </w:p>
          <w:p w14:paraId="791AC8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损毁、擅自移动永久性测量标志或者正在使用中的临时性测量标志的情况，并制作笔录。调查时允许当事人辩解陈述。执法人员应保守有关秘密。</w:t>
            </w:r>
          </w:p>
          <w:p w14:paraId="1C5BAA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46CFF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58A19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损毁、擅自移动永久性测量标志或者正在使用中的临时性测量标志的事实进行认定，依法制作《行政处罚决定书》，载明违反法律法规或规章的事实和证据、行政处罚的具体依据和内容，告知当事人陈述申辩或者听证情况等内容，告知申请行政复议或提起行政诉讼的权利。</w:t>
            </w:r>
          </w:p>
          <w:p w14:paraId="4F134F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FE1BF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0D0B0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62081C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E85D6F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F8836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7BF2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5E8AD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D32B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9E7D8A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69D359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3D89A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DBEE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FEF55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DFA01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35C3E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33F6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60B6C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4559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3AB1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937B4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4F4D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4FBA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5129D9E">
            <w:pPr>
              <w:snapToGrid w:val="0"/>
              <w:spacing w:line="240" w:lineRule="atLeast"/>
              <w:jc w:val="center"/>
              <w:rPr>
                <w:rFonts w:ascii="仿宋_GB2312" w:hAnsi="仿宋_GB2312" w:eastAsia="仿宋_GB2312" w:cs="仿宋_GB2312"/>
                <w:sz w:val="20"/>
                <w:szCs w:val="20"/>
              </w:rPr>
            </w:pPr>
          </w:p>
        </w:tc>
      </w:tr>
    </w:tbl>
    <w:p w14:paraId="55347F1D"/>
    <w:p w14:paraId="73B0738C"/>
    <w:p w14:paraId="1173F178"/>
    <w:p w14:paraId="395B338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755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406E89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6540ACC">
            <w:pPr>
              <w:spacing w:line="240" w:lineRule="atLeast"/>
              <w:rPr>
                <w:rFonts w:asciiTheme="majorEastAsia" w:hAnsiTheme="majorEastAsia" w:eastAsiaTheme="majorEastAsia" w:cstheme="majorEastAsia"/>
                <w:spacing w:val="-20"/>
                <w:sz w:val="20"/>
                <w:szCs w:val="20"/>
              </w:rPr>
            </w:pPr>
          </w:p>
          <w:p w14:paraId="1846094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ACCF77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67BBE4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18615F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F8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9383A2D">
            <w:pPr>
              <w:spacing w:line="240" w:lineRule="atLeast"/>
              <w:jc w:val="left"/>
              <w:rPr>
                <w:rFonts w:ascii="仿宋_GB2312" w:hAnsi="仿宋_GB2312" w:eastAsia="仿宋_GB2312" w:cs="仿宋_GB2312"/>
                <w:sz w:val="20"/>
                <w:szCs w:val="20"/>
              </w:rPr>
            </w:pPr>
          </w:p>
        </w:tc>
        <w:tc>
          <w:tcPr>
            <w:tcW w:w="555" w:type="dxa"/>
            <w:vMerge w:val="continue"/>
          </w:tcPr>
          <w:p w14:paraId="2C3CA050">
            <w:pPr>
              <w:spacing w:line="240" w:lineRule="atLeast"/>
              <w:jc w:val="left"/>
              <w:rPr>
                <w:rFonts w:ascii="仿宋_GB2312" w:hAnsi="仿宋_GB2312" w:eastAsia="仿宋_GB2312" w:cs="仿宋_GB2312"/>
                <w:sz w:val="20"/>
                <w:szCs w:val="20"/>
              </w:rPr>
            </w:pPr>
          </w:p>
        </w:tc>
        <w:tc>
          <w:tcPr>
            <w:tcW w:w="784" w:type="dxa"/>
            <w:vAlign w:val="center"/>
          </w:tcPr>
          <w:p w14:paraId="79A607A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5C21D6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B42CFC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B2B56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09951D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B9E90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BF7B6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FCAA2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86B264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F5454A8">
            <w:pPr>
              <w:spacing w:line="240" w:lineRule="atLeast"/>
              <w:jc w:val="left"/>
              <w:rPr>
                <w:rFonts w:ascii="仿宋_GB2312" w:hAnsi="仿宋_GB2312" w:eastAsia="仿宋_GB2312" w:cs="仿宋_GB2312"/>
                <w:sz w:val="20"/>
                <w:szCs w:val="20"/>
              </w:rPr>
            </w:pPr>
          </w:p>
        </w:tc>
      </w:tr>
      <w:tr w14:paraId="3C08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F4FB8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162</w:t>
            </w:r>
          </w:p>
        </w:tc>
        <w:tc>
          <w:tcPr>
            <w:tcW w:w="555" w:type="dxa"/>
            <w:vAlign w:val="center"/>
          </w:tcPr>
          <w:p w14:paraId="18AD9E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2E70A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89EB5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0FCFC5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对侵占永久性测量标志用地行为的处罚</w:t>
            </w:r>
          </w:p>
        </w:tc>
        <w:tc>
          <w:tcPr>
            <w:tcW w:w="660" w:type="dxa"/>
            <w:vAlign w:val="center"/>
          </w:tcPr>
          <w:p w14:paraId="78936734">
            <w:pPr>
              <w:snapToGrid w:val="0"/>
              <w:spacing w:line="240" w:lineRule="atLeast"/>
              <w:jc w:val="center"/>
              <w:rPr>
                <w:rFonts w:ascii="仿宋_GB2312" w:hAnsi="仿宋_GB2312" w:eastAsia="仿宋_GB2312" w:cs="仿宋_GB2312"/>
                <w:sz w:val="20"/>
                <w:szCs w:val="20"/>
              </w:rPr>
            </w:pPr>
          </w:p>
        </w:tc>
        <w:tc>
          <w:tcPr>
            <w:tcW w:w="615" w:type="dxa"/>
            <w:vAlign w:val="center"/>
          </w:tcPr>
          <w:p w14:paraId="264A09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3B6FC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DDFAF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7BA495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63A33C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（二）侵占永久性测量标志用地。</w:t>
            </w:r>
          </w:p>
          <w:p w14:paraId="184B71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根据2011年1月8日国务院令第588号《国务院关于废止和修改部分行政法规的决定》修正）第二十二条：测量标志受国家保护，禁止下列有损测量标志安全和使测量标志失去使用效能的行为：</w:t>
            </w:r>
          </w:p>
          <w:p w14:paraId="6307B1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（二）在测量标志占地范围内烧荒、耕作、取土、挖沙或者侵占永久性测量标志用地的。</w:t>
            </w:r>
          </w:p>
          <w:p w14:paraId="073CC5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3585" w:type="dxa"/>
            <w:vAlign w:val="center"/>
          </w:tcPr>
          <w:p w14:paraId="591F77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1.立案责任：对于日常监督检查发现或举报投诉，涉嫌侵占永久性测量标志用地的情况，应及时制止（对正在实施的违法行为，下达《责令停止违法行为通知书》）,并进行审查核实，符合立案条件的予以立案。</w:t>
            </w:r>
          </w:p>
          <w:p w14:paraId="2BA11E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2.调查责任：执法人员不得少于两人，出示证件、表明身份；通过搜集证据、现场了解核实侵占永久性测量标志用地的情况，并制作笔录。调查时允许当事人辩解陈述。执法人员应保守有关秘密。</w:t>
            </w:r>
          </w:p>
          <w:p w14:paraId="7F29BA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1B6CA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8EA98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侵占永久性测量标志用地的事实进行认定，依法制作《行政处罚决定书》，载明违反法律法规或规章的事实和证据、行政处罚的具体依据和内容，告知当事人陈述申辩或者听证情况等内容，告知申请行政复议或提起行政诉讼的权利。</w:t>
            </w:r>
          </w:p>
          <w:p w14:paraId="69EBA9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6672A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E8FF4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B55691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192EB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ADBF0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7AF37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0D71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8F7D9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B70642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0D497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592E3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158A3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934D4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6037B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D64B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30E2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58172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CCB5D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9EDF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28986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A2F2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670D8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BF8A591">
            <w:pPr>
              <w:snapToGrid w:val="0"/>
              <w:spacing w:line="240" w:lineRule="atLeast"/>
              <w:jc w:val="center"/>
              <w:rPr>
                <w:rFonts w:ascii="仿宋_GB2312" w:hAnsi="仿宋_GB2312" w:eastAsia="仿宋_GB2312" w:cs="仿宋_GB2312"/>
                <w:sz w:val="20"/>
                <w:szCs w:val="20"/>
              </w:rPr>
            </w:pPr>
          </w:p>
        </w:tc>
      </w:tr>
    </w:tbl>
    <w:p w14:paraId="075DAFD9"/>
    <w:p w14:paraId="48371EC4"/>
    <w:p w14:paraId="17A5E98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749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1242F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C5B2251">
            <w:pPr>
              <w:spacing w:line="240" w:lineRule="atLeast"/>
              <w:rPr>
                <w:rFonts w:asciiTheme="majorEastAsia" w:hAnsiTheme="majorEastAsia" w:eastAsiaTheme="majorEastAsia" w:cstheme="majorEastAsia"/>
                <w:spacing w:val="-20"/>
                <w:sz w:val="20"/>
                <w:szCs w:val="20"/>
              </w:rPr>
            </w:pPr>
          </w:p>
          <w:p w14:paraId="0207C02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09479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9D7452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4526CB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261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9C60104">
            <w:pPr>
              <w:spacing w:line="240" w:lineRule="atLeast"/>
              <w:jc w:val="left"/>
              <w:rPr>
                <w:rFonts w:ascii="仿宋_GB2312" w:hAnsi="仿宋_GB2312" w:eastAsia="仿宋_GB2312" w:cs="仿宋_GB2312"/>
                <w:sz w:val="20"/>
                <w:szCs w:val="20"/>
              </w:rPr>
            </w:pPr>
          </w:p>
        </w:tc>
        <w:tc>
          <w:tcPr>
            <w:tcW w:w="555" w:type="dxa"/>
            <w:vMerge w:val="continue"/>
          </w:tcPr>
          <w:p w14:paraId="547FFB98">
            <w:pPr>
              <w:spacing w:line="240" w:lineRule="atLeast"/>
              <w:jc w:val="left"/>
              <w:rPr>
                <w:rFonts w:ascii="仿宋_GB2312" w:hAnsi="仿宋_GB2312" w:eastAsia="仿宋_GB2312" w:cs="仿宋_GB2312"/>
                <w:sz w:val="20"/>
                <w:szCs w:val="20"/>
              </w:rPr>
            </w:pPr>
          </w:p>
        </w:tc>
        <w:tc>
          <w:tcPr>
            <w:tcW w:w="784" w:type="dxa"/>
            <w:vAlign w:val="center"/>
          </w:tcPr>
          <w:p w14:paraId="6E9DB59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744F37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675161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7C218D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69B2DE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5CF64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3F790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CC00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383E4D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AE24C03">
            <w:pPr>
              <w:spacing w:line="240" w:lineRule="atLeast"/>
              <w:jc w:val="left"/>
              <w:rPr>
                <w:rFonts w:ascii="仿宋_GB2312" w:hAnsi="仿宋_GB2312" w:eastAsia="仿宋_GB2312" w:cs="仿宋_GB2312"/>
                <w:sz w:val="20"/>
                <w:szCs w:val="20"/>
              </w:rPr>
            </w:pPr>
          </w:p>
        </w:tc>
      </w:tr>
      <w:tr w14:paraId="462E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E01EA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163</w:t>
            </w:r>
          </w:p>
        </w:tc>
        <w:tc>
          <w:tcPr>
            <w:tcW w:w="555" w:type="dxa"/>
            <w:vAlign w:val="center"/>
          </w:tcPr>
          <w:p w14:paraId="480981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3F589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38A61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DD4EF8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对在永久性测量标志安全控制范围内从事危害测量标志安全和使用效能的活动行为的处罚</w:t>
            </w:r>
          </w:p>
        </w:tc>
        <w:tc>
          <w:tcPr>
            <w:tcW w:w="660" w:type="dxa"/>
            <w:vAlign w:val="center"/>
          </w:tcPr>
          <w:p w14:paraId="72E42690">
            <w:pPr>
              <w:snapToGrid w:val="0"/>
              <w:spacing w:line="240" w:lineRule="atLeast"/>
              <w:jc w:val="center"/>
              <w:rPr>
                <w:rFonts w:ascii="仿宋_GB2312" w:hAnsi="仿宋_GB2312" w:eastAsia="仿宋_GB2312" w:cs="仿宋_GB2312"/>
                <w:sz w:val="20"/>
                <w:szCs w:val="20"/>
              </w:rPr>
            </w:pPr>
          </w:p>
        </w:tc>
        <w:tc>
          <w:tcPr>
            <w:tcW w:w="615" w:type="dxa"/>
            <w:vAlign w:val="center"/>
          </w:tcPr>
          <w:p w14:paraId="5749B8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2E1DE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5AD8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55280F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715DB7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（三）在永久性测量标志安全控制范围内从事危害测量标志安全和使用效能的活动；</w:t>
            </w:r>
          </w:p>
          <w:p w14:paraId="6224E5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2.【行政法规】《中华人民共和国测量标志保护条例》（1996年国务院令第203号发布，2011年国务院令第588号修订）  第二十二条：测量标志受国家保护，禁止下列有损测量标志安全和使测量标志失去使用效能的行为：（一）损毁或者擅自移动地下或者地上的永久性测量标志以及使用中的临时性测量标志的；（二）在测量标志占地范围内烧荒、耕作、取土、挖沙或者侵占永久性测量标志用地的；（三）在距永久性测量标志50米范围内采石、爆破、射击、架设高压电线的；（四）在测量标志的占地范围内，建设影响测量标志使用效能的建筑物的；（五）在测量标志上架设通讯设施、设置观望台、搭帐篷、拴牲畜或者设置其他有可能损毁测量标志的附着物的；（六）擅自拆除设有测量标志的建筑物或者拆除建筑物上的测量标志的。（七）其他有损测量标志安全和使用效能的。</w:t>
            </w:r>
          </w:p>
          <w:p w14:paraId="7F93C0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27BCB3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（一）干扰或者阻挠测量标志建设单位依法使用土地或者在建筑物上建设永久性测量标志的；</w:t>
            </w:r>
          </w:p>
          <w:p w14:paraId="7ABBF0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p w14:paraId="609AAE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（三）违反测绘操作规程进行测绘，使永久性测量标志受到损坏的；</w:t>
            </w:r>
          </w:p>
          <w:p w14:paraId="7B7C16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37F887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在永久性测量标志安全控制范围内从事危害测量标志安全和使用效能的活动的情况，应及时制止（对正在实施的违法行为，下达《责令停止违法行为通知书》）,并进行审查核实，符合立案条件的予以立案。</w:t>
            </w:r>
          </w:p>
          <w:p w14:paraId="63C021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在永久性测量标志安全控制范围内从事危害测量标志安全和使用效能的活动的情况，并制作笔录。调查时允许当事人辩解陈述。执法人员应保守有关秘密。</w:t>
            </w:r>
          </w:p>
          <w:p w14:paraId="1A06D1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77AE1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18961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在永久性测量标志安全控制范围内从事危害测量标志安全和使用效能的活动的事实进行认定，依法制作行《政处罚决定书》，载明违反法律法规或规章的事实和证据、行政处罚的具体依据和内容，告知当事人陈述申辩或者听证情况等内容，告知申请行政复议或提起行政诉讼的权利。</w:t>
            </w:r>
          </w:p>
          <w:p w14:paraId="1C6DE6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60AE3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47C4A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FD6C75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67E2F5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F9101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8D6AB0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CF230A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7068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92D2D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29E837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76ED1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93EE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082C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1CFB1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D5D18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78CE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492E1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14BCF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0153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B9A3D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9D06B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5B1B45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9E67FB3">
            <w:pPr>
              <w:snapToGrid w:val="0"/>
              <w:spacing w:line="240" w:lineRule="atLeast"/>
              <w:jc w:val="center"/>
              <w:rPr>
                <w:rFonts w:ascii="仿宋_GB2312" w:hAnsi="仿宋_GB2312" w:eastAsia="仿宋_GB2312" w:cs="仿宋_GB2312"/>
                <w:sz w:val="20"/>
                <w:szCs w:val="20"/>
              </w:rPr>
            </w:pPr>
          </w:p>
        </w:tc>
      </w:tr>
    </w:tbl>
    <w:p w14:paraId="7D8476CE"/>
    <w:p w14:paraId="0BE68299"/>
    <w:p w14:paraId="30EC61A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C8B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E3786E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7B28BE4">
            <w:pPr>
              <w:spacing w:line="240" w:lineRule="atLeast"/>
              <w:rPr>
                <w:rFonts w:asciiTheme="majorEastAsia" w:hAnsiTheme="majorEastAsia" w:eastAsiaTheme="majorEastAsia" w:cstheme="majorEastAsia"/>
                <w:spacing w:val="-20"/>
                <w:sz w:val="20"/>
                <w:szCs w:val="20"/>
              </w:rPr>
            </w:pPr>
          </w:p>
          <w:p w14:paraId="59FABD3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0EF38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0F6B15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84A374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A1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E41878">
            <w:pPr>
              <w:spacing w:line="240" w:lineRule="atLeast"/>
              <w:jc w:val="left"/>
              <w:rPr>
                <w:rFonts w:ascii="仿宋_GB2312" w:hAnsi="仿宋_GB2312" w:eastAsia="仿宋_GB2312" w:cs="仿宋_GB2312"/>
                <w:sz w:val="20"/>
                <w:szCs w:val="20"/>
              </w:rPr>
            </w:pPr>
          </w:p>
        </w:tc>
        <w:tc>
          <w:tcPr>
            <w:tcW w:w="555" w:type="dxa"/>
            <w:vMerge w:val="continue"/>
          </w:tcPr>
          <w:p w14:paraId="74D2DB81">
            <w:pPr>
              <w:spacing w:line="240" w:lineRule="atLeast"/>
              <w:jc w:val="left"/>
              <w:rPr>
                <w:rFonts w:ascii="仿宋_GB2312" w:hAnsi="仿宋_GB2312" w:eastAsia="仿宋_GB2312" w:cs="仿宋_GB2312"/>
                <w:sz w:val="20"/>
                <w:szCs w:val="20"/>
              </w:rPr>
            </w:pPr>
          </w:p>
        </w:tc>
        <w:tc>
          <w:tcPr>
            <w:tcW w:w="784" w:type="dxa"/>
            <w:vAlign w:val="center"/>
          </w:tcPr>
          <w:p w14:paraId="4BC62A6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9444E3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FE6BF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1BC2A1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F3F715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5ED1D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5B716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79502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FEBC0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A06146">
            <w:pPr>
              <w:spacing w:line="240" w:lineRule="atLeast"/>
              <w:jc w:val="left"/>
              <w:rPr>
                <w:rFonts w:ascii="仿宋_GB2312" w:hAnsi="仿宋_GB2312" w:eastAsia="仿宋_GB2312" w:cs="仿宋_GB2312"/>
                <w:sz w:val="20"/>
                <w:szCs w:val="20"/>
              </w:rPr>
            </w:pPr>
          </w:p>
        </w:tc>
      </w:tr>
      <w:tr w14:paraId="0171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6F071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164</w:t>
            </w:r>
          </w:p>
        </w:tc>
        <w:tc>
          <w:tcPr>
            <w:tcW w:w="555" w:type="dxa"/>
            <w:vAlign w:val="center"/>
          </w:tcPr>
          <w:p w14:paraId="5F1C33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6D4F6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A8010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9B2EF3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对擅自拆除永久性测量标志或者使永久性测量标志失去使用效能，或者拒绝支付迁建费用行为的处罚</w:t>
            </w:r>
          </w:p>
        </w:tc>
        <w:tc>
          <w:tcPr>
            <w:tcW w:w="660" w:type="dxa"/>
            <w:vAlign w:val="center"/>
          </w:tcPr>
          <w:p w14:paraId="1C9D9C05">
            <w:pPr>
              <w:snapToGrid w:val="0"/>
              <w:spacing w:line="240" w:lineRule="atLeast"/>
              <w:jc w:val="center"/>
              <w:rPr>
                <w:rFonts w:ascii="仿宋_GB2312" w:hAnsi="仿宋_GB2312" w:eastAsia="仿宋_GB2312" w:cs="仿宋_GB2312"/>
                <w:sz w:val="20"/>
                <w:szCs w:val="20"/>
              </w:rPr>
            </w:pPr>
          </w:p>
        </w:tc>
        <w:tc>
          <w:tcPr>
            <w:tcW w:w="615" w:type="dxa"/>
            <w:vAlign w:val="center"/>
          </w:tcPr>
          <w:p w14:paraId="72B096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B7A1F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84C6B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2EDB81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345E9E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（四）擅自拆迁永久性测量标志或者使永久性测量标志失去使用效能，或者拒绝支付迁建费用；</w:t>
            </w:r>
          </w:p>
          <w:p w14:paraId="48BA19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2.【行政法规】《中华人民共和国测量标志保护条例》（1996年国务院令第203号发布，2011年国务院令第588号修订）  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677954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tc>
        <w:tc>
          <w:tcPr>
            <w:tcW w:w="3585" w:type="dxa"/>
            <w:vAlign w:val="center"/>
          </w:tcPr>
          <w:p w14:paraId="14C861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拆除永久性测量标志或者使永久性测量标志失去使用效能，或者拒绝支付迁建费用的情况，应及时制止（对正在实施的违法行为，下达《责令停止违法行为通知书》）,并进行审查核实，符合立案条件的予以立案。</w:t>
            </w:r>
          </w:p>
          <w:p w14:paraId="5835EF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拆除永久性测量标志或者使永久性测量标志失去使用效能，或者拒绝支付迁建费用的情况，并制作笔录。调查时允许当事人辩解陈述。执法人员应保守有关秘密。</w:t>
            </w:r>
          </w:p>
          <w:p w14:paraId="664D68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23AA3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0C461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擅自拆除永久性测量标志或者使永久性测量标志失去使用效能，或者拒绝支付迁建费用的事实进行认定，依法制作《行政处罚决定书》，载明违反法律法规或规章的事实和证据、行政处罚的具体依据和内容，告知当事人陈述申辩或者听证情况等内容，告知申请行政复议或提起行政诉讼的权利。</w:t>
            </w:r>
          </w:p>
          <w:p w14:paraId="27B787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F164E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4F0D8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CF3315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BADF86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E7D9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98C3D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230F4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A7A3C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801BE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4F0BA2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940D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29A6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75762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5EC9E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50F6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AE89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0F177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E84E3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909E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94609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5F25B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D1C37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2259592">
            <w:pPr>
              <w:snapToGrid w:val="0"/>
              <w:spacing w:line="240" w:lineRule="atLeast"/>
              <w:jc w:val="center"/>
              <w:rPr>
                <w:rFonts w:ascii="仿宋_GB2312" w:hAnsi="仿宋_GB2312" w:eastAsia="仿宋_GB2312" w:cs="仿宋_GB2312"/>
                <w:sz w:val="20"/>
                <w:szCs w:val="20"/>
              </w:rPr>
            </w:pPr>
          </w:p>
        </w:tc>
      </w:tr>
    </w:tbl>
    <w:p w14:paraId="702237E6"/>
    <w:p w14:paraId="6E7670C7"/>
    <w:p w14:paraId="1D38B32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140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374A99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E39F148">
            <w:pPr>
              <w:spacing w:line="240" w:lineRule="atLeast"/>
              <w:rPr>
                <w:rFonts w:asciiTheme="majorEastAsia" w:hAnsiTheme="majorEastAsia" w:eastAsiaTheme="majorEastAsia" w:cstheme="majorEastAsia"/>
                <w:spacing w:val="-20"/>
                <w:sz w:val="20"/>
                <w:szCs w:val="20"/>
              </w:rPr>
            </w:pPr>
          </w:p>
          <w:p w14:paraId="6BC77B6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99DF5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7DCDAB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D61A4C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8AC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79061D">
            <w:pPr>
              <w:spacing w:line="240" w:lineRule="atLeast"/>
              <w:jc w:val="left"/>
              <w:rPr>
                <w:rFonts w:ascii="仿宋_GB2312" w:hAnsi="仿宋_GB2312" w:eastAsia="仿宋_GB2312" w:cs="仿宋_GB2312"/>
                <w:sz w:val="20"/>
                <w:szCs w:val="20"/>
              </w:rPr>
            </w:pPr>
          </w:p>
        </w:tc>
        <w:tc>
          <w:tcPr>
            <w:tcW w:w="555" w:type="dxa"/>
            <w:vMerge w:val="continue"/>
          </w:tcPr>
          <w:p w14:paraId="7114C4C4">
            <w:pPr>
              <w:spacing w:line="240" w:lineRule="atLeast"/>
              <w:jc w:val="left"/>
              <w:rPr>
                <w:rFonts w:ascii="仿宋_GB2312" w:hAnsi="仿宋_GB2312" w:eastAsia="仿宋_GB2312" w:cs="仿宋_GB2312"/>
                <w:sz w:val="20"/>
                <w:szCs w:val="20"/>
              </w:rPr>
            </w:pPr>
          </w:p>
        </w:tc>
        <w:tc>
          <w:tcPr>
            <w:tcW w:w="784" w:type="dxa"/>
            <w:vAlign w:val="center"/>
          </w:tcPr>
          <w:p w14:paraId="361B474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2834D0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340DA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F30EDC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3F1115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26156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F6C42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12080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8E67CD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191A395">
            <w:pPr>
              <w:spacing w:line="240" w:lineRule="atLeast"/>
              <w:jc w:val="left"/>
              <w:rPr>
                <w:rFonts w:ascii="仿宋_GB2312" w:hAnsi="仿宋_GB2312" w:eastAsia="仿宋_GB2312" w:cs="仿宋_GB2312"/>
                <w:sz w:val="20"/>
                <w:szCs w:val="20"/>
              </w:rPr>
            </w:pPr>
          </w:p>
        </w:tc>
      </w:tr>
      <w:tr w14:paraId="0DA5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915BC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165</w:t>
            </w:r>
          </w:p>
        </w:tc>
        <w:tc>
          <w:tcPr>
            <w:tcW w:w="555" w:type="dxa"/>
            <w:vAlign w:val="center"/>
          </w:tcPr>
          <w:p w14:paraId="1244F0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C379F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7BFD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4082EB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对违反操作规程使用永久性测量标志，造成永久性测量标志毁损行为的处罚</w:t>
            </w:r>
          </w:p>
        </w:tc>
        <w:tc>
          <w:tcPr>
            <w:tcW w:w="660" w:type="dxa"/>
            <w:vAlign w:val="center"/>
          </w:tcPr>
          <w:p w14:paraId="7288DBE2">
            <w:pPr>
              <w:snapToGrid w:val="0"/>
              <w:spacing w:line="240" w:lineRule="atLeast"/>
              <w:jc w:val="center"/>
              <w:rPr>
                <w:rFonts w:ascii="仿宋_GB2312" w:hAnsi="仿宋_GB2312" w:eastAsia="仿宋_GB2312" w:cs="仿宋_GB2312"/>
                <w:sz w:val="20"/>
                <w:szCs w:val="20"/>
              </w:rPr>
            </w:pPr>
          </w:p>
        </w:tc>
        <w:tc>
          <w:tcPr>
            <w:tcW w:w="615" w:type="dxa"/>
            <w:vAlign w:val="center"/>
          </w:tcPr>
          <w:p w14:paraId="17974C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91419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15A9B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005FE7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6DD591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（五）违反操作规程使用永久性测量标志，造成永久性测量标志毁损。</w:t>
            </w:r>
          </w:p>
        </w:tc>
        <w:tc>
          <w:tcPr>
            <w:tcW w:w="3585" w:type="dxa"/>
            <w:vAlign w:val="center"/>
          </w:tcPr>
          <w:p w14:paraId="489479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违反操作规程使用永久性测量标志，造成永久性测量标志损毁或损坏的情况，应及时制止（对正在实施的违法行为，下达《责令停止违法行为通知书》）,并进行审查核实，符合立案条件的予以立案。</w:t>
            </w:r>
          </w:p>
          <w:p w14:paraId="2BE447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违反操作规程使用永久性测量标志，造成永久性测量标志损毁或损坏的情况，并制作笔录。调查时允许当事人辩解陈述。执法人员应保守有关秘密。</w:t>
            </w:r>
          </w:p>
          <w:p w14:paraId="1BF262A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18846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414CD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违反操作规程使用永久性测量标志，造成永久性测量标志损毁或损坏的事实进行认定，依法制作《行政处罚决定书》，载明违反法律法规或规章的事实和证据、行政处罚的具体依据和内容，告知当事人陈述申辩或者听证情况等内容，告知申请行政复议或提起行政诉讼的权利。</w:t>
            </w:r>
          </w:p>
          <w:p w14:paraId="26E12F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80C3E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BAB992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B6E2AB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0547ED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592B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5149ED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B9F5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203A01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CD344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F896CD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719F9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78BA0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8D7DC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F7700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63BAE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A67C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6DBD8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AAD90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C35DE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5246E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3A46A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A810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F11F5DA">
            <w:pPr>
              <w:snapToGrid w:val="0"/>
              <w:spacing w:line="240" w:lineRule="atLeast"/>
              <w:jc w:val="center"/>
              <w:rPr>
                <w:rFonts w:ascii="仿宋_GB2312" w:hAnsi="仿宋_GB2312" w:eastAsia="仿宋_GB2312" w:cs="仿宋_GB2312"/>
                <w:sz w:val="20"/>
                <w:szCs w:val="20"/>
              </w:rPr>
            </w:pPr>
          </w:p>
        </w:tc>
      </w:tr>
    </w:tbl>
    <w:p w14:paraId="1E5286D1"/>
    <w:p w14:paraId="67CD4B47"/>
    <w:p w14:paraId="6B0BA4E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98D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C1EB6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6C7E7B8">
            <w:pPr>
              <w:spacing w:line="240" w:lineRule="atLeast"/>
              <w:rPr>
                <w:rFonts w:asciiTheme="majorEastAsia" w:hAnsiTheme="majorEastAsia" w:eastAsiaTheme="majorEastAsia" w:cstheme="majorEastAsia"/>
                <w:spacing w:val="-20"/>
                <w:sz w:val="20"/>
                <w:szCs w:val="20"/>
              </w:rPr>
            </w:pPr>
          </w:p>
          <w:p w14:paraId="0CA1296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5C8346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7B89BD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ADDEC8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DE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CFF1AB">
            <w:pPr>
              <w:spacing w:line="240" w:lineRule="atLeast"/>
              <w:jc w:val="left"/>
              <w:rPr>
                <w:rFonts w:ascii="仿宋_GB2312" w:hAnsi="仿宋_GB2312" w:eastAsia="仿宋_GB2312" w:cs="仿宋_GB2312"/>
                <w:sz w:val="20"/>
                <w:szCs w:val="20"/>
              </w:rPr>
            </w:pPr>
          </w:p>
        </w:tc>
        <w:tc>
          <w:tcPr>
            <w:tcW w:w="555" w:type="dxa"/>
            <w:vMerge w:val="continue"/>
          </w:tcPr>
          <w:p w14:paraId="75E3A2D0">
            <w:pPr>
              <w:spacing w:line="240" w:lineRule="atLeast"/>
              <w:jc w:val="left"/>
              <w:rPr>
                <w:rFonts w:ascii="仿宋_GB2312" w:hAnsi="仿宋_GB2312" w:eastAsia="仿宋_GB2312" w:cs="仿宋_GB2312"/>
                <w:sz w:val="20"/>
                <w:szCs w:val="20"/>
              </w:rPr>
            </w:pPr>
          </w:p>
        </w:tc>
        <w:tc>
          <w:tcPr>
            <w:tcW w:w="784" w:type="dxa"/>
            <w:vAlign w:val="center"/>
          </w:tcPr>
          <w:p w14:paraId="6DC6F68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34E77A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8ACA7C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045D12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87F98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AD2A5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B3DC6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1F76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1E6212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A956710">
            <w:pPr>
              <w:spacing w:line="240" w:lineRule="atLeast"/>
              <w:jc w:val="left"/>
              <w:rPr>
                <w:rFonts w:ascii="仿宋_GB2312" w:hAnsi="仿宋_GB2312" w:eastAsia="仿宋_GB2312" w:cs="仿宋_GB2312"/>
                <w:sz w:val="20"/>
                <w:szCs w:val="20"/>
              </w:rPr>
            </w:pPr>
          </w:p>
        </w:tc>
      </w:tr>
      <w:tr w14:paraId="496B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AB56A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166</w:t>
            </w:r>
          </w:p>
        </w:tc>
        <w:tc>
          <w:tcPr>
            <w:tcW w:w="555" w:type="dxa"/>
            <w:vAlign w:val="center"/>
          </w:tcPr>
          <w:p w14:paraId="12669F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3826F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B6E3D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4D03DB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对其他有损测量标志安全和使用效能行为的处罚</w:t>
            </w:r>
          </w:p>
        </w:tc>
        <w:tc>
          <w:tcPr>
            <w:tcW w:w="660" w:type="dxa"/>
            <w:vAlign w:val="center"/>
          </w:tcPr>
          <w:p w14:paraId="6B325CD7">
            <w:pPr>
              <w:snapToGrid w:val="0"/>
              <w:spacing w:line="240" w:lineRule="atLeast"/>
              <w:jc w:val="center"/>
              <w:rPr>
                <w:rFonts w:ascii="仿宋_GB2312" w:hAnsi="仿宋_GB2312" w:eastAsia="仿宋_GB2312" w:cs="仿宋_GB2312"/>
                <w:sz w:val="20"/>
                <w:szCs w:val="20"/>
              </w:rPr>
            </w:pPr>
          </w:p>
        </w:tc>
        <w:tc>
          <w:tcPr>
            <w:tcW w:w="615" w:type="dxa"/>
            <w:vAlign w:val="center"/>
          </w:tcPr>
          <w:p w14:paraId="776BAF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63984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B517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【行政法规】《中华人民共和国测量标志保护条例》（1996年国务院令第203号发布，2011年国务院令第588号修订）第二十二条：测量标志受国家保护，禁止下列有损测量标志安全和使测量标志失去使用效能的行为：</w:t>
            </w:r>
          </w:p>
          <w:p w14:paraId="43CFC9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（七）其他有损测量标志安全和使用效能的。</w:t>
            </w:r>
          </w:p>
          <w:p w14:paraId="540737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542BC5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（一）干扰或者阻挠测量标志建设单位依法使用土地或者在建筑物上建设永久性测量标志的；</w:t>
            </w:r>
          </w:p>
          <w:p w14:paraId="15D310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p w14:paraId="7F4DD0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（三）违反测绘操作规程进行测绘，使永久性测量标志受到损坏的；</w:t>
            </w:r>
          </w:p>
          <w:p w14:paraId="304125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4BEDC5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其他有损测量标志安全和使用效能的情况，应及时制止（对正在实施的违法行为，下达《责令停止违法行为通知书》）,并进行审查核实，符合立案条件的予以立案。</w:t>
            </w:r>
          </w:p>
          <w:p w14:paraId="3D6F9C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2.调查责任：执法人员不得少于两人，出示证件、表明身份；通过搜集证据、现场了解核实其他有损测量标志安全和使用效能的情况，并制作笔录。调查时允许当事人辩解陈述。执法人员应保守有关秘密。</w:t>
            </w:r>
          </w:p>
          <w:p w14:paraId="518C86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579FB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2E808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其他有损测量标志安全和使用效能的事实进行认定，依法制作《行政处罚决定书》，载明违反法律法规或规章的事实和证据、行政处罚的具体依据和内容，告知当事人陈述申辩或者听证情况等内容，告知申请行政复议或提起行政诉讼的权利。</w:t>
            </w:r>
          </w:p>
          <w:p w14:paraId="29E9D4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3217D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9B3CC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6B83CB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026D7A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CF4FF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40447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D2D19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DABDE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AFEF1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B7CB65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D6219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D658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CB3D3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83C8A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7F688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30F8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803F3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DD4ED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30A0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A62DD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A9342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C0FEB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604830D">
            <w:pPr>
              <w:snapToGrid w:val="0"/>
              <w:spacing w:line="240" w:lineRule="atLeast"/>
              <w:jc w:val="center"/>
              <w:rPr>
                <w:rFonts w:ascii="仿宋_GB2312" w:hAnsi="仿宋_GB2312" w:eastAsia="仿宋_GB2312" w:cs="仿宋_GB2312"/>
                <w:sz w:val="20"/>
                <w:szCs w:val="20"/>
              </w:rPr>
            </w:pPr>
          </w:p>
        </w:tc>
      </w:tr>
    </w:tbl>
    <w:p w14:paraId="26667CDA"/>
    <w:p w14:paraId="5BE22A01"/>
    <w:p w14:paraId="417CF02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282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BD49BB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83D2A8">
            <w:pPr>
              <w:spacing w:line="240" w:lineRule="atLeast"/>
              <w:rPr>
                <w:rFonts w:asciiTheme="majorEastAsia" w:hAnsiTheme="majorEastAsia" w:eastAsiaTheme="majorEastAsia" w:cstheme="majorEastAsia"/>
                <w:spacing w:val="-20"/>
                <w:sz w:val="20"/>
                <w:szCs w:val="20"/>
              </w:rPr>
            </w:pPr>
          </w:p>
          <w:p w14:paraId="1102F2A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79E8B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7D1AD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C4D89A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20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D8B2325">
            <w:pPr>
              <w:spacing w:line="240" w:lineRule="atLeast"/>
              <w:jc w:val="left"/>
              <w:rPr>
                <w:rFonts w:ascii="仿宋_GB2312" w:hAnsi="仿宋_GB2312" w:eastAsia="仿宋_GB2312" w:cs="仿宋_GB2312"/>
                <w:sz w:val="20"/>
                <w:szCs w:val="20"/>
              </w:rPr>
            </w:pPr>
          </w:p>
        </w:tc>
        <w:tc>
          <w:tcPr>
            <w:tcW w:w="555" w:type="dxa"/>
            <w:vMerge w:val="continue"/>
          </w:tcPr>
          <w:p w14:paraId="0497D5EC">
            <w:pPr>
              <w:spacing w:line="240" w:lineRule="atLeast"/>
              <w:jc w:val="left"/>
              <w:rPr>
                <w:rFonts w:ascii="仿宋_GB2312" w:hAnsi="仿宋_GB2312" w:eastAsia="仿宋_GB2312" w:cs="仿宋_GB2312"/>
                <w:sz w:val="20"/>
                <w:szCs w:val="20"/>
              </w:rPr>
            </w:pPr>
          </w:p>
        </w:tc>
        <w:tc>
          <w:tcPr>
            <w:tcW w:w="784" w:type="dxa"/>
            <w:vAlign w:val="center"/>
          </w:tcPr>
          <w:p w14:paraId="72D532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464503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452B59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937C4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05E863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BA073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A99149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4137E0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4DA6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8165CF7">
            <w:pPr>
              <w:spacing w:line="240" w:lineRule="atLeast"/>
              <w:jc w:val="left"/>
              <w:rPr>
                <w:rFonts w:ascii="仿宋_GB2312" w:hAnsi="仿宋_GB2312" w:eastAsia="仿宋_GB2312" w:cs="仿宋_GB2312"/>
                <w:sz w:val="20"/>
                <w:szCs w:val="20"/>
              </w:rPr>
            </w:pPr>
          </w:p>
        </w:tc>
      </w:tr>
      <w:tr w14:paraId="7D1D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6A36E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167</w:t>
            </w:r>
          </w:p>
        </w:tc>
        <w:tc>
          <w:tcPr>
            <w:tcW w:w="555" w:type="dxa"/>
            <w:vAlign w:val="center"/>
          </w:tcPr>
          <w:p w14:paraId="5EB082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C5148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24B06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4B79DC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对干扰或者阻挠测量标志建设单位依法使用土地或者在建筑物上建设永久性测量标志行为的处罚</w:t>
            </w:r>
          </w:p>
        </w:tc>
        <w:tc>
          <w:tcPr>
            <w:tcW w:w="660" w:type="dxa"/>
            <w:vAlign w:val="center"/>
          </w:tcPr>
          <w:p w14:paraId="612AA2F1">
            <w:pPr>
              <w:snapToGrid w:val="0"/>
              <w:spacing w:line="240" w:lineRule="atLeast"/>
              <w:jc w:val="center"/>
              <w:rPr>
                <w:rFonts w:ascii="仿宋_GB2312" w:hAnsi="仿宋_GB2312" w:eastAsia="仿宋_GB2312" w:cs="仿宋_GB2312"/>
                <w:sz w:val="20"/>
                <w:szCs w:val="20"/>
              </w:rPr>
            </w:pPr>
          </w:p>
        </w:tc>
        <w:tc>
          <w:tcPr>
            <w:tcW w:w="615" w:type="dxa"/>
            <w:vAlign w:val="center"/>
          </w:tcPr>
          <w:p w14:paraId="077BDA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35FEC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48B35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1F1985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（一）干扰或者阻挠测量标志建设单位依法使用土地或者在建筑物上建设永久性测量标志的。</w:t>
            </w:r>
          </w:p>
        </w:tc>
        <w:tc>
          <w:tcPr>
            <w:tcW w:w="3585" w:type="dxa"/>
            <w:vAlign w:val="center"/>
          </w:tcPr>
          <w:p w14:paraId="721DF2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干扰或者阻挠测量标志建设单位依法使用土地或者在建筑物上建设永久性测量标志的情况，应及时制止（对正在实施的违法行为，下达《责令停止违法行为通知书》）,并进行审查核实，符合立案条件的予以立案。</w:t>
            </w:r>
          </w:p>
          <w:p w14:paraId="122849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干扰或者阻挠测量标志建设单位依法使用土地或者在建筑物上建设永久性测量标志的情况，并制作笔录。调查时允许当事人辩解陈述。执法人员应保守有关秘密。</w:t>
            </w:r>
          </w:p>
          <w:p w14:paraId="3A3EF5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44D21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78827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干扰或者阻挠测量标志建设单位依法使用土地或者在建筑物上建设永久性测量标志的事实进行认定，依法制作《行政处罚决定书》，载明违反法律法规或规章的事实和证据、行政处罚的具体依据和内容，告知当事人陈述申辩或者听证情况等内容，告知申请行政复议或提起行政诉讼的权利。</w:t>
            </w:r>
          </w:p>
          <w:p w14:paraId="5AF2A8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A0832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089E05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846DE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0617C6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BA042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B8D4B3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382E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128B9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9B38AA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D7F9B1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D06D8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71769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38119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E8748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A609C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CDAE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AE763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DADC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6FC3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1C06F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628D2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949C7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C4E52B4">
            <w:pPr>
              <w:snapToGrid w:val="0"/>
              <w:spacing w:line="240" w:lineRule="atLeast"/>
              <w:jc w:val="center"/>
              <w:rPr>
                <w:rFonts w:ascii="仿宋_GB2312" w:hAnsi="仿宋_GB2312" w:eastAsia="仿宋_GB2312" w:cs="仿宋_GB2312"/>
                <w:sz w:val="20"/>
                <w:szCs w:val="20"/>
              </w:rPr>
            </w:pPr>
          </w:p>
        </w:tc>
      </w:tr>
    </w:tbl>
    <w:p w14:paraId="1827ED17"/>
    <w:p w14:paraId="578916E3"/>
    <w:p w14:paraId="77F1A8B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56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5ECE23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D48B95">
            <w:pPr>
              <w:spacing w:line="240" w:lineRule="atLeast"/>
              <w:rPr>
                <w:rFonts w:asciiTheme="majorEastAsia" w:hAnsiTheme="majorEastAsia" w:eastAsiaTheme="majorEastAsia" w:cstheme="majorEastAsia"/>
                <w:spacing w:val="-20"/>
                <w:sz w:val="20"/>
                <w:szCs w:val="20"/>
              </w:rPr>
            </w:pPr>
          </w:p>
          <w:p w14:paraId="34DB065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BDAD26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DE7C8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4EF06B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BCD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E539292">
            <w:pPr>
              <w:spacing w:line="240" w:lineRule="atLeast"/>
              <w:jc w:val="left"/>
              <w:rPr>
                <w:rFonts w:ascii="仿宋_GB2312" w:hAnsi="仿宋_GB2312" w:eastAsia="仿宋_GB2312" w:cs="仿宋_GB2312"/>
                <w:sz w:val="20"/>
                <w:szCs w:val="20"/>
              </w:rPr>
            </w:pPr>
          </w:p>
        </w:tc>
        <w:tc>
          <w:tcPr>
            <w:tcW w:w="555" w:type="dxa"/>
            <w:vMerge w:val="continue"/>
          </w:tcPr>
          <w:p w14:paraId="6198B507">
            <w:pPr>
              <w:spacing w:line="240" w:lineRule="atLeast"/>
              <w:jc w:val="left"/>
              <w:rPr>
                <w:rFonts w:ascii="仿宋_GB2312" w:hAnsi="仿宋_GB2312" w:eastAsia="仿宋_GB2312" w:cs="仿宋_GB2312"/>
                <w:sz w:val="20"/>
                <w:szCs w:val="20"/>
              </w:rPr>
            </w:pPr>
          </w:p>
        </w:tc>
        <w:tc>
          <w:tcPr>
            <w:tcW w:w="784" w:type="dxa"/>
            <w:vAlign w:val="center"/>
          </w:tcPr>
          <w:p w14:paraId="4103552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B3059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C766C6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23189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E9A48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FEF24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E1FF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13A4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3FF65D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A51A808">
            <w:pPr>
              <w:spacing w:line="240" w:lineRule="atLeast"/>
              <w:jc w:val="left"/>
              <w:rPr>
                <w:rFonts w:ascii="仿宋_GB2312" w:hAnsi="仿宋_GB2312" w:eastAsia="仿宋_GB2312" w:cs="仿宋_GB2312"/>
                <w:sz w:val="20"/>
                <w:szCs w:val="20"/>
              </w:rPr>
            </w:pPr>
          </w:p>
        </w:tc>
      </w:tr>
      <w:tr w14:paraId="12BE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E4E7A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168</w:t>
            </w:r>
          </w:p>
        </w:tc>
        <w:tc>
          <w:tcPr>
            <w:tcW w:w="555" w:type="dxa"/>
            <w:vAlign w:val="center"/>
          </w:tcPr>
          <w:p w14:paraId="6C5B60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2324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34F9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53B8A3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对无证使用永久性测量标志并且拒绝县级以上人民政府管理测绘工作的部门监督和负责保管测量标志的单位和人员查询行为的处罚</w:t>
            </w:r>
          </w:p>
        </w:tc>
        <w:tc>
          <w:tcPr>
            <w:tcW w:w="660" w:type="dxa"/>
            <w:vAlign w:val="center"/>
          </w:tcPr>
          <w:p w14:paraId="069FAE8F">
            <w:pPr>
              <w:snapToGrid w:val="0"/>
              <w:spacing w:line="240" w:lineRule="atLeast"/>
              <w:jc w:val="center"/>
              <w:rPr>
                <w:rFonts w:ascii="仿宋_GB2312" w:hAnsi="仿宋_GB2312" w:eastAsia="仿宋_GB2312" w:cs="仿宋_GB2312"/>
                <w:sz w:val="20"/>
                <w:szCs w:val="20"/>
              </w:rPr>
            </w:pPr>
          </w:p>
        </w:tc>
        <w:tc>
          <w:tcPr>
            <w:tcW w:w="615" w:type="dxa"/>
            <w:vAlign w:val="center"/>
          </w:tcPr>
          <w:p w14:paraId="7E4DB3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DE1C4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B8BC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47BE15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12A438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无证使用永久性测量标志并且拒绝县级以上人民政府管理测绘工作的部门监督和负责保管测量标志的单位和人员查询的情况，应及时制止（对正在实施的违法行为，下达《责令停止违法行为通知书》）,并进行审查核实，符合立案条件的予以立案。</w:t>
            </w:r>
          </w:p>
          <w:p w14:paraId="5BABAF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无证使用永久性测量标志并且拒绝县级以上人民政府管理测绘工作的部门监督和负责保管测量标志的单位和个人查询的情况，并制作笔录。调查时允许当事人辩解陈述。执法人员应保守有关秘密。</w:t>
            </w:r>
          </w:p>
          <w:p w14:paraId="2A8CFA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11519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2C67E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无证使用永久性测量标志并且拒绝县级以上人民政府管理测绘工作的部门监督和负责保管测量标志的单位和个人查询的事实进行认定，依法制作《行政处罚决定书》，载明违反法律法规或规章的事实和证据、行政处罚的具体依据和内容，告知当事人陈述申辩或者听证情况等内容，告知申请行政复议或提起行政诉讼的权利。</w:t>
            </w:r>
          </w:p>
          <w:p w14:paraId="688E08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E56D2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89FAE8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778BA5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0866C3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69C8F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BA6CF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6701C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9998D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BEEEC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B178A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0533C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0535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68AD0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B6BC9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C5680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DA6D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CFC9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F6A1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170B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46EE6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DA0B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0413C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72CE7C8">
            <w:pPr>
              <w:snapToGrid w:val="0"/>
              <w:spacing w:line="240" w:lineRule="atLeast"/>
              <w:jc w:val="center"/>
              <w:rPr>
                <w:rFonts w:ascii="仿宋_GB2312" w:hAnsi="仿宋_GB2312" w:eastAsia="仿宋_GB2312" w:cs="仿宋_GB2312"/>
                <w:sz w:val="20"/>
                <w:szCs w:val="20"/>
              </w:rPr>
            </w:pPr>
          </w:p>
        </w:tc>
      </w:tr>
    </w:tbl>
    <w:p w14:paraId="4DAD3F5C"/>
    <w:p w14:paraId="00FCF2E9"/>
    <w:p w14:paraId="2B68900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7C4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C17A07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827AC2B">
            <w:pPr>
              <w:spacing w:line="240" w:lineRule="atLeast"/>
              <w:rPr>
                <w:rFonts w:asciiTheme="majorEastAsia" w:hAnsiTheme="majorEastAsia" w:eastAsiaTheme="majorEastAsia" w:cstheme="majorEastAsia"/>
                <w:spacing w:val="-20"/>
                <w:sz w:val="20"/>
                <w:szCs w:val="20"/>
              </w:rPr>
            </w:pPr>
          </w:p>
          <w:p w14:paraId="44ED14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E2A924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F14A7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3193F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ECB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CD8ECDC">
            <w:pPr>
              <w:spacing w:line="240" w:lineRule="atLeast"/>
              <w:jc w:val="left"/>
              <w:rPr>
                <w:rFonts w:ascii="仿宋_GB2312" w:hAnsi="仿宋_GB2312" w:eastAsia="仿宋_GB2312" w:cs="仿宋_GB2312"/>
                <w:sz w:val="20"/>
                <w:szCs w:val="20"/>
              </w:rPr>
            </w:pPr>
          </w:p>
        </w:tc>
        <w:tc>
          <w:tcPr>
            <w:tcW w:w="555" w:type="dxa"/>
            <w:vMerge w:val="continue"/>
          </w:tcPr>
          <w:p w14:paraId="42BF4BDE">
            <w:pPr>
              <w:spacing w:line="240" w:lineRule="atLeast"/>
              <w:jc w:val="left"/>
              <w:rPr>
                <w:rFonts w:ascii="仿宋_GB2312" w:hAnsi="仿宋_GB2312" w:eastAsia="仿宋_GB2312" w:cs="仿宋_GB2312"/>
                <w:sz w:val="20"/>
                <w:szCs w:val="20"/>
              </w:rPr>
            </w:pPr>
          </w:p>
        </w:tc>
        <w:tc>
          <w:tcPr>
            <w:tcW w:w="784" w:type="dxa"/>
            <w:vAlign w:val="center"/>
          </w:tcPr>
          <w:p w14:paraId="389C5A8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9AEEE0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229CD2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A1283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17466A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2B03C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02F51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37C1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585FFE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E49B344">
            <w:pPr>
              <w:spacing w:line="240" w:lineRule="atLeast"/>
              <w:jc w:val="left"/>
              <w:rPr>
                <w:rFonts w:ascii="仿宋_GB2312" w:hAnsi="仿宋_GB2312" w:eastAsia="仿宋_GB2312" w:cs="仿宋_GB2312"/>
                <w:sz w:val="20"/>
                <w:szCs w:val="20"/>
              </w:rPr>
            </w:pPr>
          </w:p>
        </w:tc>
      </w:tr>
      <w:tr w14:paraId="2EC7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D9E80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169</w:t>
            </w:r>
          </w:p>
        </w:tc>
        <w:tc>
          <w:tcPr>
            <w:tcW w:w="555" w:type="dxa"/>
            <w:vAlign w:val="center"/>
          </w:tcPr>
          <w:p w14:paraId="2F3BBA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53F75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26D75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E122D7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对地理信息生产、保管、利用单位未对属于国家秘密的地理信息的获取、持有、提供、利用情况进行登记、长期保存的，泄露国家秘密行为的处罚</w:t>
            </w:r>
          </w:p>
        </w:tc>
        <w:tc>
          <w:tcPr>
            <w:tcW w:w="660" w:type="dxa"/>
            <w:vAlign w:val="center"/>
          </w:tcPr>
          <w:p w14:paraId="63165AFC">
            <w:pPr>
              <w:snapToGrid w:val="0"/>
              <w:spacing w:line="240" w:lineRule="atLeast"/>
              <w:jc w:val="center"/>
              <w:rPr>
                <w:rFonts w:ascii="仿宋_GB2312" w:hAnsi="仿宋_GB2312" w:eastAsia="仿宋_GB2312" w:cs="仿宋_GB2312"/>
                <w:sz w:val="20"/>
                <w:szCs w:val="20"/>
              </w:rPr>
            </w:pPr>
          </w:p>
        </w:tc>
        <w:tc>
          <w:tcPr>
            <w:tcW w:w="615" w:type="dxa"/>
            <w:vAlign w:val="center"/>
          </w:tcPr>
          <w:p w14:paraId="218DCA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E97D4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2DD8F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五条第一款：违反本法规定，地理信息生产、保管、利用单位未对属于国家秘密的地理信息的获取、持有、提供、利用情况进行登记、长期保存的，给予警告，责令改正，可以并处二十万元以下的罚款；泄露国家秘密的，责令停业整顿，并处降低测绘资质等级或者吊销测绘资质证书；构成犯罪的，依法追究刑事责任。</w:t>
            </w:r>
          </w:p>
        </w:tc>
        <w:tc>
          <w:tcPr>
            <w:tcW w:w="3585" w:type="dxa"/>
            <w:vAlign w:val="center"/>
          </w:tcPr>
          <w:p w14:paraId="642A31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地理信息生产、保管、利用单位未对属于国家秘密的地理信息的获取、持有、提供、利用情况进行登记、长期保存的，泄露国家秘密的情况，应及时制止（对正在实施的违法行为，下达《责令停止违法行为通知书》）,并进行审查核实，符合立案条件的予以立案。</w:t>
            </w:r>
          </w:p>
          <w:p w14:paraId="1D6F8C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地理信息生产、保管、利用单位未对属于国家秘密的地理信息的获取、持有、提供、利用情况进行登记、长期保存的，泄露国家秘密的情况，并制作笔录。调查时允许当事人辩解陈述。执法人员应保守有关秘密。</w:t>
            </w:r>
          </w:p>
          <w:p w14:paraId="4243D3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4A308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908D4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地理信息生产、保管、利用单位未对属于国家秘密的地理信息的获取、持有、提供、利用情况进行登记、长期保存的事实进行认定，依法制作《行政处罚决定书》，载明违反法律法规或规章的事实和证据、行政处罚的具体依据和内容，告知当事人陈述申辩或者听证情况等内容，告知申请行政复议或提起行政诉讼的权利。</w:t>
            </w:r>
          </w:p>
          <w:p w14:paraId="09414E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2EF15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05D7C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114368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EFF3C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C490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C4D61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0000B6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4F4A7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49D3A8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C26506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D0199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1BC3B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D63B4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18EB9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40CF9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39CB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1C034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D3234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973F7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72C03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03331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7C6C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3A1840B">
            <w:pPr>
              <w:snapToGrid w:val="0"/>
              <w:spacing w:line="240" w:lineRule="atLeast"/>
              <w:jc w:val="center"/>
              <w:rPr>
                <w:rFonts w:ascii="仿宋_GB2312" w:hAnsi="仿宋_GB2312" w:eastAsia="仿宋_GB2312" w:cs="仿宋_GB2312"/>
                <w:sz w:val="20"/>
                <w:szCs w:val="20"/>
              </w:rPr>
            </w:pPr>
          </w:p>
        </w:tc>
      </w:tr>
    </w:tbl>
    <w:p w14:paraId="3C743489"/>
    <w:p w14:paraId="1263C23A"/>
    <w:p w14:paraId="52A0B79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258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483C33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688B77F">
            <w:pPr>
              <w:spacing w:line="240" w:lineRule="atLeast"/>
              <w:rPr>
                <w:rFonts w:asciiTheme="majorEastAsia" w:hAnsiTheme="majorEastAsia" w:eastAsiaTheme="majorEastAsia" w:cstheme="majorEastAsia"/>
                <w:spacing w:val="-20"/>
                <w:sz w:val="20"/>
                <w:szCs w:val="20"/>
              </w:rPr>
            </w:pPr>
          </w:p>
          <w:p w14:paraId="1384F95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98BF65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765DBB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E905F1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5B2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D8F0838">
            <w:pPr>
              <w:spacing w:line="240" w:lineRule="atLeast"/>
              <w:jc w:val="left"/>
              <w:rPr>
                <w:rFonts w:ascii="仿宋_GB2312" w:hAnsi="仿宋_GB2312" w:eastAsia="仿宋_GB2312" w:cs="仿宋_GB2312"/>
                <w:sz w:val="20"/>
                <w:szCs w:val="20"/>
              </w:rPr>
            </w:pPr>
          </w:p>
        </w:tc>
        <w:tc>
          <w:tcPr>
            <w:tcW w:w="555" w:type="dxa"/>
            <w:vMerge w:val="continue"/>
          </w:tcPr>
          <w:p w14:paraId="28E077B1">
            <w:pPr>
              <w:spacing w:line="240" w:lineRule="atLeast"/>
              <w:jc w:val="left"/>
              <w:rPr>
                <w:rFonts w:ascii="仿宋_GB2312" w:hAnsi="仿宋_GB2312" w:eastAsia="仿宋_GB2312" w:cs="仿宋_GB2312"/>
                <w:sz w:val="20"/>
                <w:szCs w:val="20"/>
              </w:rPr>
            </w:pPr>
          </w:p>
        </w:tc>
        <w:tc>
          <w:tcPr>
            <w:tcW w:w="784" w:type="dxa"/>
            <w:vAlign w:val="center"/>
          </w:tcPr>
          <w:p w14:paraId="0A7D0DB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631C0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012C1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6AD934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802205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50C13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FBD29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94CE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E2DBC2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C2D853">
            <w:pPr>
              <w:spacing w:line="240" w:lineRule="atLeast"/>
              <w:jc w:val="left"/>
              <w:rPr>
                <w:rFonts w:ascii="仿宋_GB2312" w:hAnsi="仿宋_GB2312" w:eastAsia="仿宋_GB2312" w:cs="仿宋_GB2312"/>
                <w:sz w:val="20"/>
                <w:szCs w:val="20"/>
              </w:rPr>
            </w:pPr>
          </w:p>
        </w:tc>
      </w:tr>
      <w:tr w14:paraId="224E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AA3E7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170</w:t>
            </w:r>
          </w:p>
        </w:tc>
        <w:tc>
          <w:tcPr>
            <w:tcW w:w="555" w:type="dxa"/>
            <w:vAlign w:val="center"/>
          </w:tcPr>
          <w:p w14:paraId="62AEFC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C96DA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93F6C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20E44F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对违法获取、持有、提供、利用属于国家秘密的地理信息行为的处罚</w:t>
            </w:r>
          </w:p>
        </w:tc>
        <w:tc>
          <w:tcPr>
            <w:tcW w:w="660" w:type="dxa"/>
            <w:vAlign w:val="center"/>
          </w:tcPr>
          <w:p w14:paraId="3172941C">
            <w:pPr>
              <w:snapToGrid w:val="0"/>
              <w:spacing w:line="240" w:lineRule="atLeast"/>
              <w:jc w:val="center"/>
              <w:rPr>
                <w:rFonts w:ascii="仿宋_GB2312" w:hAnsi="仿宋_GB2312" w:eastAsia="仿宋_GB2312" w:cs="仿宋_GB2312"/>
                <w:sz w:val="20"/>
                <w:szCs w:val="20"/>
              </w:rPr>
            </w:pPr>
          </w:p>
        </w:tc>
        <w:tc>
          <w:tcPr>
            <w:tcW w:w="615" w:type="dxa"/>
            <w:vAlign w:val="center"/>
          </w:tcPr>
          <w:p w14:paraId="3A0157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9B50E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6DD2A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五条第二款：违反本法规定，获取、持有、提供、利用属于国家秘密的地理信息的，给予警告，责令停止违法行为，没收违法所得，可以并处违法所得二倍以下的罚款；对直接负责的主管人员和其他直接责任人员，依法给予处分；造成损失的，依法承担赔偿责任；构成犯罪的，依法追究刑事责任。</w:t>
            </w:r>
          </w:p>
        </w:tc>
        <w:tc>
          <w:tcPr>
            <w:tcW w:w="3585" w:type="dxa"/>
            <w:vAlign w:val="center"/>
          </w:tcPr>
          <w:p w14:paraId="6008EF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违法获取、持有、提供、利用属于国家秘密的地理信息的情况，应及时制止（对正在实施的违法行为，下达《责令停止违法行为通知书》）,并进行审查核实，符合立案条件的予以立案。</w:t>
            </w:r>
          </w:p>
          <w:p w14:paraId="128CE5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违法获取、持有、提供、利用属于国家秘密的地理信息的情况，并制作笔录。调查时允许当事人辩解陈述。执法人员应保守有关秘密。</w:t>
            </w:r>
          </w:p>
          <w:p w14:paraId="029921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E9BCB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3864A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违法获取、持有、提供、利用属于国家秘密的地理信息的事实进行认定，依法制作《行政处罚决定书》，载明违反法律法规或规章的事实和证据、行政处罚的具体依据和内容，告知当事人陈述申辩或者听证情况等内容，告知申请行政复议或提起行政诉讼的权利。</w:t>
            </w:r>
          </w:p>
          <w:p w14:paraId="3A17DD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05E704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06BEC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F2E019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3C19F6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FBBB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C627D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6E523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C7B37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61F2B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2E522D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0C4A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325B0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02F2C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9E19A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85E85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98A7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277EE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564DE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9E09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DF60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0D016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0C2D34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0F6E61D">
            <w:pPr>
              <w:snapToGrid w:val="0"/>
              <w:spacing w:line="240" w:lineRule="atLeast"/>
              <w:jc w:val="center"/>
              <w:rPr>
                <w:rFonts w:ascii="仿宋_GB2312" w:hAnsi="仿宋_GB2312" w:eastAsia="仿宋_GB2312" w:cs="仿宋_GB2312"/>
                <w:sz w:val="20"/>
                <w:szCs w:val="20"/>
              </w:rPr>
            </w:pPr>
          </w:p>
        </w:tc>
      </w:tr>
    </w:tbl>
    <w:p w14:paraId="38FA2D0C"/>
    <w:p w14:paraId="7495AC4F"/>
    <w:p w14:paraId="19CBB29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3CE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B6421D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7A7FBE4">
            <w:pPr>
              <w:spacing w:line="240" w:lineRule="atLeast"/>
              <w:rPr>
                <w:rFonts w:asciiTheme="majorEastAsia" w:hAnsiTheme="majorEastAsia" w:eastAsiaTheme="majorEastAsia" w:cstheme="majorEastAsia"/>
                <w:spacing w:val="-20"/>
                <w:sz w:val="20"/>
                <w:szCs w:val="20"/>
              </w:rPr>
            </w:pPr>
          </w:p>
          <w:p w14:paraId="77C10A9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3ACE09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E6F4D9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C5FD15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08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37683C2">
            <w:pPr>
              <w:spacing w:line="240" w:lineRule="atLeast"/>
              <w:jc w:val="left"/>
              <w:rPr>
                <w:rFonts w:ascii="仿宋_GB2312" w:hAnsi="仿宋_GB2312" w:eastAsia="仿宋_GB2312" w:cs="仿宋_GB2312"/>
                <w:sz w:val="20"/>
                <w:szCs w:val="20"/>
              </w:rPr>
            </w:pPr>
          </w:p>
        </w:tc>
        <w:tc>
          <w:tcPr>
            <w:tcW w:w="555" w:type="dxa"/>
            <w:vMerge w:val="continue"/>
          </w:tcPr>
          <w:p w14:paraId="656C72AD">
            <w:pPr>
              <w:spacing w:line="240" w:lineRule="atLeast"/>
              <w:jc w:val="left"/>
              <w:rPr>
                <w:rFonts w:ascii="仿宋_GB2312" w:hAnsi="仿宋_GB2312" w:eastAsia="仿宋_GB2312" w:cs="仿宋_GB2312"/>
                <w:sz w:val="20"/>
                <w:szCs w:val="20"/>
              </w:rPr>
            </w:pPr>
          </w:p>
        </w:tc>
        <w:tc>
          <w:tcPr>
            <w:tcW w:w="784" w:type="dxa"/>
            <w:vAlign w:val="center"/>
          </w:tcPr>
          <w:p w14:paraId="264406E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C989E5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62FA8A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CA4871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3211F3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AFFB5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E05F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B07E7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5C5579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3287768">
            <w:pPr>
              <w:spacing w:line="240" w:lineRule="atLeast"/>
              <w:jc w:val="left"/>
              <w:rPr>
                <w:rFonts w:ascii="仿宋_GB2312" w:hAnsi="仿宋_GB2312" w:eastAsia="仿宋_GB2312" w:cs="仿宋_GB2312"/>
                <w:sz w:val="20"/>
                <w:szCs w:val="20"/>
              </w:rPr>
            </w:pPr>
          </w:p>
        </w:tc>
      </w:tr>
      <w:tr w14:paraId="3A2A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35349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171</w:t>
            </w:r>
          </w:p>
        </w:tc>
        <w:tc>
          <w:tcPr>
            <w:tcW w:w="555" w:type="dxa"/>
            <w:vAlign w:val="center"/>
          </w:tcPr>
          <w:p w14:paraId="71C7EF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81E64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30F7B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DD832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对测绘成果保管单位未按照测绘成果资料的保管制度管理测绘成果资料，造成测绘成果资料损毁、散失行为的处罚</w:t>
            </w:r>
          </w:p>
        </w:tc>
        <w:tc>
          <w:tcPr>
            <w:tcW w:w="660" w:type="dxa"/>
            <w:vAlign w:val="center"/>
          </w:tcPr>
          <w:p w14:paraId="57762581">
            <w:pPr>
              <w:snapToGrid w:val="0"/>
              <w:spacing w:line="240" w:lineRule="atLeast"/>
              <w:jc w:val="center"/>
              <w:rPr>
                <w:rFonts w:ascii="仿宋_GB2312" w:hAnsi="仿宋_GB2312" w:eastAsia="仿宋_GB2312" w:cs="仿宋_GB2312"/>
                <w:sz w:val="20"/>
                <w:szCs w:val="20"/>
              </w:rPr>
            </w:pPr>
          </w:p>
        </w:tc>
        <w:tc>
          <w:tcPr>
            <w:tcW w:w="615" w:type="dxa"/>
            <w:vAlign w:val="center"/>
          </w:tcPr>
          <w:p w14:paraId="28A8F5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05AE6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4D736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5FF75D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（一）未按照测绘成果资料的保管制度管理测绘成果资料，造成测绘成果资料损毁、散失的。</w:t>
            </w:r>
          </w:p>
        </w:tc>
        <w:tc>
          <w:tcPr>
            <w:tcW w:w="3585" w:type="dxa"/>
            <w:vAlign w:val="center"/>
          </w:tcPr>
          <w:p w14:paraId="1BD401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未按照测绘成果资料的保管制度管理测绘成果资料，造成测绘成果资料损毁散失的情况，应及时制止（对正在实施的违法行为，下达《责令停止违法行为通知书》）,并进行审查核实，符合立案条件的予以立案。</w:t>
            </w:r>
          </w:p>
          <w:p w14:paraId="00B5B4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对测绘成果保管单位未按照测绘成果资料的保管制度管理测绘成果资料，造成测绘成果资料损毁散失的情况，并制作笔录。调查时允许当事人辩解陈述。执法人员应保守有关秘密。</w:t>
            </w:r>
          </w:p>
          <w:p w14:paraId="4B6B7D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9158A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230BF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保管单位未按照测绘成果资料的保管制度管理测绘成果资料，造成测绘成果资料损毁散失的事实进行认定，依法制作《行政处罚决定书》，载明违反法律法规或规章的事实和证据、行政处罚的具体依据和内容，告知当事人陈述申辩或者听证情况等内容，告知申请行政复议或提起行政诉讼的权利。</w:t>
            </w:r>
          </w:p>
          <w:p w14:paraId="2C4676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F6C5D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BD6BB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EEFD48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248BA5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E05F3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77CDF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3905B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9EE52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49F5B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392586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C0B4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288CF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3CA0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00310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36530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A5FF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6F763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A1586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DAE5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735BE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F4860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BF314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CB5F2EE">
            <w:pPr>
              <w:snapToGrid w:val="0"/>
              <w:spacing w:line="240" w:lineRule="atLeast"/>
              <w:jc w:val="center"/>
              <w:rPr>
                <w:rFonts w:ascii="仿宋_GB2312" w:hAnsi="仿宋_GB2312" w:eastAsia="仿宋_GB2312" w:cs="仿宋_GB2312"/>
                <w:sz w:val="20"/>
                <w:szCs w:val="20"/>
              </w:rPr>
            </w:pPr>
          </w:p>
        </w:tc>
      </w:tr>
    </w:tbl>
    <w:p w14:paraId="37F595EF"/>
    <w:p w14:paraId="72C1619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829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5CCA5E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D37B510">
            <w:pPr>
              <w:spacing w:line="240" w:lineRule="atLeast"/>
              <w:rPr>
                <w:rFonts w:asciiTheme="majorEastAsia" w:hAnsiTheme="majorEastAsia" w:eastAsiaTheme="majorEastAsia" w:cstheme="majorEastAsia"/>
                <w:spacing w:val="-20"/>
                <w:sz w:val="20"/>
                <w:szCs w:val="20"/>
              </w:rPr>
            </w:pPr>
          </w:p>
          <w:p w14:paraId="55EF0E1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9A59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818254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EC650C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E4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9FE9055">
            <w:pPr>
              <w:spacing w:line="240" w:lineRule="atLeast"/>
              <w:jc w:val="left"/>
              <w:rPr>
                <w:rFonts w:ascii="仿宋_GB2312" w:hAnsi="仿宋_GB2312" w:eastAsia="仿宋_GB2312" w:cs="仿宋_GB2312"/>
                <w:sz w:val="20"/>
                <w:szCs w:val="20"/>
              </w:rPr>
            </w:pPr>
          </w:p>
        </w:tc>
        <w:tc>
          <w:tcPr>
            <w:tcW w:w="555" w:type="dxa"/>
            <w:vMerge w:val="continue"/>
          </w:tcPr>
          <w:p w14:paraId="14D0FA5F">
            <w:pPr>
              <w:spacing w:line="240" w:lineRule="atLeast"/>
              <w:jc w:val="left"/>
              <w:rPr>
                <w:rFonts w:ascii="仿宋_GB2312" w:hAnsi="仿宋_GB2312" w:eastAsia="仿宋_GB2312" w:cs="仿宋_GB2312"/>
                <w:sz w:val="20"/>
                <w:szCs w:val="20"/>
              </w:rPr>
            </w:pPr>
          </w:p>
        </w:tc>
        <w:tc>
          <w:tcPr>
            <w:tcW w:w="784" w:type="dxa"/>
            <w:vAlign w:val="center"/>
          </w:tcPr>
          <w:p w14:paraId="79C6B4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E0EDD3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983BE2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4DE6AD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38A596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BC9975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0D672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F77B28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51ACA5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226CD87">
            <w:pPr>
              <w:spacing w:line="240" w:lineRule="atLeast"/>
              <w:jc w:val="left"/>
              <w:rPr>
                <w:rFonts w:ascii="仿宋_GB2312" w:hAnsi="仿宋_GB2312" w:eastAsia="仿宋_GB2312" w:cs="仿宋_GB2312"/>
                <w:sz w:val="20"/>
                <w:szCs w:val="20"/>
              </w:rPr>
            </w:pPr>
          </w:p>
        </w:tc>
      </w:tr>
      <w:tr w14:paraId="1D2E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AF63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172</w:t>
            </w:r>
          </w:p>
        </w:tc>
        <w:tc>
          <w:tcPr>
            <w:tcW w:w="555" w:type="dxa"/>
            <w:vAlign w:val="center"/>
          </w:tcPr>
          <w:p w14:paraId="3CA27D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FB0C6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857A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1C0836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对测绘成果保管单位擅自转让汇交的测绘成果资料行为的处罚</w:t>
            </w:r>
          </w:p>
        </w:tc>
        <w:tc>
          <w:tcPr>
            <w:tcW w:w="660" w:type="dxa"/>
            <w:vAlign w:val="center"/>
          </w:tcPr>
          <w:p w14:paraId="029D92F1">
            <w:pPr>
              <w:snapToGrid w:val="0"/>
              <w:spacing w:line="240" w:lineRule="atLeast"/>
              <w:jc w:val="center"/>
              <w:rPr>
                <w:rFonts w:ascii="仿宋_GB2312" w:hAnsi="仿宋_GB2312" w:eastAsia="仿宋_GB2312" w:cs="仿宋_GB2312"/>
                <w:sz w:val="20"/>
                <w:szCs w:val="20"/>
              </w:rPr>
            </w:pPr>
          </w:p>
        </w:tc>
        <w:tc>
          <w:tcPr>
            <w:tcW w:w="615" w:type="dxa"/>
            <w:vAlign w:val="center"/>
          </w:tcPr>
          <w:p w14:paraId="25275E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5814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77B09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1CC3BE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（二）擅自转让汇交的测绘成果资料的。</w:t>
            </w:r>
          </w:p>
          <w:p w14:paraId="48D9B3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3585" w:type="dxa"/>
            <w:vAlign w:val="center"/>
          </w:tcPr>
          <w:p w14:paraId="0EFCBC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擅自转让汇交的测绘成果资料的情况，应及时制止（对正在实施的违法行为，下达《责令停止违法行为通知书》）,并进行审查核实，符合立案条件的予以立案。</w:t>
            </w:r>
          </w:p>
          <w:p w14:paraId="28E215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保管单位擅自转让汇交的测绘成果资料的情况，并制作笔录。调查时允许当事人辩解陈述。执法人员应保守有关秘密。</w:t>
            </w:r>
          </w:p>
          <w:p w14:paraId="7B62AD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B4B6A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4B626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保管单位擅自转让汇交的测绘成果资料的事实进行认定，依法制作《行政处罚决定书》，载明违反法律法规或规章的事实和证据、行政处罚的具体依据和内容，告知当事人陈述申辩或者听证情况等内容，告知申请行政复议或提起行政诉讼的权利。</w:t>
            </w:r>
          </w:p>
          <w:p w14:paraId="401860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64812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AF2B8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A91D9F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6D0258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0C8E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F4CE91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F7F18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83996E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1A37F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0A1C1F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69A9D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7C93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BD250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80864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30168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4266B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07299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5C2D9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DCBB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3B8D5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EC339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2FA1DC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04912A3">
            <w:pPr>
              <w:snapToGrid w:val="0"/>
              <w:spacing w:line="240" w:lineRule="atLeast"/>
              <w:jc w:val="center"/>
              <w:rPr>
                <w:rFonts w:ascii="仿宋_GB2312" w:hAnsi="仿宋_GB2312" w:eastAsia="仿宋_GB2312" w:cs="仿宋_GB2312"/>
                <w:sz w:val="20"/>
                <w:szCs w:val="20"/>
              </w:rPr>
            </w:pPr>
          </w:p>
        </w:tc>
      </w:tr>
    </w:tbl>
    <w:p w14:paraId="5334B1DF"/>
    <w:p w14:paraId="5BA2482D"/>
    <w:p w14:paraId="07CC28D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6D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F17B8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47282CE">
            <w:pPr>
              <w:spacing w:line="240" w:lineRule="atLeast"/>
              <w:rPr>
                <w:rFonts w:asciiTheme="majorEastAsia" w:hAnsiTheme="majorEastAsia" w:eastAsiaTheme="majorEastAsia" w:cstheme="majorEastAsia"/>
                <w:spacing w:val="-20"/>
                <w:sz w:val="20"/>
                <w:szCs w:val="20"/>
              </w:rPr>
            </w:pPr>
          </w:p>
          <w:p w14:paraId="09124E3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B2FDB7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4497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A9A82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019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9F957B">
            <w:pPr>
              <w:spacing w:line="240" w:lineRule="atLeast"/>
              <w:jc w:val="left"/>
              <w:rPr>
                <w:rFonts w:ascii="仿宋_GB2312" w:hAnsi="仿宋_GB2312" w:eastAsia="仿宋_GB2312" w:cs="仿宋_GB2312"/>
                <w:sz w:val="20"/>
                <w:szCs w:val="20"/>
              </w:rPr>
            </w:pPr>
          </w:p>
        </w:tc>
        <w:tc>
          <w:tcPr>
            <w:tcW w:w="555" w:type="dxa"/>
            <w:vMerge w:val="continue"/>
          </w:tcPr>
          <w:p w14:paraId="33017EE2">
            <w:pPr>
              <w:spacing w:line="240" w:lineRule="atLeast"/>
              <w:jc w:val="left"/>
              <w:rPr>
                <w:rFonts w:ascii="仿宋_GB2312" w:hAnsi="仿宋_GB2312" w:eastAsia="仿宋_GB2312" w:cs="仿宋_GB2312"/>
                <w:sz w:val="20"/>
                <w:szCs w:val="20"/>
              </w:rPr>
            </w:pPr>
          </w:p>
        </w:tc>
        <w:tc>
          <w:tcPr>
            <w:tcW w:w="784" w:type="dxa"/>
            <w:vAlign w:val="center"/>
          </w:tcPr>
          <w:p w14:paraId="04379A7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D6F372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B3843E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3BB610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2152F6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C73FE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A8E9B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996F8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F9F02B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EFFB95">
            <w:pPr>
              <w:spacing w:line="240" w:lineRule="atLeast"/>
              <w:jc w:val="left"/>
              <w:rPr>
                <w:rFonts w:ascii="仿宋_GB2312" w:hAnsi="仿宋_GB2312" w:eastAsia="仿宋_GB2312" w:cs="仿宋_GB2312"/>
                <w:sz w:val="20"/>
                <w:szCs w:val="20"/>
              </w:rPr>
            </w:pPr>
          </w:p>
        </w:tc>
      </w:tr>
      <w:tr w14:paraId="329E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92F1B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173</w:t>
            </w:r>
          </w:p>
        </w:tc>
        <w:tc>
          <w:tcPr>
            <w:tcW w:w="555" w:type="dxa"/>
            <w:vAlign w:val="center"/>
          </w:tcPr>
          <w:p w14:paraId="7BB3C3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BBB07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7C22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60564D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对擅自复制、转让或者转借涉密测绘成果行为的处罚</w:t>
            </w:r>
          </w:p>
        </w:tc>
        <w:tc>
          <w:tcPr>
            <w:tcW w:w="660" w:type="dxa"/>
            <w:vAlign w:val="center"/>
          </w:tcPr>
          <w:p w14:paraId="68111AAF">
            <w:pPr>
              <w:snapToGrid w:val="0"/>
              <w:spacing w:line="240" w:lineRule="atLeast"/>
              <w:jc w:val="center"/>
              <w:rPr>
                <w:rFonts w:ascii="仿宋_GB2312" w:hAnsi="仿宋_GB2312" w:eastAsia="仿宋_GB2312" w:cs="仿宋_GB2312"/>
                <w:sz w:val="20"/>
                <w:szCs w:val="20"/>
              </w:rPr>
            </w:pPr>
          </w:p>
        </w:tc>
        <w:tc>
          <w:tcPr>
            <w:tcW w:w="615" w:type="dxa"/>
            <w:vAlign w:val="center"/>
          </w:tcPr>
          <w:p w14:paraId="0264C0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D84DA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DE289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3585" w:type="dxa"/>
            <w:vAlign w:val="center"/>
          </w:tcPr>
          <w:p w14:paraId="68A474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复制、转让或者转借涉密测绘成果的情况，应及时制止（对正在实施的违法行为，下达《责令停止违法行为通知书》）,并进行审查核实，符合立案条件的予以立案。</w:t>
            </w:r>
          </w:p>
          <w:p w14:paraId="264D3C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2.调查责任：执法人员不得少于两人，出示证件、表明身份；通过搜集证据、现场了解核实擅自复制、转让或者转借涉密测绘成果的情况，并制作笔录。调查时允许当事人辩解陈述。执法人员应保守有关秘密。</w:t>
            </w:r>
          </w:p>
          <w:p w14:paraId="21A5A3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DF8D8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2FCE0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擅自复制、转让或者转借涉密测绘成果的事实进行认定，依法制作《行政处罚决定书》，载明违反法律法规或规章的事实和证据、行政处罚的具体依据和内容，告知当事人陈述申辩或者听证情况等内容，告知申请行政复议或提起行政诉讼的权利。</w:t>
            </w:r>
          </w:p>
          <w:p w14:paraId="5FA457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6．送达责任：《绘行政处罚决定书》按法律规定的方式送达当事人。</w:t>
            </w:r>
          </w:p>
          <w:p w14:paraId="4A8568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8A9CC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AA65CA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1B21AD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AADBB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C5878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9121F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D0445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A1B3D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202606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DEC88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CA61B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22E40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712C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AC8E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306C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6CF0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80CAB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A700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5168F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83E44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C700E2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37BCB15">
            <w:pPr>
              <w:snapToGrid w:val="0"/>
              <w:spacing w:line="240" w:lineRule="atLeast"/>
              <w:jc w:val="center"/>
              <w:rPr>
                <w:rFonts w:ascii="仿宋_GB2312" w:hAnsi="仿宋_GB2312" w:eastAsia="仿宋_GB2312" w:cs="仿宋_GB2312"/>
                <w:sz w:val="20"/>
                <w:szCs w:val="20"/>
              </w:rPr>
            </w:pPr>
          </w:p>
        </w:tc>
      </w:tr>
    </w:tbl>
    <w:p w14:paraId="06DC6965"/>
    <w:p w14:paraId="21F5604D"/>
    <w:p w14:paraId="55F242E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906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80BCC7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D9DE111">
            <w:pPr>
              <w:spacing w:line="240" w:lineRule="atLeast"/>
              <w:rPr>
                <w:rFonts w:asciiTheme="majorEastAsia" w:hAnsiTheme="majorEastAsia" w:eastAsiaTheme="majorEastAsia" w:cstheme="majorEastAsia"/>
                <w:spacing w:val="-20"/>
                <w:sz w:val="20"/>
                <w:szCs w:val="20"/>
              </w:rPr>
            </w:pPr>
          </w:p>
          <w:p w14:paraId="1C98CAC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4F0F0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FE101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004D67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42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FA5DD4E">
            <w:pPr>
              <w:spacing w:line="240" w:lineRule="atLeast"/>
              <w:jc w:val="left"/>
              <w:rPr>
                <w:rFonts w:ascii="仿宋_GB2312" w:hAnsi="仿宋_GB2312" w:eastAsia="仿宋_GB2312" w:cs="仿宋_GB2312"/>
                <w:sz w:val="20"/>
                <w:szCs w:val="20"/>
              </w:rPr>
            </w:pPr>
          </w:p>
        </w:tc>
        <w:tc>
          <w:tcPr>
            <w:tcW w:w="555" w:type="dxa"/>
            <w:vMerge w:val="continue"/>
          </w:tcPr>
          <w:p w14:paraId="20961820">
            <w:pPr>
              <w:spacing w:line="240" w:lineRule="atLeast"/>
              <w:jc w:val="left"/>
              <w:rPr>
                <w:rFonts w:ascii="仿宋_GB2312" w:hAnsi="仿宋_GB2312" w:eastAsia="仿宋_GB2312" w:cs="仿宋_GB2312"/>
                <w:sz w:val="20"/>
                <w:szCs w:val="20"/>
              </w:rPr>
            </w:pPr>
          </w:p>
        </w:tc>
        <w:tc>
          <w:tcPr>
            <w:tcW w:w="784" w:type="dxa"/>
            <w:vAlign w:val="center"/>
          </w:tcPr>
          <w:p w14:paraId="4FFBA35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F2BE3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BAB707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D69D43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BAE38D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F7AC2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26508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CD8B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54503F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D72D32">
            <w:pPr>
              <w:spacing w:line="240" w:lineRule="atLeast"/>
              <w:jc w:val="left"/>
              <w:rPr>
                <w:rFonts w:ascii="仿宋_GB2312" w:hAnsi="仿宋_GB2312" w:eastAsia="仿宋_GB2312" w:cs="仿宋_GB2312"/>
                <w:sz w:val="20"/>
                <w:szCs w:val="20"/>
              </w:rPr>
            </w:pPr>
          </w:p>
        </w:tc>
      </w:tr>
      <w:tr w14:paraId="0FB1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8D78F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174</w:t>
            </w:r>
          </w:p>
        </w:tc>
        <w:tc>
          <w:tcPr>
            <w:tcW w:w="555" w:type="dxa"/>
            <w:vAlign w:val="center"/>
          </w:tcPr>
          <w:p w14:paraId="0F81F7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D63C5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480B0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E96E09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对测绘成果保管单位未依法向测绘成果的使用人提供测绘成果资料行为的处罚</w:t>
            </w:r>
          </w:p>
        </w:tc>
        <w:tc>
          <w:tcPr>
            <w:tcW w:w="660" w:type="dxa"/>
            <w:vAlign w:val="center"/>
          </w:tcPr>
          <w:p w14:paraId="304663F3">
            <w:pPr>
              <w:snapToGrid w:val="0"/>
              <w:spacing w:line="240" w:lineRule="atLeast"/>
              <w:jc w:val="center"/>
              <w:rPr>
                <w:rFonts w:ascii="仿宋_GB2312" w:hAnsi="仿宋_GB2312" w:eastAsia="仿宋_GB2312" w:cs="仿宋_GB2312"/>
                <w:sz w:val="20"/>
                <w:szCs w:val="20"/>
              </w:rPr>
            </w:pPr>
          </w:p>
        </w:tc>
        <w:tc>
          <w:tcPr>
            <w:tcW w:w="615" w:type="dxa"/>
            <w:vAlign w:val="center"/>
          </w:tcPr>
          <w:p w14:paraId="74345D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3A58A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E893F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　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07F13F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 未依法向测绘成果的使用人提供测绘成果资料的。</w:t>
            </w:r>
          </w:p>
        </w:tc>
        <w:tc>
          <w:tcPr>
            <w:tcW w:w="3585" w:type="dxa"/>
            <w:vAlign w:val="center"/>
          </w:tcPr>
          <w:p w14:paraId="360934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未依法向测绘成果的使用人提供测绘成果资料的情况，应及时制止（对正在实施的违法行为，下达《责令停止违法行为通知书》）,并进行审查核实，符合立案条件的予以立案。</w:t>
            </w:r>
          </w:p>
          <w:p w14:paraId="07CF16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保管单位未依法向测绘成果的使用人提供测绘成果资料的情况，并制作笔录。调查时允许当事人辩解陈述。执法人员应保守有关秘密。</w:t>
            </w:r>
          </w:p>
          <w:p w14:paraId="7354BD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59E87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374B4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成果保管单位未依法向测绘成果的使用人提供测绘成果资料的事实进行认定，依法制作《行政处罚决定书》，载明违反法律法规或规章的事实和证据、行政处罚的具体依据和内容，告知当事人陈述申辩或者听证情况等内容，告知申请行政复议或提起行政诉讼的权利。</w:t>
            </w:r>
          </w:p>
          <w:p w14:paraId="183631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BE7DA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01C26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2113E9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5E9DDC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9F539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A1CD26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780E04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7BA73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15ADD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056975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055B3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BAC48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FB8F9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0876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38A7B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C1B5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DCA7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E5402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10B9D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88100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E785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32045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01DD09E">
            <w:pPr>
              <w:snapToGrid w:val="0"/>
              <w:spacing w:line="240" w:lineRule="atLeast"/>
              <w:jc w:val="center"/>
              <w:rPr>
                <w:rFonts w:ascii="仿宋_GB2312" w:hAnsi="仿宋_GB2312" w:eastAsia="仿宋_GB2312" w:cs="仿宋_GB2312"/>
                <w:sz w:val="20"/>
                <w:szCs w:val="20"/>
              </w:rPr>
            </w:pPr>
          </w:p>
        </w:tc>
      </w:tr>
    </w:tbl>
    <w:p w14:paraId="57389510"/>
    <w:p w14:paraId="58AD506C"/>
    <w:p w14:paraId="4D903704"/>
    <w:p w14:paraId="42E0D8E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2E6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320D7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51D7086">
            <w:pPr>
              <w:spacing w:line="240" w:lineRule="atLeast"/>
              <w:rPr>
                <w:rFonts w:asciiTheme="majorEastAsia" w:hAnsiTheme="majorEastAsia" w:eastAsiaTheme="majorEastAsia" w:cstheme="majorEastAsia"/>
                <w:spacing w:val="-20"/>
                <w:sz w:val="20"/>
                <w:szCs w:val="20"/>
              </w:rPr>
            </w:pPr>
          </w:p>
          <w:p w14:paraId="1347279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AA5D14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2F61EB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EFDF10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D6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75EADA">
            <w:pPr>
              <w:spacing w:line="240" w:lineRule="atLeast"/>
              <w:jc w:val="left"/>
              <w:rPr>
                <w:rFonts w:ascii="仿宋_GB2312" w:hAnsi="仿宋_GB2312" w:eastAsia="仿宋_GB2312" w:cs="仿宋_GB2312"/>
                <w:sz w:val="20"/>
                <w:szCs w:val="20"/>
              </w:rPr>
            </w:pPr>
          </w:p>
        </w:tc>
        <w:tc>
          <w:tcPr>
            <w:tcW w:w="555" w:type="dxa"/>
            <w:vMerge w:val="continue"/>
          </w:tcPr>
          <w:p w14:paraId="4E0EA259">
            <w:pPr>
              <w:spacing w:line="240" w:lineRule="atLeast"/>
              <w:jc w:val="left"/>
              <w:rPr>
                <w:rFonts w:ascii="仿宋_GB2312" w:hAnsi="仿宋_GB2312" w:eastAsia="仿宋_GB2312" w:cs="仿宋_GB2312"/>
                <w:sz w:val="20"/>
                <w:szCs w:val="20"/>
              </w:rPr>
            </w:pPr>
          </w:p>
        </w:tc>
        <w:tc>
          <w:tcPr>
            <w:tcW w:w="784" w:type="dxa"/>
            <w:vAlign w:val="center"/>
          </w:tcPr>
          <w:p w14:paraId="060BB22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10A4F9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1065F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B3345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B1E169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86695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3C12D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C5B58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744C9A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1EFE36A">
            <w:pPr>
              <w:spacing w:line="240" w:lineRule="atLeast"/>
              <w:jc w:val="left"/>
              <w:rPr>
                <w:rFonts w:ascii="仿宋_GB2312" w:hAnsi="仿宋_GB2312" w:eastAsia="仿宋_GB2312" w:cs="仿宋_GB2312"/>
                <w:sz w:val="20"/>
                <w:szCs w:val="20"/>
              </w:rPr>
            </w:pPr>
          </w:p>
        </w:tc>
      </w:tr>
      <w:tr w14:paraId="62AE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085D0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175</w:t>
            </w:r>
          </w:p>
        </w:tc>
        <w:tc>
          <w:tcPr>
            <w:tcW w:w="555" w:type="dxa"/>
            <w:vAlign w:val="center"/>
          </w:tcPr>
          <w:p w14:paraId="4F2A1D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44101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437D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03979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对损毁、破坏测绘地理信息基础设施或者从事危害测绘地理信息基础设施安全和使用效能活动行为的处罚</w:t>
            </w:r>
          </w:p>
        </w:tc>
        <w:tc>
          <w:tcPr>
            <w:tcW w:w="660" w:type="dxa"/>
            <w:vAlign w:val="center"/>
          </w:tcPr>
          <w:p w14:paraId="44DCBB9F">
            <w:pPr>
              <w:snapToGrid w:val="0"/>
              <w:spacing w:line="240" w:lineRule="atLeast"/>
              <w:jc w:val="center"/>
              <w:rPr>
                <w:rFonts w:ascii="仿宋_GB2312" w:hAnsi="仿宋_GB2312" w:eastAsia="仿宋_GB2312" w:cs="仿宋_GB2312"/>
                <w:sz w:val="20"/>
                <w:szCs w:val="20"/>
              </w:rPr>
            </w:pPr>
          </w:p>
        </w:tc>
        <w:tc>
          <w:tcPr>
            <w:tcW w:w="615" w:type="dxa"/>
            <w:vAlign w:val="center"/>
          </w:tcPr>
          <w:p w14:paraId="49152A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45BFE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6E744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一条第一款：任何单位和个人不得损毁、破坏测绘地理信息基础设施，不得从事危害测绘地理信息基础设施安全和使用效能的活动。</w:t>
            </w:r>
          </w:p>
          <w:p w14:paraId="30BA9A0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四条：违反本条例第四十一条第一款规定，损毁、破坏测绘地理信息基础设施或者从事危害测绘地理信息基础设施安全和使用效能活动的，由县级以上人民政府测绘地理信息主管部门给予警告，责令改正，可以并处五千元以上十万元以下的罚款；情节严重的，可以并处十万元以上二十万元以下的罚款；对直接负责的主管人员和其他直接责任人员，依法给予处分；造成损失的，依法承担赔偿责任。</w:t>
            </w:r>
          </w:p>
        </w:tc>
        <w:tc>
          <w:tcPr>
            <w:tcW w:w="3585" w:type="dxa"/>
            <w:vAlign w:val="center"/>
          </w:tcPr>
          <w:p w14:paraId="6710F4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损毁、破坏测绘地理信息基础设施或者从事危害测绘地理信息基础设施安全和使用效能活动的情况，应及时制止（对正在实施的违法行为，下达《责令停止违法行为通知书》）,并进行审查核实，符合立案条件的予以立案。</w:t>
            </w:r>
          </w:p>
          <w:p w14:paraId="4AAAD5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损毁、破坏测绘地理信息基础设施或者从事危害测绘地理信息基础设施安全和使用效能活动的情况，并制作笔录。调查时允许当事人辩解陈述。执法人员应保守有关秘密。</w:t>
            </w:r>
          </w:p>
          <w:p w14:paraId="71C6EF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5E67F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BBC71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损毁、破坏测绘地理信息基础设施或者从事危害测绘地理信息基础设施安全和使用效能活动的事实进行认定，依法制作《行政处罚决定书》，载明违反法律法规或规章的事实和证据、行政处罚的具体依据和内容，告知当事人陈述申辩或者听证情况等内容，告知申请行政复议或提起行政诉讼的权利。</w:t>
            </w:r>
          </w:p>
          <w:p w14:paraId="7230FB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6．送达责任：《绘行政处罚决定书》按法律规定的方式送达当事人。</w:t>
            </w:r>
          </w:p>
          <w:p w14:paraId="787A2F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F50EC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E74EF9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B5496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CAA27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CDD47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923E0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73B83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96E8EC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93BAAF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5AFF0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1F6E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817AA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739E8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CE658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B030E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66B7E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6D61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A58AE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04B63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6AA42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44293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392C7EE">
            <w:pPr>
              <w:snapToGrid w:val="0"/>
              <w:spacing w:line="240" w:lineRule="atLeast"/>
              <w:jc w:val="center"/>
              <w:rPr>
                <w:rFonts w:ascii="仿宋_GB2312" w:hAnsi="仿宋_GB2312" w:eastAsia="仿宋_GB2312" w:cs="仿宋_GB2312"/>
                <w:sz w:val="20"/>
                <w:szCs w:val="20"/>
              </w:rPr>
            </w:pPr>
          </w:p>
        </w:tc>
      </w:tr>
    </w:tbl>
    <w:p w14:paraId="1986331D"/>
    <w:p w14:paraId="42089FA6"/>
    <w:p w14:paraId="1EF6BB7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9FD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A8C34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897730C">
            <w:pPr>
              <w:spacing w:line="240" w:lineRule="atLeast"/>
              <w:rPr>
                <w:rFonts w:asciiTheme="majorEastAsia" w:hAnsiTheme="majorEastAsia" w:eastAsiaTheme="majorEastAsia" w:cstheme="majorEastAsia"/>
                <w:spacing w:val="-20"/>
                <w:sz w:val="20"/>
                <w:szCs w:val="20"/>
              </w:rPr>
            </w:pPr>
          </w:p>
          <w:p w14:paraId="5C04312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AD8C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B67C5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18499D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E07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7980897">
            <w:pPr>
              <w:spacing w:line="240" w:lineRule="atLeast"/>
              <w:jc w:val="left"/>
              <w:rPr>
                <w:rFonts w:ascii="仿宋_GB2312" w:hAnsi="仿宋_GB2312" w:eastAsia="仿宋_GB2312" w:cs="仿宋_GB2312"/>
                <w:sz w:val="20"/>
                <w:szCs w:val="20"/>
              </w:rPr>
            </w:pPr>
          </w:p>
        </w:tc>
        <w:tc>
          <w:tcPr>
            <w:tcW w:w="555" w:type="dxa"/>
            <w:vMerge w:val="continue"/>
          </w:tcPr>
          <w:p w14:paraId="50235A04">
            <w:pPr>
              <w:spacing w:line="240" w:lineRule="atLeast"/>
              <w:jc w:val="left"/>
              <w:rPr>
                <w:rFonts w:ascii="仿宋_GB2312" w:hAnsi="仿宋_GB2312" w:eastAsia="仿宋_GB2312" w:cs="仿宋_GB2312"/>
                <w:sz w:val="20"/>
                <w:szCs w:val="20"/>
              </w:rPr>
            </w:pPr>
          </w:p>
        </w:tc>
        <w:tc>
          <w:tcPr>
            <w:tcW w:w="784" w:type="dxa"/>
            <w:vAlign w:val="center"/>
          </w:tcPr>
          <w:p w14:paraId="19EC6B1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57BD2B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CFAF2C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C0836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F8085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9529D5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2AD8E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339BAB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895A23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6D2C70">
            <w:pPr>
              <w:spacing w:line="240" w:lineRule="atLeast"/>
              <w:jc w:val="left"/>
              <w:rPr>
                <w:rFonts w:ascii="仿宋_GB2312" w:hAnsi="仿宋_GB2312" w:eastAsia="仿宋_GB2312" w:cs="仿宋_GB2312"/>
                <w:sz w:val="20"/>
                <w:szCs w:val="20"/>
              </w:rPr>
            </w:pPr>
          </w:p>
        </w:tc>
      </w:tr>
      <w:tr w14:paraId="33DF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0DA0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176</w:t>
            </w:r>
          </w:p>
        </w:tc>
        <w:tc>
          <w:tcPr>
            <w:tcW w:w="555" w:type="dxa"/>
            <w:vAlign w:val="center"/>
          </w:tcPr>
          <w:p w14:paraId="0A9F30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6B2C1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6E674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75BED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对测绘单位将测绘项目违法分包行为的处罚</w:t>
            </w:r>
          </w:p>
        </w:tc>
        <w:tc>
          <w:tcPr>
            <w:tcW w:w="660" w:type="dxa"/>
            <w:vAlign w:val="center"/>
          </w:tcPr>
          <w:p w14:paraId="0A50F90C">
            <w:pPr>
              <w:snapToGrid w:val="0"/>
              <w:spacing w:line="240" w:lineRule="atLeast"/>
              <w:jc w:val="center"/>
              <w:rPr>
                <w:rFonts w:ascii="仿宋_GB2312" w:hAnsi="仿宋_GB2312" w:eastAsia="仿宋_GB2312" w:cs="仿宋_GB2312"/>
                <w:sz w:val="20"/>
                <w:szCs w:val="20"/>
              </w:rPr>
            </w:pPr>
          </w:p>
        </w:tc>
        <w:tc>
          <w:tcPr>
            <w:tcW w:w="615" w:type="dxa"/>
            <w:vAlign w:val="center"/>
          </w:tcPr>
          <w:p w14:paraId="291D0F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5BF85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308B8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六条第三款：测绘单位不得将承包的测绘项目转包。测绘单位拟将测绘项目部分非主体、非关键性工作分包的，应当在投标文件中载明；接受分包的单位应当具备相应的测绘资质条件，不得将测绘项目再次分包。</w:t>
            </w:r>
          </w:p>
          <w:p w14:paraId="4E3AC05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第五十五条：违反本条例第四十六条第三款规定，测绘单位将测绘项目违法分包的，由县级以上人民政府测绘地理信息主管部门责令改正，没收违法所得，处分包项目金额千分之五以上千分之十以下的罚款。</w:t>
            </w:r>
          </w:p>
        </w:tc>
        <w:tc>
          <w:tcPr>
            <w:tcW w:w="3585" w:type="dxa"/>
            <w:vAlign w:val="center"/>
          </w:tcPr>
          <w:p w14:paraId="3944A6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单位将测绘项目违法分包的情况，应及时制止（对正在实施的违法行为，下达《责令停止违法行为通知书》）,并进行审查核实，符合立案条件的予以立案。</w:t>
            </w:r>
          </w:p>
          <w:p w14:paraId="7CD9785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2.调查责任：执法人员不得少于两人，出示证件、表明身份；通过搜集证据、现场了解核实测绘单位将测绘项目违法分包的情况，并制作笔录。调查时允许当事人辩解陈述。执法人员应保守有关秘密。</w:t>
            </w:r>
          </w:p>
          <w:p w14:paraId="7A3FF2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35502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114EA6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单位将测绘项目违法分包的事实进行认定，依法制作《行政处罚决定书》，载明违反法律法规或规章的事实和证据、行政处罚的具体依据和内容，告知当事人陈述申辩或者听证情况等内容，告知申请行政复议或提起行政诉讼的权利。</w:t>
            </w:r>
          </w:p>
          <w:p w14:paraId="2924C4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5916C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19E17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D2E3BA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B2074F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F454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FBB86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169D2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92B9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FEF91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B08A54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68915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70CF1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5E59D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7BC5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E6C03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6E72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2CCC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34E7F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B3F86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0C94B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00C0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2DC51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A548842">
            <w:pPr>
              <w:snapToGrid w:val="0"/>
              <w:spacing w:line="240" w:lineRule="atLeast"/>
              <w:jc w:val="center"/>
              <w:rPr>
                <w:rFonts w:ascii="仿宋_GB2312" w:hAnsi="仿宋_GB2312" w:eastAsia="仿宋_GB2312" w:cs="仿宋_GB2312"/>
                <w:sz w:val="20"/>
                <w:szCs w:val="20"/>
              </w:rPr>
            </w:pPr>
          </w:p>
        </w:tc>
      </w:tr>
    </w:tbl>
    <w:p w14:paraId="49C95DE8"/>
    <w:p w14:paraId="61066B94"/>
    <w:p w14:paraId="174B00C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9FF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DA06C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2D1FC2C">
            <w:pPr>
              <w:spacing w:line="240" w:lineRule="atLeast"/>
              <w:rPr>
                <w:rFonts w:asciiTheme="majorEastAsia" w:hAnsiTheme="majorEastAsia" w:eastAsiaTheme="majorEastAsia" w:cstheme="majorEastAsia"/>
                <w:spacing w:val="-20"/>
                <w:sz w:val="20"/>
                <w:szCs w:val="20"/>
              </w:rPr>
            </w:pPr>
          </w:p>
          <w:p w14:paraId="364EBA5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5EA4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8DE223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424F98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4D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36DBB23">
            <w:pPr>
              <w:spacing w:line="240" w:lineRule="atLeast"/>
              <w:jc w:val="left"/>
              <w:rPr>
                <w:rFonts w:ascii="仿宋_GB2312" w:hAnsi="仿宋_GB2312" w:eastAsia="仿宋_GB2312" w:cs="仿宋_GB2312"/>
                <w:sz w:val="20"/>
                <w:szCs w:val="20"/>
              </w:rPr>
            </w:pPr>
          </w:p>
        </w:tc>
        <w:tc>
          <w:tcPr>
            <w:tcW w:w="555" w:type="dxa"/>
            <w:vMerge w:val="continue"/>
          </w:tcPr>
          <w:p w14:paraId="6609D116">
            <w:pPr>
              <w:spacing w:line="240" w:lineRule="atLeast"/>
              <w:jc w:val="left"/>
              <w:rPr>
                <w:rFonts w:ascii="仿宋_GB2312" w:hAnsi="仿宋_GB2312" w:eastAsia="仿宋_GB2312" w:cs="仿宋_GB2312"/>
                <w:sz w:val="20"/>
                <w:szCs w:val="20"/>
              </w:rPr>
            </w:pPr>
          </w:p>
        </w:tc>
        <w:tc>
          <w:tcPr>
            <w:tcW w:w="784" w:type="dxa"/>
            <w:vAlign w:val="center"/>
          </w:tcPr>
          <w:p w14:paraId="71936C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0B9B17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F7EFEF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E295B0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362278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755D7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5F81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CC44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37BD7A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FFE71FD">
            <w:pPr>
              <w:spacing w:line="240" w:lineRule="atLeast"/>
              <w:jc w:val="left"/>
              <w:rPr>
                <w:rFonts w:ascii="仿宋_GB2312" w:hAnsi="仿宋_GB2312" w:eastAsia="仿宋_GB2312" w:cs="仿宋_GB2312"/>
                <w:sz w:val="20"/>
                <w:szCs w:val="20"/>
              </w:rPr>
            </w:pPr>
          </w:p>
        </w:tc>
      </w:tr>
      <w:tr w14:paraId="7C85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28E0E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177</w:t>
            </w:r>
          </w:p>
        </w:tc>
        <w:tc>
          <w:tcPr>
            <w:tcW w:w="555" w:type="dxa"/>
            <w:vAlign w:val="center"/>
          </w:tcPr>
          <w:p w14:paraId="3A90B8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530AD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D67B18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9ED860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对测绘单位实施测绘项目不按照规定备案行为的处罚</w:t>
            </w:r>
          </w:p>
        </w:tc>
        <w:tc>
          <w:tcPr>
            <w:tcW w:w="660" w:type="dxa"/>
            <w:vAlign w:val="center"/>
          </w:tcPr>
          <w:p w14:paraId="074523B7">
            <w:pPr>
              <w:snapToGrid w:val="0"/>
              <w:spacing w:line="240" w:lineRule="atLeast"/>
              <w:jc w:val="center"/>
              <w:rPr>
                <w:rFonts w:ascii="仿宋_GB2312" w:hAnsi="仿宋_GB2312" w:eastAsia="仿宋_GB2312" w:cs="仿宋_GB2312"/>
                <w:sz w:val="20"/>
                <w:szCs w:val="20"/>
              </w:rPr>
            </w:pPr>
          </w:p>
        </w:tc>
        <w:tc>
          <w:tcPr>
            <w:tcW w:w="615" w:type="dxa"/>
            <w:vAlign w:val="center"/>
          </w:tcPr>
          <w:p w14:paraId="28D7B4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9100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A51BF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八条第一款：使用财政资金或者所在地为国界线本自治区一侧两千米范围内的测绘项目，测绘单位应当在实施该项目前，向项目所在地县级以上人民政府测绘地理信息主管部门备案。</w:t>
            </w:r>
          </w:p>
          <w:p w14:paraId="6864A7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违反本条例第四十八条第一款规定，测绘单位实施测绘项目不按照规定备案的，由县级以上人民政府测绘地理信息主管部门给予警告，责令限期改正；逾期不改正的，处五千元以上五万元以下的罚款。</w:t>
            </w:r>
          </w:p>
        </w:tc>
        <w:tc>
          <w:tcPr>
            <w:tcW w:w="3585" w:type="dxa"/>
            <w:vAlign w:val="center"/>
          </w:tcPr>
          <w:p w14:paraId="7C2734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单位实施测绘项目不按照规定备案的情况，应及时制止（对正在实施的违法行为，下达《责令停止违法行为通知书》）,并进行审查核实，符合立案条件的予以立案。</w:t>
            </w:r>
          </w:p>
          <w:p w14:paraId="0343F2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2.调查责任：执法人员不得少于两人，出示证件、表明身份；通过搜集证据、现场了解核实测绘单位实施测绘项目不按照规定备案的情况，并制作笔录。调查时允许当事人辩解陈述。执法人员应保守有关秘密。</w:t>
            </w:r>
          </w:p>
          <w:p w14:paraId="50AE39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5B70A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BF674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单位实施测绘项目不按照规定备案的事实进行认定，依法制作《行政处罚决定书》，载明违反法律法规或规章的事实和证据、行政处罚的具体依据和内容，告知当事人陈述申辩或者听证情况等内容，告知申请行政复议或提起行政诉讼的权利。</w:t>
            </w:r>
          </w:p>
          <w:p w14:paraId="4B2980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2DCB0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12862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2AF44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8BF03C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1F47D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9DBAB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B79AB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AB874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25A28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631D8C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B86B1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BD54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8E1A1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069A1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A59A6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F087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9301F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B953A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64DE1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4F7A9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1801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D9BE4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52D5662">
            <w:pPr>
              <w:snapToGrid w:val="0"/>
              <w:spacing w:line="240" w:lineRule="atLeast"/>
              <w:jc w:val="center"/>
              <w:rPr>
                <w:rFonts w:ascii="仿宋_GB2312" w:hAnsi="仿宋_GB2312" w:eastAsia="仿宋_GB2312" w:cs="仿宋_GB2312"/>
                <w:sz w:val="20"/>
                <w:szCs w:val="20"/>
              </w:rPr>
            </w:pPr>
          </w:p>
        </w:tc>
      </w:tr>
    </w:tbl>
    <w:p w14:paraId="05D24083"/>
    <w:p w14:paraId="3317A7AC"/>
    <w:p w14:paraId="4E6A5CF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F9A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BEEE67">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lang w:bidi="ar"/>
              </w:rPr>
              <w:t>序 号</w:t>
            </w:r>
          </w:p>
        </w:tc>
        <w:tc>
          <w:tcPr>
            <w:tcW w:w="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443932">
            <w:pPr>
              <w:spacing w:line="240" w:lineRule="atLeast"/>
              <w:rPr>
                <w:rFonts w:ascii="宋体" w:hAnsi="宋体" w:eastAsia="宋体" w:cs="宋体"/>
                <w:spacing w:val="-20"/>
                <w:sz w:val="20"/>
                <w:szCs w:val="20"/>
              </w:rPr>
            </w:pPr>
          </w:p>
          <w:p w14:paraId="5EDFAF55">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lang w:bidi="ar"/>
              </w:rPr>
              <w:t>权力分类</w:t>
            </w:r>
          </w:p>
        </w:tc>
        <w:tc>
          <w:tcPr>
            <w:tcW w:w="777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5A13FA1">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权力清单</w:t>
            </w:r>
          </w:p>
        </w:tc>
        <w:tc>
          <w:tcPr>
            <w:tcW w:w="13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CAFFCF">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责任清单</w:t>
            </w:r>
          </w:p>
        </w:tc>
        <w:tc>
          <w:tcPr>
            <w:tcW w:w="3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7DD916">
            <w:pPr>
              <w:snapToGrid w:val="0"/>
              <w:spacing w:line="240" w:lineRule="atLeast"/>
              <w:rPr>
                <w:rFonts w:ascii="宋体" w:hAnsi="宋体" w:eastAsia="宋体" w:cs="宋体"/>
                <w:sz w:val="28"/>
                <w:szCs w:val="28"/>
              </w:rPr>
            </w:pPr>
            <w:r>
              <w:rPr>
                <w:rFonts w:hint="eastAsia" w:ascii="宋体" w:hAnsi="宋体" w:eastAsia="宋体" w:cs="宋体"/>
                <w:sz w:val="20"/>
                <w:szCs w:val="20"/>
                <w:lang w:bidi="ar"/>
              </w:rPr>
              <w:t>备注</w:t>
            </w:r>
          </w:p>
        </w:tc>
      </w:tr>
      <w:tr w14:paraId="4DC3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7E7C9">
            <w:pPr>
              <w:rPr>
                <w:rFonts w:ascii="Times New Roman" w:hAnsi="Times New Roman" w:cs="Times New Roman"/>
                <w:sz w:val="20"/>
                <w:szCs w:val="20"/>
              </w:rPr>
            </w:pPr>
          </w:p>
        </w:tc>
        <w:tc>
          <w:tcPr>
            <w:tcW w:w="55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EDAEDC">
            <w:pPr>
              <w:rPr>
                <w:rFonts w:ascii="Times New Roman" w:hAnsi="Times New Roman" w:cs="Times New Roman"/>
                <w:sz w:val="20"/>
                <w:szCs w:val="20"/>
              </w:rPr>
            </w:pP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5043DAE3">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项 目</w:t>
            </w:r>
          </w:p>
          <w:p w14:paraId="588626EC">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名 称</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5282711">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lang w:bidi="ar"/>
              </w:rPr>
              <w:t>子项名 称</w:t>
            </w: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36B754B6">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lang w:bidi="ar"/>
              </w:rPr>
              <w:t>实施主体</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328115E2">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lang w:bidi="ar"/>
              </w:rPr>
              <w:t>承办的内设机构和单位</w:t>
            </w:r>
          </w:p>
        </w:tc>
        <w:tc>
          <w:tcPr>
            <w:tcW w:w="4605" w:type="dxa"/>
            <w:tcBorders>
              <w:top w:val="single" w:color="auto" w:sz="4" w:space="0"/>
              <w:left w:val="single" w:color="auto" w:sz="4" w:space="0"/>
              <w:bottom w:val="single" w:color="auto" w:sz="4" w:space="0"/>
              <w:right w:val="single" w:color="auto" w:sz="4" w:space="0"/>
            </w:tcBorders>
            <w:shd w:val="clear" w:color="auto" w:fill="auto"/>
            <w:vAlign w:val="center"/>
          </w:tcPr>
          <w:p w14:paraId="1C1B97C7">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实施依据</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14:paraId="7C774BDB">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责任事项</w:t>
            </w:r>
          </w:p>
          <w:p w14:paraId="1D42DA9A">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（明确责任主体）</w:t>
            </w:r>
          </w:p>
        </w:tc>
        <w:tc>
          <w:tcPr>
            <w:tcW w:w="9515" w:type="dxa"/>
            <w:tcBorders>
              <w:top w:val="single" w:color="auto" w:sz="4" w:space="0"/>
              <w:left w:val="single" w:color="auto" w:sz="4" w:space="0"/>
              <w:bottom w:val="single" w:color="auto" w:sz="4" w:space="0"/>
              <w:right w:val="single" w:color="auto" w:sz="4" w:space="0"/>
            </w:tcBorders>
            <w:shd w:val="clear" w:color="auto" w:fill="auto"/>
            <w:vAlign w:val="center"/>
          </w:tcPr>
          <w:p w14:paraId="0CE5F03A">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lang w:bidi="ar"/>
              </w:rPr>
              <w:t>责任事项依据</w:t>
            </w:r>
          </w:p>
        </w:tc>
        <w:tc>
          <w:tcPr>
            <w:tcW w:w="3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E31727">
            <w:pPr>
              <w:rPr>
                <w:rFonts w:ascii="Times New Roman" w:hAnsi="Times New Roman" w:cs="Times New Roman"/>
                <w:sz w:val="20"/>
                <w:szCs w:val="20"/>
              </w:rPr>
            </w:pPr>
          </w:p>
        </w:tc>
      </w:tr>
      <w:tr w14:paraId="121E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532ECB20">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178</w:t>
            </w:r>
          </w:p>
        </w:tc>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0A752799">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行</w:t>
            </w:r>
          </w:p>
          <w:p w14:paraId="3FB42A94">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政</w:t>
            </w:r>
          </w:p>
          <w:p w14:paraId="243C56ED">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处罚</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5B4AE452">
            <w:pPr>
              <w:snapToGrid w:val="0"/>
              <w:spacing w:line="240" w:lineRule="atLeast"/>
              <w:jc w:val="center"/>
              <w:rPr>
                <w:rFonts w:ascii="仿宋_GB2312" w:eastAsia="仿宋_GB2312" w:cs="仿宋_GB2312"/>
                <w:sz w:val="20"/>
                <w:szCs w:val="20"/>
              </w:rPr>
            </w:pPr>
            <w:r>
              <w:rPr>
                <w:rFonts w:hint="eastAsia" w:ascii="仿宋_GB2312" w:eastAsia="仿宋_GB2312" w:cs="仿宋_GB2312"/>
                <w:sz w:val="20"/>
                <w:szCs w:val="20"/>
              </w:rPr>
              <w:t>对非法占用永久基本农田发展林果业或者挖塘养鱼行为的处罚</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94A60BF">
            <w:pPr>
              <w:snapToGrid w:val="0"/>
              <w:spacing w:line="240" w:lineRule="atLeast"/>
              <w:jc w:val="center"/>
              <w:rPr>
                <w:rFonts w:ascii="仿宋_GB2312" w:eastAsia="仿宋_GB2312" w:cs="仿宋_GB2312"/>
                <w:sz w:val="20"/>
                <w:szCs w:val="20"/>
              </w:rPr>
            </w:pPr>
          </w:p>
        </w:tc>
        <w:tc>
          <w:tcPr>
            <w:tcW w:w="615" w:type="dxa"/>
            <w:tcBorders>
              <w:top w:val="single" w:color="auto" w:sz="4" w:space="0"/>
              <w:left w:val="single" w:color="auto" w:sz="4" w:space="0"/>
              <w:bottom w:val="single" w:color="auto" w:sz="4" w:space="0"/>
              <w:right w:val="single" w:color="auto" w:sz="4" w:space="0"/>
            </w:tcBorders>
            <w:shd w:val="clear" w:color="auto" w:fill="auto"/>
            <w:vAlign w:val="center"/>
          </w:tcPr>
          <w:p w14:paraId="57AA87D1">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玉林市自然资源局</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AB9AF69">
            <w:pPr>
              <w:snapToGrid w:val="0"/>
              <w:spacing w:line="240" w:lineRule="atLeast"/>
              <w:jc w:val="center"/>
              <w:rPr>
                <w:rFonts w:ascii="仿宋_GB2312" w:eastAsia="仿宋_GB2312" w:cs="仿宋_GB2312"/>
                <w:sz w:val="20"/>
                <w:szCs w:val="20"/>
              </w:rPr>
            </w:pPr>
            <w:r>
              <w:rPr>
                <w:rFonts w:hint="eastAsia" w:ascii="仿宋_GB2312" w:hAnsi="Calibri" w:eastAsia="仿宋_GB2312" w:cs="仿宋_GB2312"/>
                <w:sz w:val="20"/>
                <w:szCs w:val="20"/>
                <w:lang w:bidi="ar"/>
              </w:rPr>
              <w:t>政策法规和执法督察科</w:t>
            </w:r>
          </w:p>
        </w:tc>
        <w:tc>
          <w:tcPr>
            <w:tcW w:w="4605" w:type="dxa"/>
            <w:tcBorders>
              <w:top w:val="single" w:color="auto" w:sz="4" w:space="0"/>
              <w:left w:val="single" w:color="auto" w:sz="4" w:space="0"/>
              <w:bottom w:val="single" w:color="auto" w:sz="4" w:space="0"/>
              <w:right w:val="single" w:color="auto" w:sz="4" w:space="0"/>
            </w:tcBorders>
            <w:shd w:val="clear" w:color="auto" w:fill="auto"/>
            <w:vAlign w:val="center"/>
          </w:tcPr>
          <w:p w14:paraId="4F8A2F6F">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1.【法律】《中华人民共和国土地管理法》第三十七条：非农业建设必须节约使用土地，可以利用荒地的，不得占用耕地；可以利用劣地的，不得占用好地。</w:t>
            </w:r>
          </w:p>
          <w:p w14:paraId="44A7B47D">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禁止占用耕地建窑、建坟或者擅自在耕地上建房、挖砂、采石、采矿、取土等。</w:t>
            </w:r>
          </w:p>
          <w:p w14:paraId="59C9AFDF">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禁止占用永久基本农田发展林果业和挖塘养鱼。</w:t>
            </w:r>
          </w:p>
          <w:p w14:paraId="3531BB63">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第七十五条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4E9E6685">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行政法规】《中华人民共和国土地管理法实施条例》（1998年国务院令第256号，2021年国务院令第743号第三次修订）第五十一条：违反《土地管理法》第三十七条的规定，非法占用永久基本农田发展林果业或者挖塘养鱼的，由县级以上人民政府自然资源主管部门责令限期改正；逾期不改正的，按占用面积处耕地开垦费2倍以上5倍以下的罚款；破坏种植条件的，依照《土地管理法》第七十五条的规定处罚。</w:t>
            </w:r>
          </w:p>
        </w:tc>
        <w:tc>
          <w:tcPr>
            <w:tcW w:w="3585" w:type="dxa"/>
            <w:tcBorders>
              <w:top w:val="single" w:color="auto" w:sz="4" w:space="0"/>
              <w:left w:val="single" w:color="auto" w:sz="4" w:space="0"/>
              <w:bottom w:val="single" w:color="auto" w:sz="4" w:space="0"/>
              <w:right w:val="single" w:color="auto" w:sz="4" w:space="0"/>
            </w:tcBorders>
            <w:shd w:val="clear" w:color="auto" w:fill="auto"/>
            <w:vAlign w:val="center"/>
          </w:tcPr>
          <w:p w14:paraId="5B31EAA2">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1.立案阶段责任：接到举报或相关部门转送、巡查发现违法行为，及时予以审查，决定是否立案。下达《责令停止违法行为通知书》。</w:t>
            </w:r>
          </w:p>
          <w:p w14:paraId="5EB568AC">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494121B">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00175C0">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23CA09B3">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5.决定阶段责任：制作行政处罚决定书，载明行政处罚告知、当事人陈述申辩或者听证情况等内容。符合刑事案件移送条件的，及时移送。</w:t>
            </w:r>
          </w:p>
          <w:p w14:paraId="1D16773A">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6.送达阶段责任：行政处罚决定书按法律规定的方式送达当事人。</w:t>
            </w:r>
          </w:p>
          <w:p w14:paraId="48CFE2FD">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7.执行阶段责任：当事人履行处罚决定的，及时结案；未履行处罚决定，依照生效的行政处罚决定，按程序下达催缴（告）通知书和申请人民法院强制执行。</w:t>
            </w:r>
          </w:p>
          <w:p w14:paraId="1C63B0C3">
            <w:pPr>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8.其他法律法规规章文件规定应履行的责任。</w:t>
            </w:r>
          </w:p>
        </w:tc>
        <w:tc>
          <w:tcPr>
            <w:tcW w:w="9515" w:type="dxa"/>
            <w:tcBorders>
              <w:top w:val="single" w:color="auto" w:sz="4" w:space="0"/>
              <w:left w:val="single" w:color="auto" w:sz="4" w:space="0"/>
              <w:bottom w:val="single" w:color="auto" w:sz="4" w:space="0"/>
              <w:right w:val="single" w:color="auto" w:sz="4" w:space="0"/>
            </w:tcBorders>
            <w:shd w:val="clear" w:color="auto" w:fill="auto"/>
            <w:vAlign w:val="center"/>
          </w:tcPr>
          <w:p w14:paraId="2A4CED7F">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5D05A64">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EB880AA">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503E5491">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F3F8B57">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401E168C">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7D6E2209">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29F5B1">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80F74BC">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DC0C9C">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6C0185">
            <w:pPr>
              <w:autoSpaceDE w:val="0"/>
              <w:snapToGrid w:val="0"/>
              <w:spacing w:line="240" w:lineRule="atLeast"/>
              <w:ind w:firstLine="400" w:firstLineChars="200"/>
              <w:rPr>
                <w:rFonts w:ascii="仿宋_GB2312" w:eastAsia="仿宋_GB2312" w:cs="仿宋_GB2312"/>
                <w:sz w:val="20"/>
                <w:szCs w:val="20"/>
              </w:rPr>
            </w:pPr>
            <w:r>
              <w:rPr>
                <w:rFonts w:hint="eastAsia" w:ascii="仿宋_GB2312"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single" w:color="auto" w:sz="4" w:space="0"/>
              <w:bottom w:val="single" w:color="auto" w:sz="4" w:space="0"/>
              <w:right w:val="single" w:color="auto" w:sz="4" w:space="0"/>
            </w:tcBorders>
            <w:shd w:val="clear" w:color="auto" w:fill="auto"/>
            <w:vAlign w:val="center"/>
          </w:tcPr>
          <w:p w14:paraId="2A27BF3C">
            <w:pPr>
              <w:snapToGrid w:val="0"/>
              <w:spacing w:line="240" w:lineRule="atLeast"/>
              <w:jc w:val="center"/>
              <w:rPr>
                <w:rFonts w:ascii="仿宋_GB2312" w:eastAsia="仿宋_GB2312" w:cs="仿宋_GB2312"/>
                <w:sz w:val="20"/>
                <w:szCs w:val="20"/>
              </w:rPr>
            </w:pPr>
          </w:p>
        </w:tc>
      </w:tr>
    </w:tbl>
    <w:p w14:paraId="475E2667"/>
    <w:p w14:paraId="1BA19DE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150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3E2312">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lang w:bidi="ar"/>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2A752E51">
            <w:pPr>
              <w:spacing w:line="240" w:lineRule="atLeast"/>
              <w:rPr>
                <w:rFonts w:ascii="宋体" w:hAnsi="宋体" w:eastAsia="宋体" w:cs="宋体"/>
                <w:spacing w:val="-20"/>
                <w:sz w:val="20"/>
                <w:szCs w:val="20"/>
              </w:rPr>
            </w:pPr>
          </w:p>
          <w:p w14:paraId="2C5078C1">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lang w:bidi="ar"/>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7383D5B0">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646DBED9">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27DB8307">
            <w:pPr>
              <w:snapToGrid w:val="0"/>
              <w:spacing w:line="240" w:lineRule="atLeast"/>
              <w:rPr>
                <w:rFonts w:ascii="宋体" w:hAnsi="宋体" w:eastAsia="宋体" w:cs="宋体"/>
                <w:sz w:val="28"/>
                <w:szCs w:val="28"/>
              </w:rPr>
            </w:pPr>
            <w:r>
              <w:rPr>
                <w:rFonts w:hint="eastAsia" w:ascii="宋体" w:hAnsi="宋体" w:eastAsia="宋体" w:cs="宋体"/>
                <w:sz w:val="20"/>
                <w:szCs w:val="20"/>
                <w:lang w:bidi="ar"/>
              </w:rPr>
              <w:t>备注</w:t>
            </w:r>
          </w:p>
        </w:tc>
      </w:tr>
      <w:tr w14:paraId="12A5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F7F685">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08832C60">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23E701B5">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项 目</w:t>
            </w:r>
          </w:p>
          <w:p w14:paraId="08E12160">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344020A8">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lang w:bidi="ar"/>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1EA25870">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lang w:bidi="ar"/>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06FB10AD">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lang w:bidi="ar"/>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199D5021">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28229E62">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责任事项</w:t>
            </w:r>
          </w:p>
          <w:p w14:paraId="43CE6223">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26747AF1">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lang w:bidi="ar"/>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515438E0">
            <w:pPr>
              <w:rPr>
                <w:rFonts w:ascii="Times New Roman" w:hAnsi="Times New Roman" w:cs="Times New Roman"/>
                <w:sz w:val="20"/>
                <w:szCs w:val="20"/>
              </w:rPr>
            </w:pPr>
          </w:p>
        </w:tc>
      </w:tr>
      <w:tr w14:paraId="096E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F08E419">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179</w:t>
            </w:r>
          </w:p>
        </w:tc>
        <w:tc>
          <w:tcPr>
            <w:tcW w:w="555" w:type="dxa"/>
            <w:tcBorders>
              <w:top w:val="single" w:color="auto" w:sz="4" w:space="0"/>
              <w:left w:val="nil"/>
              <w:bottom w:val="single" w:color="auto" w:sz="4" w:space="0"/>
              <w:right w:val="single" w:color="auto" w:sz="4" w:space="0"/>
            </w:tcBorders>
            <w:shd w:val="clear" w:color="auto" w:fill="auto"/>
            <w:vAlign w:val="center"/>
          </w:tcPr>
          <w:p w14:paraId="629DFB3E">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行</w:t>
            </w:r>
          </w:p>
          <w:p w14:paraId="1FC187D9">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w:t>
            </w:r>
          </w:p>
          <w:p w14:paraId="412FD2E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4D2B9E1A">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对侵犯农村村民依法取得的宅基地权益中涉及自然资源主管部门职责的处罚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2354A11B">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5743131B">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0031D472">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5B59B03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行政法规】《中华人民共和国土地管理法实施条例》（1998年国务院令第256号，2021年国务院令第743号第三次修订）第六十三条：违反本条例规定，侵犯农村村民依法取得的宅基地权益的，责令限期改正，对有关责任单位通报批评、给予警告；造成损失的，依法承担赔偿责任；对直接负责的主管人员和其他直接责任人员，依法给予处分。</w:t>
            </w:r>
          </w:p>
        </w:tc>
        <w:tc>
          <w:tcPr>
            <w:tcW w:w="3585" w:type="dxa"/>
            <w:tcBorders>
              <w:top w:val="single" w:color="auto" w:sz="4" w:space="0"/>
              <w:left w:val="nil"/>
              <w:bottom w:val="single" w:color="auto" w:sz="4" w:space="0"/>
              <w:right w:val="single" w:color="auto" w:sz="4" w:space="0"/>
            </w:tcBorders>
            <w:shd w:val="clear" w:color="auto" w:fill="auto"/>
            <w:vAlign w:val="center"/>
          </w:tcPr>
          <w:p w14:paraId="7AC0BEB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3567613A">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8E4FAC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9051718">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4EB0E4A0">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635A9B5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5793CAC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1279A9E9">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62934DF1">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29A35F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FE452F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449D8FFA">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608627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50F819E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58DABE3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2BA4965">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9A527D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85FEE8">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AC1766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69D17C5A">
            <w:pPr>
              <w:snapToGrid w:val="0"/>
              <w:spacing w:line="240" w:lineRule="atLeast"/>
              <w:jc w:val="center"/>
              <w:rPr>
                <w:rFonts w:ascii="仿宋_GB2312" w:hAnsi="Calibri" w:eastAsia="仿宋_GB2312" w:cs="仿宋_GB2312"/>
                <w:sz w:val="20"/>
                <w:szCs w:val="20"/>
              </w:rPr>
            </w:pPr>
          </w:p>
        </w:tc>
      </w:tr>
    </w:tbl>
    <w:p w14:paraId="0C984EB4"/>
    <w:p w14:paraId="45723233"/>
    <w:p w14:paraId="6DF12A9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34A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AEBB42">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lang w:bidi="ar"/>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769D9CCB">
            <w:pPr>
              <w:spacing w:line="240" w:lineRule="atLeast"/>
              <w:rPr>
                <w:rFonts w:ascii="宋体" w:hAnsi="宋体" w:eastAsia="宋体" w:cs="宋体"/>
                <w:spacing w:val="-20"/>
                <w:sz w:val="20"/>
                <w:szCs w:val="20"/>
              </w:rPr>
            </w:pPr>
          </w:p>
          <w:p w14:paraId="16A19F21">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lang w:bidi="ar"/>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2C722B6E">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3B1D2546">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597C24E2">
            <w:pPr>
              <w:snapToGrid w:val="0"/>
              <w:spacing w:line="240" w:lineRule="atLeast"/>
              <w:rPr>
                <w:rFonts w:ascii="宋体" w:hAnsi="宋体" w:eastAsia="宋体" w:cs="宋体"/>
                <w:sz w:val="28"/>
                <w:szCs w:val="28"/>
              </w:rPr>
            </w:pPr>
            <w:r>
              <w:rPr>
                <w:rFonts w:hint="eastAsia" w:ascii="宋体" w:hAnsi="宋体" w:eastAsia="宋体" w:cs="宋体"/>
                <w:sz w:val="20"/>
                <w:szCs w:val="20"/>
                <w:lang w:bidi="ar"/>
              </w:rPr>
              <w:t>备注</w:t>
            </w:r>
          </w:p>
        </w:tc>
      </w:tr>
      <w:tr w14:paraId="0F7C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174BA">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50BDD3E5">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03E4263B">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项 目</w:t>
            </w:r>
          </w:p>
          <w:p w14:paraId="3E5C6006">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42AD47FD">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lang w:bidi="ar"/>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51F8F65C">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lang w:bidi="ar"/>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1DB1CBFC">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lang w:bidi="ar"/>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13196095">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6EA38184">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责任事项</w:t>
            </w:r>
          </w:p>
          <w:p w14:paraId="0C827156">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09C362D1">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lang w:bidi="ar"/>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4878C7D2">
            <w:pPr>
              <w:rPr>
                <w:rFonts w:ascii="Times New Roman" w:hAnsi="Times New Roman" w:cs="Times New Roman"/>
                <w:sz w:val="20"/>
                <w:szCs w:val="20"/>
              </w:rPr>
            </w:pPr>
          </w:p>
        </w:tc>
      </w:tr>
      <w:tr w14:paraId="4AB8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7CF66EA1">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180</w:t>
            </w:r>
          </w:p>
        </w:tc>
        <w:tc>
          <w:tcPr>
            <w:tcW w:w="555" w:type="dxa"/>
            <w:tcBorders>
              <w:top w:val="single" w:color="auto" w:sz="4" w:space="0"/>
              <w:left w:val="nil"/>
              <w:bottom w:val="single" w:color="auto" w:sz="4" w:space="0"/>
              <w:right w:val="single" w:color="auto" w:sz="4" w:space="0"/>
            </w:tcBorders>
            <w:shd w:val="clear" w:color="auto" w:fill="auto"/>
            <w:vAlign w:val="center"/>
          </w:tcPr>
          <w:p w14:paraId="6B317352">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行</w:t>
            </w:r>
          </w:p>
          <w:p w14:paraId="3DC301A1">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w:t>
            </w:r>
          </w:p>
          <w:p w14:paraId="59F5DB21">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556126FB">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对贪污、侵占、挪用、私分、截留、拖欠征地补偿安置费用和其他有关费用行为的处罚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5516DDD9">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011220BB">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53027857">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09335B40">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行政法规】《中华人民共和国土地管理法实施条例》（1998年国务院令第256号，2021年国务院令第743号第三次修订）第六十四条：贪污、侵占、挪用、私分、截留、拖欠征地补偿安置费用和其他有关费用的，责令改正，追回有关款项，限期退还违法所得，对有关责任单位通报批评、给予警告；造成损失的，依法承担赔偿责任；对直接负责的主管人员和其他直接责任人员，依法给予处分。</w:t>
            </w:r>
          </w:p>
        </w:tc>
        <w:tc>
          <w:tcPr>
            <w:tcW w:w="3585" w:type="dxa"/>
            <w:tcBorders>
              <w:top w:val="single" w:color="auto" w:sz="4" w:space="0"/>
              <w:left w:val="nil"/>
              <w:bottom w:val="single" w:color="auto" w:sz="4" w:space="0"/>
              <w:right w:val="single" w:color="auto" w:sz="4" w:space="0"/>
            </w:tcBorders>
            <w:shd w:val="clear" w:color="auto" w:fill="auto"/>
            <w:vAlign w:val="center"/>
          </w:tcPr>
          <w:p w14:paraId="04CAA47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4459B58C">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EC58E3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86696C6">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031D46CB">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58B856FB">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07148B2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4ACCFAF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3BD67C2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30124D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ACA9B0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40717E2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AB1839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29EF3DCA">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34451A2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C12567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985125">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8BDFBB6">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7B2012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4F425CE1">
            <w:pPr>
              <w:snapToGrid w:val="0"/>
              <w:spacing w:line="240" w:lineRule="atLeast"/>
              <w:jc w:val="center"/>
              <w:rPr>
                <w:rFonts w:ascii="仿宋_GB2312" w:hAnsi="Calibri" w:eastAsia="仿宋_GB2312" w:cs="仿宋_GB2312"/>
                <w:sz w:val="20"/>
                <w:szCs w:val="20"/>
              </w:rPr>
            </w:pPr>
          </w:p>
        </w:tc>
      </w:tr>
    </w:tbl>
    <w:p w14:paraId="36FCB631"/>
    <w:p w14:paraId="73ED0F02"/>
    <w:p w14:paraId="5CD95CC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6EA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4993CE">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lang w:bidi="ar"/>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1F9C76A4">
            <w:pPr>
              <w:spacing w:line="240" w:lineRule="atLeast"/>
              <w:rPr>
                <w:rFonts w:ascii="宋体" w:hAnsi="宋体" w:eastAsia="宋体" w:cs="宋体"/>
                <w:spacing w:val="-20"/>
                <w:sz w:val="20"/>
                <w:szCs w:val="20"/>
              </w:rPr>
            </w:pPr>
          </w:p>
          <w:p w14:paraId="7EA5ECF5">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lang w:bidi="ar"/>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6F296546">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694AF20A">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1F0EE6DF">
            <w:pPr>
              <w:snapToGrid w:val="0"/>
              <w:spacing w:line="240" w:lineRule="atLeast"/>
              <w:rPr>
                <w:rFonts w:ascii="宋体" w:hAnsi="宋体" w:eastAsia="宋体" w:cs="宋体"/>
                <w:sz w:val="28"/>
                <w:szCs w:val="28"/>
              </w:rPr>
            </w:pPr>
            <w:r>
              <w:rPr>
                <w:rFonts w:hint="eastAsia" w:ascii="宋体" w:hAnsi="宋体" w:eastAsia="宋体" w:cs="宋体"/>
                <w:sz w:val="20"/>
                <w:szCs w:val="20"/>
                <w:lang w:bidi="ar"/>
              </w:rPr>
              <w:t>备注</w:t>
            </w:r>
          </w:p>
        </w:tc>
      </w:tr>
      <w:tr w14:paraId="3EC8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32F741">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3F6827D7">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53F2F46D">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项 目</w:t>
            </w:r>
          </w:p>
          <w:p w14:paraId="3673C37C">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41A4AFD8">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lang w:bidi="ar"/>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6C31FF27">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lang w:bidi="ar"/>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76B168CA">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lang w:bidi="ar"/>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212894C0">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054BEB4B">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责任事项</w:t>
            </w:r>
          </w:p>
          <w:p w14:paraId="284B2957">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7AEF2B00">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lang w:bidi="ar"/>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15CE911E">
            <w:pPr>
              <w:rPr>
                <w:rFonts w:ascii="Times New Roman" w:hAnsi="Times New Roman" w:cs="Times New Roman"/>
                <w:sz w:val="20"/>
                <w:szCs w:val="20"/>
              </w:rPr>
            </w:pPr>
          </w:p>
        </w:tc>
      </w:tr>
      <w:tr w14:paraId="3558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16A347DA">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181</w:t>
            </w:r>
          </w:p>
        </w:tc>
        <w:tc>
          <w:tcPr>
            <w:tcW w:w="555" w:type="dxa"/>
            <w:tcBorders>
              <w:top w:val="single" w:color="auto" w:sz="4" w:space="0"/>
              <w:left w:val="nil"/>
              <w:bottom w:val="single" w:color="auto" w:sz="4" w:space="0"/>
              <w:right w:val="single" w:color="auto" w:sz="4" w:space="0"/>
            </w:tcBorders>
            <w:shd w:val="clear" w:color="auto" w:fill="auto"/>
            <w:vAlign w:val="center"/>
          </w:tcPr>
          <w:p w14:paraId="133F7B02">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行</w:t>
            </w:r>
          </w:p>
          <w:p w14:paraId="79FCE110">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w:t>
            </w:r>
          </w:p>
          <w:p w14:paraId="034636AE">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16F6FAB7">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对违反生态环境准入清单的规定进行生产建设活动中涉及自然资源主管部门职责的处罚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0BE46CAD">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037DE2D3">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08E2C739">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30DD23F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法律】《中华人民共和国长江保护法》第八十八条：违反本法规定，有下列行为之一的，由县级以上人民政府生态环境、自然资源等主管部门按照职责分工，责令停止违法行为，限期拆除并恢复原状，所需费用由违法者承担，没收违法所得，并处五十万元以上五百万元以下罚款，对直接负责的主管人员和其他直接责任人员处五万元以上十万元以下罚款；情节严重的，报经有批准权的人民政府批准，责令关闭：</w:t>
            </w:r>
          </w:p>
          <w:p w14:paraId="266C0C8E">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w:t>
            </w:r>
          </w:p>
          <w:p w14:paraId="3738400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（三）违反生态环境准入清单的规定进行生产建设活动的。</w:t>
            </w:r>
          </w:p>
        </w:tc>
        <w:tc>
          <w:tcPr>
            <w:tcW w:w="3585" w:type="dxa"/>
            <w:tcBorders>
              <w:top w:val="single" w:color="auto" w:sz="4" w:space="0"/>
              <w:left w:val="nil"/>
              <w:bottom w:val="single" w:color="auto" w:sz="4" w:space="0"/>
              <w:right w:val="single" w:color="auto" w:sz="4" w:space="0"/>
            </w:tcBorders>
            <w:shd w:val="clear" w:color="auto" w:fill="auto"/>
            <w:vAlign w:val="center"/>
          </w:tcPr>
          <w:p w14:paraId="29262B0A">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6C66D01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0B17537">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0B1FD62">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11D10E2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5CD94B85">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7EB89AB1">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09B02D89">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5B31FC6F">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ECF0F22">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D3BCC2D">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3FEB9FD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E55AF9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74655AB5">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7166C2E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84DBE1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52D86B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7BAE0C4">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940BC87">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1FEF17AE">
            <w:pPr>
              <w:snapToGrid w:val="0"/>
              <w:spacing w:line="240" w:lineRule="atLeast"/>
              <w:jc w:val="center"/>
              <w:rPr>
                <w:rFonts w:ascii="仿宋_GB2312" w:hAnsi="Calibri" w:eastAsia="仿宋_GB2312" w:cs="仿宋_GB2312"/>
                <w:sz w:val="20"/>
                <w:szCs w:val="20"/>
              </w:rPr>
            </w:pPr>
          </w:p>
        </w:tc>
      </w:tr>
    </w:tbl>
    <w:p w14:paraId="0FA65599"/>
    <w:p w14:paraId="22AD02D9"/>
    <w:p w14:paraId="6BF59D1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A99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17A8D3">
            <w:pPr>
              <w:snapToGrid w:val="0"/>
              <w:spacing w:line="240" w:lineRule="atLeast"/>
              <w:jc w:val="center"/>
              <w:rPr>
                <w:rFonts w:ascii="宋体" w:hAnsi="宋体" w:eastAsia="宋体" w:cs="宋体"/>
                <w:spacing w:val="-23"/>
                <w:sz w:val="20"/>
                <w:szCs w:val="20"/>
              </w:rPr>
            </w:pPr>
            <w:r>
              <w:rPr>
                <w:rFonts w:hint="eastAsia" w:ascii="宋体" w:hAnsi="宋体" w:eastAsia="宋体" w:cs="宋体"/>
                <w:spacing w:val="-23"/>
                <w:sz w:val="20"/>
                <w:szCs w:val="20"/>
                <w:lang w:bidi="ar"/>
              </w:rPr>
              <w:t>序 号</w:t>
            </w:r>
          </w:p>
        </w:tc>
        <w:tc>
          <w:tcPr>
            <w:tcW w:w="555" w:type="dxa"/>
            <w:vMerge w:val="restart"/>
            <w:tcBorders>
              <w:top w:val="single" w:color="auto" w:sz="4" w:space="0"/>
              <w:left w:val="nil"/>
              <w:bottom w:val="single" w:color="auto" w:sz="4" w:space="0"/>
              <w:right w:val="single" w:color="auto" w:sz="4" w:space="0"/>
            </w:tcBorders>
            <w:shd w:val="clear" w:color="auto" w:fill="auto"/>
            <w:vAlign w:val="center"/>
          </w:tcPr>
          <w:p w14:paraId="7871DAAC">
            <w:pPr>
              <w:spacing w:line="240" w:lineRule="atLeast"/>
              <w:rPr>
                <w:rFonts w:ascii="宋体" w:hAnsi="宋体" w:eastAsia="宋体" w:cs="宋体"/>
                <w:spacing w:val="-20"/>
                <w:sz w:val="20"/>
                <w:szCs w:val="20"/>
              </w:rPr>
            </w:pPr>
          </w:p>
          <w:p w14:paraId="3F307BC5">
            <w:pPr>
              <w:snapToGrid w:val="0"/>
              <w:spacing w:line="240" w:lineRule="atLeast"/>
              <w:rPr>
                <w:rFonts w:ascii="宋体" w:hAnsi="宋体" w:eastAsia="宋体" w:cs="宋体"/>
                <w:spacing w:val="-20"/>
                <w:sz w:val="20"/>
                <w:szCs w:val="20"/>
              </w:rPr>
            </w:pPr>
            <w:r>
              <w:rPr>
                <w:rFonts w:hint="eastAsia" w:ascii="宋体" w:hAnsi="宋体" w:eastAsia="宋体" w:cs="宋体"/>
                <w:spacing w:val="-20"/>
                <w:sz w:val="20"/>
                <w:szCs w:val="20"/>
                <w:lang w:bidi="ar"/>
              </w:rPr>
              <w:t>权力分类</w:t>
            </w:r>
          </w:p>
        </w:tc>
        <w:tc>
          <w:tcPr>
            <w:tcW w:w="7774" w:type="dxa"/>
            <w:gridSpan w:val="5"/>
            <w:tcBorders>
              <w:top w:val="single" w:color="auto" w:sz="4" w:space="0"/>
              <w:left w:val="nil"/>
              <w:bottom w:val="single" w:color="auto" w:sz="4" w:space="0"/>
              <w:right w:val="single" w:color="auto" w:sz="4" w:space="0"/>
            </w:tcBorders>
            <w:shd w:val="clear" w:color="auto" w:fill="auto"/>
            <w:vAlign w:val="center"/>
          </w:tcPr>
          <w:p w14:paraId="3DF6107A">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权力清单</w:t>
            </w:r>
          </w:p>
        </w:tc>
        <w:tc>
          <w:tcPr>
            <w:tcW w:w="13100" w:type="dxa"/>
            <w:gridSpan w:val="2"/>
            <w:tcBorders>
              <w:top w:val="single" w:color="auto" w:sz="4" w:space="0"/>
              <w:left w:val="nil"/>
              <w:bottom w:val="single" w:color="auto" w:sz="4" w:space="0"/>
              <w:right w:val="single" w:color="auto" w:sz="4" w:space="0"/>
            </w:tcBorders>
            <w:shd w:val="clear" w:color="auto" w:fill="auto"/>
            <w:vAlign w:val="center"/>
          </w:tcPr>
          <w:p w14:paraId="08A719C0">
            <w:pPr>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责任清单</w:t>
            </w:r>
          </w:p>
        </w:tc>
        <w:tc>
          <w:tcPr>
            <w:tcW w:w="330" w:type="dxa"/>
            <w:vMerge w:val="restart"/>
            <w:tcBorders>
              <w:top w:val="single" w:color="auto" w:sz="4" w:space="0"/>
              <w:left w:val="nil"/>
              <w:bottom w:val="single" w:color="auto" w:sz="4" w:space="0"/>
              <w:right w:val="single" w:color="auto" w:sz="4" w:space="0"/>
            </w:tcBorders>
            <w:shd w:val="clear" w:color="auto" w:fill="auto"/>
            <w:vAlign w:val="center"/>
          </w:tcPr>
          <w:p w14:paraId="153E3AB3">
            <w:pPr>
              <w:snapToGrid w:val="0"/>
              <w:spacing w:line="240" w:lineRule="atLeast"/>
              <w:rPr>
                <w:rFonts w:ascii="宋体" w:hAnsi="宋体" w:eastAsia="宋体" w:cs="宋体"/>
                <w:sz w:val="28"/>
                <w:szCs w:val="28"/>
              </w:rPr>
            </w:pPr>
            <w:r>
              <w:rPr>
                <w:rFonts w:hint="eastAsia" w:ascii="宋体" w:hAnsi="宋体" w:eastAsia="宋体" w:cs="宋体"/>
                <w:sz w:val="20"/>
                <w:szCs w:val="20"/>
                <w:lang w:bidi="ar"/>
              </w:rPr>
              <w:t>备注</w:t>
            </w:r>
          </w:p>
        </w:tc>
      </w:tr>
      <w:tr w14:paraId="27FD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7A58F7">
            <w:pPr>
              <w:rPr>
                <w:rFonts w:ascii="Times New Roman" w:hAnsi="Times New Roman" w:cs="Times New Roman"/>
                <w:sz w:val="20"/>
                <w:szCs w:val="20"/>
              </w:rPr>
            </w:pPr>
          </w:p>
        </w:tc>
        <w:tc>
          <w:tcPr>
            <w:tcW w:w="555" w:type="dxa"/>
            <w:vMerge w:val="continue"/>
            <w:tcBorders>
              <w:top w:val="single" w:color="auto" w:sz="4" w:space="0"/>
              <w:left w:val="nil"/>
              <w:bottom w:val="single" w:color="auto" w:sz="4" w:space="0"/>
              <w:right w:val="single" w:color="auto" w:sz="4" w:space="0"/>
            </w:tcBorders>
            <w:shd w:val="clear" w:color="auto" w:fill="auto"/>
            <w:vAlign w:val="center"/>
          </w:tcPr>
          <w:p w14:paraId="6EBD406D">
            <w:pPr>
              <w:rPr>
                <w:rFonts w:ascii="Times New Roman" w:hAnsi="Times New Roman" w:cs="Times New Roman"/>
                <w:sz w:val="20"/>
                <w:szCs w:val="20"/>
              </w:rPr>
            </w:pPr>
          </w:p>
        </w:tc>
        <w:tc>
          <w:tcPr>
            <w:tcW w:w="784" w:type="dxa"/>
            <w:tcBorders>
              <w:top w:val="single" w:color="auto" w:sz="4" w:space="0"/>
              <w:left w:val="nil"/>
              <w:bottom w:val="single" w:color="auto" w:sz="4" w:space="0"/>
              <w:right w:val="single" w:color="auto" w:sz="4" w:space="0"/>
            </w:tcBorders>
            <w:shd w:val="clear" w:color="auto" w:fill="auto"/>
            <w:vAlign w:val="center"/>
          </w:tcPr>
          <w:p w14:paraId="708AAB7B">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项 目</w:t>
            </w:r>
          </w:p>
          <w:p w14:paraId="3E8D2302">
            <w:pPr>
              <w:autoSpaceDE w:val="0"/>
              <w:snapToGrid w:val="0"/>
              <w:spacing w:line="200" w:lineRule="exact"/>
              <w:jc w:val="center"/>
              <w:rPr>
                <w:rFonts w:ascii="宋体" w:hAnsi="宋体" w:eastAsia="宋体" w:cs="宋体"/>
                <w:spacing w:val="-23"/>
                <w:sz w:val="20"/>
                <w:szCs w:val="20"/>
              </w:rPr>
            </w:pPr>
            <w:r>
              <w:rPr>
                <w:rFonts w:hint="eastAsia" w:ascii="宋体" w:hAnsi="宋体" w:eastAsia="宋体" w:cs="宋体"/>
                <w:spacing w:val="-23"/>
                <w:sz w:val="20"/>
                <w:szCs w:val="20"/>
                <w:lang w:bidi="ar"/>
              </w:rPr>
              <w:t>名 称</w:t>
            </w:r>
          </w:p>
        </w:tc>
        <w:tc>
          <w:tcPr>
            <w:tcW w:w="660" w:type="dxa"/>
            <w:tcBorders>
              <w:top w:val="single" w:color="auto" w:sz="4" w:space="0"/>
              <w:left w:val="nil"/>
              <w:bottom w:val="single" w:color="auto" w:sz="4" w:space="0"/>
              <w:right w:val="single" w:color="auto" w:sz="4" w:space="0"/>
            </w:tcBorders>
            <w:shd w:val="clear" w:color="auto" w:fill="auto"/>
            <w:vAlign w:val="center"/>
          </w:tcPr>
          <w:p w14:paraId="201DE6AF">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18"/>
                <w:szCs w:val="18"/>
                <w:lang w:bidi="ar"/>
              </w:rPr>
              <w:t>子项名 称</w:t>
            </w:r>
          </w:p>
        </w:tc>
        <w:tc>
          <w:tcPr>
            <w:tcW w:w="615" w:type="dxa"/>
            <w:tcBorders>
              <w:top w:val="single" w:color="auto" w:sz="4" w:space="0"/>
              <w:left w:val="nil"/>
              <w:bottom w:val="single" w:color="auto" w:sz="4" w:space="0"/>
              <w:right w:val="single" w:color="auto" w:sz="4" w:space="0"/>
            </w:tcBorders>
            <w:shd w:val="clear" w:color="auto" w:fill="auto"/>
            <w:vAlign w:val="center"/>
          </w:tcPr>
          <w:p w14:paraId="5B19FD31">
            <w:pPr>
              <w:autoSpaceDE w:val="0"/>
              <w:adjustRightInd w:val="0"/>
              <w:snapToGrid w:val="0"/>
              <w:spacing w:line="240" w:lineRule="exact"/>
              <w:jc w:val="center"/>
              <w:rPr>
                <w:rFonts w:ascii="宋体" w:hAnsi="宋体" w:eastAsia="宋体" w:cs="宋体"/>
                <w:spacing w:val="-11"/>
                <w:sz w:val="20"/>
                <w:szCs w:val="20"/>
              </w:rPr>
            </w:pPr>
            <w:r>
              <w:rPr>
                <w:rFonts w:hint="eastAsia" w:ascii="宋体" w:hAnsi="宋体" w:eastAsia="宋体" w:cs="宋体"/>
                <w:spacing w:val="-11"/>
                <w:sz w:val="20"/>
                <w:szCs w:val="20"/>
                <w:lang w:bidi="ar"/>
              </w:rPr>
              <w:t>实施主体</w:t>
            </w:r>
          </w:p>
        </w:tc>
        <w:tc>
          <w:tcPr>
            <w:tcW w:w="1110" w:type="dxa"/>
            <w:tcBorders>
              <w:top w:val="single" w:color="auto" w:sz="4" w:space="0"/>
              <w:left w:val="nil"/>
              <w:bottom w:val="single" w:color="auto" w:sz="4" w:space="0"/>
              <w:right w:val="single" w:color="auto" w:sz="4" w:space="0"/>
            </w:tcBorders>
            <w:shd w:val="clear" w:color="auto" w:fill="auto"/>
            <w:vAlign w:val="center"/>
          </w:tcPr>
          <w:p w14:paraId="222A9F7B">
            <w:pPr>
              <w:widowControl/>
              <w:autoSpaceDE w:val="0"/>
              <w:snapToGrid w:val="0"/>
              <w:spacing w:line="240" w:lineRule="exact"/>
              <w:rPr>
                <w:rFonts w:ascii="宋体" w:hAnsi="宋体" w:eastAsia="宋体" w:cs="宋体"/>
                <w:spacing w:val="-11"/>
                <w:sz w:val="20"/>
                <w:szCs w:val="20"/>
              </w:rPr>
            </w:pPr>
            <w:r>
              <w:rPr>
                <w:rFonts w:hint="eastAsia" w:ascii="宋体" w:hAnsi="宋体" w:eastAsia="宋体" w:cs="宋体"/>
                <w:spacing w:val="-11"/>
                <w:sz w:val="20"/>
                <w:szCs w:val="20"/>
                <w:lang w:bidi="ar"/>
              </w:rPr>
              <w:t>承办的内设机构和单位</w:t>
            </w:r>
          </w:p>
        </w:tc>
        <w:tc>
          <w:tcPr>
            <w:tcW w:w="4605" w:type="dxa"/>
            <w:tcBorders>
              <w:top w:val="single" w:color="auto" w:sz="4" w:space="0"/>
              <w:left w:val="nil"/>
              <w:bottom w:val="single" w:color="auto" w:sz="4" w:space="0"/>
              <w:right w:val="single" w:color="auto" w:sz="4" w:space="0"/>
            </w:tcBorders>
            <w:shd w:val="clear" w:color="auto" w:fill="auto"/>
            <w:vAlign w:val="center"/>
          </w:tcPr>
          <w:p w14:paraId="213E4522">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实施依据</w:t>
            </w:r>
          </w:p>
        </w:tc>
        <w:tc>
          <w:tcPr>
            <w:tcW w:w="3585" w:type="dxa"/>
            <w:tcBorders>
              <w:top w:val="single" w:color="auto" w:sz="4" w:space="0"/>
              <w:left w:val="nil"/>
              <w:bottom w:val="single" w:color="auto" w:sz="4" w:space="0"/>
              <w:right w:val="single" w:color="auto" w:sz="4" w:space="0"/>
            </w:tcBorders>
            <w:shd w:val="clear" w:color="auto" w:fill="auto"/>
            <w:vAlign w:val="center"/>
          </w:tcPr>
          <w:p w14:paraId="117E73E4">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责任事项</w:t>
            </w:r>
          </w:p>
          <w:p w14:paraId="2182C44C">
            <w:pPr>
              <w:snapToGrid w:val="0"/>
              <w:spacing w:line="240" w:lineRule="atLeast"/>
              <w:jc w:val="center"/>
              <w:rPr>
                <w:rFonts w:ascii="宋体" w:hAnsi="宋体" w:eastAsia="宋体" w:cs="宋体"/>
                <w:sz w:val="20"/>
                <w:szCs w:val="20"/>
              </w:rPr>
            </w:pPr>
            <w:r>
              <w:rPr>
                <w:rFonts w:hint="eastAsia" w:ascii="宋体" w:hAnsi="宋体" w:eastAsia="宋体" w:cs="宋体"/>
                <w:sz w:val="20"/>
                <w:szCs w:val="20"/>
                <w:lang w:bidi="ar"/>
              </w:rPr>
              <w:t>（明确责任主体）</w:t>
            </w:r>
          </w:p>
        </w:tc>
        <w:tc>
          <w:tcPr>
            <w:tcW w:w="9515" w:type="dxa"/>
            <w:tcBorders>
              <w:top w:val="single" w:color="auto" w:sz="4" w:space="0"/>
              <w:left w:val="nil"/>
              <w:bottom w:val="single" w:color="auto" w:sz="4" w:space="0"/>
              <w:right w:val="single" w:color="auto" w:sz="4" w:space="0"/>
            </w:tcBorders>
            <w:shd w:val="clear" w:color="auto" w:fill="auto"/>
            <w:vAlign w:val="center"/>
          </w:tcPr>
          <w:p w14:paraId="44F0E643">
            <w:pPr>
              <w:snapToGrid w:val="0"/>
              <w:spacing w:line="240" w:lineRule="atLeast"/>
              <w:ind w:firstLine="200" w:firstLineChars="100"/>
              <w:jc w:val="center"/>
              <w:rPr>
                <w:rFonts w:ascii="宋体" w:hAnsi="宋体" w:eastAsia="宋体" w:cs="宋体"/>
                <w:sz w:val="20"/>
                <w:szCs w:val="20"/>
              </w:rPr>
            </w:pPr>
            <w:r>
              <w:rPr>
                <w:rFonts w:hint="eastAsia" w:ascii="宋体" w:hAnsi="宋体" w:eastAsia="宋体" w:cs="宋体"/>
                <w:sz w:val="20"/>
                <w:szCs w:val="20"/>
                <w:lang w:bidi="ar"/>
              </w:rPr>
              <w:t>责任事项依据</w:t>
            </w:r>
          </w:p>
        </w:tc>
        <w:tc>
          <w:tcPr>
            <w:tcW w:w="330" w:type="dxa"/>
            <w:vMerge w:val="continue"/>
            <w:tcBorders>
              <w:top w:val="single" w:color="auto" w:sz="4" w:space="0"/>
              <w:left w:val="nil"/>
              <w:bottom w:val="single" w:color="auto" w:sz="4" w:space="0"/>
              <w:right w:val="single" w:color="auto" w:sz="4" w:space="0"/>
            </w:tcBorders>
            <w:shd w:val="clear" w:color="auto" w:fill="auto"/>
            <w:vAlign w:val="center"/>
          </w:tcPr>
          <w:p w14:paraId="164EEDB8">
            <w:pPr>
              <w:rPr>
                <w:rFonts w:ascii="Times New Roman" w:hAnsi="Times New Roman" w:cs="Times New Roman"/>
                <w:sz w:val="20"/>
                <w:szCs w:val="20"/>
              </w:rPr>
            </w:pPr>
          </w:p>
        </w:tc>
      </w:tr>
      <w:tr w14:paraId="05CA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tcBorders>
              <w:top w:val="single" w:color="auto" w:sz="4" w:space="0"/>
              <w:left w:val="single" w:color="auto" w:sz="4" w:space="0"/>
              <w:bottom w:val="single" w:color="auto" w:sz="4" w:space="0"/>
              <w:right w:val="single" w:color="auto" w:sz="4" w:space="0"/>
            </w:tcBorders>
            <w:shd w:val="clear" w:color="auto" w:fill="auto"/>
            <w:vAlign w:val="center"/>
          </w:tcPr>
          <w:p w14:paraId="360AF82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182</w:t>
            </w:r>
          </w:p>
        </w:tc>
        <w:tc>
          <w:tcPr>
            <w:tcW w:w="555" w:type="dxa"/>
            <w:tcBorders>
              <w:top w:val="single" w:color="auto" w:sz="4" w:space="0"/>
              <w:left w:val="nil"/>
              <w:bottom w:val="single" w:color="auto" w:sz="4" w:space="0"/>
              <w:right w:val="single" w:color="auto" w:sz="4" w:space="0"/>
            </w:tcBorders>
            <w:shd w:val="clear" w:color="auto" w:fill="auto"/>
            <w:vAlign w:val="center"/>
          </w:tcPr>
          <w:p w14:paraId="74C8EFE5">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行</w:t>
            </w:r>
          </w:p>
          <w:p w14:paraId="6B809B41">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w:t>
            </w:r>
          </w:p>
          <w:p w14:paraId="354F6ED6">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处罚</w:t>
            </w:r>
          </w:p>
        </w:tc>
        <w:tc>
          <w:tcPr>
            <w:tcW w:w="784" w:type="dxa"/>
            <w:tcBorders>
              <w:top w:val="single" w:color="auto" w:sz="4" w:space="0"/>
              <w:left w:val="nil"/>
              <w:bottom w:val="single" w:color="auto" w:sz="4" w:space="0"/>
              <w:right w:val="single" w:color="auto" w:sz="4" w:space="0"/>
            </w:tcBorders>
            <w:shd w:val="clear" w:color="auto" w:fill="auto"/>
            <w:vAlign w:val="center"/>
          </w:tcPr>
          <w:p w14:paraId="03E2448A">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rPr>
              <w:t>对因工程建设活动对地质环境造成影响的，相关责任单位未依照本办法的规定履行地质环境监测义务的处罚</w:t>
            </w:r>
          </w:p>
        </w:tc>
        <w:tc>
          <w:tcPr>
            <w:tcW w:w="660" w:type="dxa"/>
            <w:tcBorders>
              <w:top w:val="single" w:color="auto" w:sz="4" w:space="0"/>
              <w:left w:val="nil"/>
              <w:bottom w:val="single" w:color="auto" w:sz="4" w:space="0"/>
              <w:right w:val="single" w:color="auto" w:sz="4" w:space="0"/>
            </w:tcBorders>
            <w:shd w:val="clear" w:color="auto" w:fill="auto"/>
            <w:vAlign w:val="center"/>
          </w:tcPr>
          <w:p w14:paraId="109E0317">
            <w:pPr>
              <w:snapToGrid w:val="0"/>
              <w:spacing w:line="240" w:lineRule="atLeast"/>
              <w:jc w:val="center"/>
              <w:rPr>
                <w:rFonts w:ascii="仿宋_GB2312" w:hAnsi="Calibri" w:eastAsia="仿宋_GB2312" w:cs="仿宋_GB2312"/>
                <w:sz w:val="20"/>
                <w:szCs w:val="20"/>
              </w:rPr>
            </w:pPr>
          </w:p>
        </w:tc>
        <w:tc>
          <w:tcPr>
            <w:tcW w:w="615" w:type="dxa"/>
            <w:tcBorders>
              <w:top w:val="single" w:color="auto" w:sz="4" w:space="0"/>
              <w:left w:val="nil"/>
              <w:bottom w:val="single" w:color="auto" w:sz="4" w:space="0"/>
              <w:right w:val="single" w:color="auto" w:sz="4" w:space="0"/>
            </w:tcBorders>
            <w:shd w:val="clear" w:color="auto" w:fill="auto"/>
            <w:vAlign w:val="center"/>
          </w:tcPr>
          <w:p w14:paraId="2426D490">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玉林市自然资源局</w:t>
            </w:r>
          </w:p>
        </w:tc>
        <w:tc>
          <w:tcPr>
            <w:tcW w:w="1110" w:type="dxa"/>
            <w:tcBorders>
              <w:top w:val="single" w:color="auto" w:sz="4" w:space="0"/>
              <w:left w:val="nil"/>
              <w:bottom w:val="single" w:color="auto" w:sz="4" w:space="0"/>
              <w:right w:val="single" w:color="auto" w:sz="4" w:space="0"/>
            </w:tcBorders>
            <w:shd w:val="clear" w:color="auto" w:fill="auto"/>
            <w:vAlign w:val="center"/>
          </w:tcPr>
          <w:p w14:paraId="725B2BA1">
            <w:pPr>
              <w:snapToGrid w:val="0"/>
              <w:spacing w:line="240" w:lineRule="atLeast"/>
              <w:jc w:val="center"/>
              <w:rPr>
                <w:rFonts w:ascii="仿宋_GB2312" w:hAnsi="Calibri" w:eastAsia="仿宋_GB2312" w:cs="仿宋_GB2312"/>
                <w:sz w:val="20"/>
                <w:szCs w:val="20"/>
              </w:rPr>
            </w:pPr>
            <w:r>
              <w:rPr>
                <w:rFonts w:hint="eastAsia" w:ascii="仿宋_GB2312" w:hAnsi="Calibri" w:eastAsia="仿宋_GB2312" w:cs="仿宋_GB2312"/>
                <w:sz w:val="20"/>
                <w:szCs w:val="20"/>
                <w:lang w:bidi="ar"/>
              </w:rPr>
              <w:t>政策法规和执法督察科</w:t>
            </w:r>
          </w:p>
        </w:tc>
        <w:tc>
          <w:tcPr>
            <w:tcW w:w="4605" w:type="dxa"/>
            <w:tcBorders>
              <w:top w:val="single" w:color="auto" w:sz="4" w:space="0"/>
              <w:left w:val="nil"/>
              <w:bottom w:val="single" w:color="auto" w:sz="4" w:space="0"/>
              <w:right w:val="single" w:color="auto" w:sz="4" w:space="0"/>
            </w:tcBorders>
            <w:shd w:val="clear" w:color="auto" w:fill="auto"/>
            <w:vAlign w:val="center"/>
          </w:tcPr>
          <w:p w14:paraId="1334E63A">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部门规章】《地质环境监测管理办法》（2014国土资源部第59号令公布，2019年自然资源部令第5号修正）第三十条：因工程建设活动对地质环境造成影响的，相关责任单位未依照本办法的规定履行地质环境监测义务的，由县级以上人民政府国土资源主管部门责令限期改正，并依法处以罚款。</w:t>
            </w:r>
          </w:p>
        </w:tc>
        <w:tc>
          <w:tcPr>
            <w:tcW w:w="3585" w:type="dxa"/>
            <w:tcBorders>
              <w:top w:val="single" w:color="auto" w:sz="4" w:space="0"/>
              <w:left w:val="nil"/>
              <w:bottom w:val="single" w:color="auto" w:sz="4" w:space="0"/>
              <w:right w:val="single" w:color="auto" w:sz="4" w:space="0"/>
            </w:tcBorders>
            <w:shd w:val="clear" w:color="auto" w:fill="auto"/>
            <w:vAlign w:val="center"/>
          </w:tcPr>
          <w:p w14:paraId="2E980165">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1.立案阶段责任：接到举报或相关部门转送、巡查发现违法行为，及时予以审查，决定是否立案。下达《责令停止违法行为通知书》。</w:t>
            </w:r>
          </w:p>
          <w:p w14:paraId="11E5EFFD">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83A453E">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3830040">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4.告知阶段责任：作出行政处罚决定前，应制作《行政处罚告知书》送达当事人，告知违法事实及其享有的陈述、申辩等权利。符合听证规定的，制作并送达《行政处罚听证告知书》。</w:t>
            </w:r>
          </w:p>
          <w:p w14:paraId="03A46831">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5.决定阶段责任：制作行政处罚决定书，载明行政处罚告知、当事人陈述申辩或者听证情况等内容。符合刑事案件移送条件的，及时移送。</w:t>
            </w:r>
          </w:p>
          <w:p w14:paraId="44BBFF44">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6.送达阶段责任：行政处罚决定书按法律规定的方式送达当事人。</w:t>
            </w:r>
          </w:p>
          <w:p w14:paraId="4E287813">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7.执行阶段责任：当事人履行处罚决定的，及时结案；未履行处罚决定，依照生效的行政处罚决定，按程序下达催缴（告）通知书和申请人民法院强制执行。</w:t>
            </w:r>
          </w:p>
          <w:p w14:paraId="6708AAE5">
            <w:pPr>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8.其他法律法规规章文件规定应履行的责任。</w:t>
            </w:r>
          </w:p>
        </w:tc>
        <w:tc>
          <w:tcPr>
            <w:tcW w:w="9515" w:type="dxa"/>
            <w:tcBorders>
              <w:top w:val="single" w:color="auto" w:sz="4" w:space="0"/>
              <w:left w:val="nil"/>
              <w:bottom w:val="single" w:color="auto" w:sz="4" w:space="0"/>
              <w:right w:val="single" w:color="auto" w:sz="4" w:space="0"/>
            </w:tcBorders>
            <w:shd w:val="clear" w:color="auto" w:fill="auto"/>
            <w:vAlign w:val="center"/>
          </w:tcPr>
          <w:p w14:paraId="70582F3A">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4D4AE1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11A6CD3">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第十四条：调查人员与案件有直接利害关系的，应当回避。第二十条：当事人请求自行提供陈述材料的，应当准许。必要时，调查人员也可以要求当事人自行书写。当事人应当在其提供的陈述材料上签名、按手印或者盖章。第二十一条：询问应当个别进行，并制作询问笔录。询问笔录应当记载询问的时间、地点和询问情况等。</w:t>
            </w:r>
          </w:p>
          <w:p w14:paraId="3C9377F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61E9F2E">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第二十八条：……当事人要求听证的，应当在收到《行政处罚听证告知书》后三个工作日内提出。</w:t>
            </w:r>
          </w:p>
          <w:p w14:paraId="5E9FD4F5">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5—1.【法律】《中华人民共和国行政处罚法》第三十八条：调查终结，行政机关负责人应当对调查结果进行审查，根据不同情况，分别作出决定。第三十九条：行政机关……应当制作《行政处罚决定书》。</w:t>
            </w:r>
          </w:p>
          <w:p w14:paraId="66641AC5">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5612B2C">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8E1766B">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0467ED">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1.【法律】《中华人民共和国行政处罚法》第四十四条：行政处罚决定依法作出后，当事人应当在行政处罚决定的期限内，予以履行。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B6234B">
            <w:pPr>
              <w:autoSpaceDE w:val="0"/>
              <w:snapToGrid w:val="0"/>
              <w:spacing w:line="240" w:lineRule="atLeast"/>
              <w:ind w:firstLine="400" w:firstLineChars="200"/>
              <w:rPr>
                <w:rFonts w:ascii="仿宋_GB2312" w:hAnsi="Calibri" w:eastAsia="仿宋_GB2312" w:cs="仿宋_GB2312"/>
                <w:sz w:val="20"/>
                <w:szCs w:val="20"/>
              </w:rPr>
            </w:pPr>
            <w:r>
              <w:rPr>
                <w:rFonts w:hint="eastAsia" w:ascii="仿宋_GB2312" w:hAnsi="Calibri" w:eastAsia="仿宋_GB2312" w:cs="仿宋_GB2312"/>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第三十六条：自然资源主管部门申请人民法院强制执行前，应当催告当事人履行义务。</w:t>
            </w:r>
          </w:p>
        </w:tc>
        <w:tc>
          <w:tcPr>
            <w:tcW w:w="330" w:type="dxa"/>
            <w:tcBorders>
              <w:top w:val="single" w:color="auto" w:sz="4" w:space="0"/>
              <w:left w:val="nil"/>
              <w:bottom w:val="single" w:color="auto" w:sz="4" w:space="0"/>
              <w:right w:val="single" w:color="auto" w:sz="4" w:space="0"/>
            </w:tcBorders>
            <w:shd w:val="clear" w:color="auto" w:fill="auto"/>
            <w:vAlign w:val="center"/>
          </w:tcPr>
          <w:p w14:paraId="3B255A43">
            <w:pPr>
              <w:snapToGrid w:val="0"/>
              <w:spacing w:line="240" w:lineRule="atLeast"/>
              <w:jc w:val="center"/>
              <w:rPr>
                <w:rFonts w:ascii="仿宋_GB2312" w:hAnsi="Calibri" w:eastAsia="仿宋_GB2312" w:cs="仿宋_GB2312"/>
                <w:sz w:val="20"/>
                <w:szCs w:val="20"/>
              </w:rPr>
            </w:pPr>
          </w:p>
        </w:tc>
      </w:tr>
    </w:tbl>
    <w:p w14:paraId="01224DFD"/>
    <w:p w14:paraId="79EAD777"/>
    <w:p w14:paraId="61158C7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67F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6EF559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251623D">
            <w:pPr>
              <w:spacing w:line="240" w:lineRule="atLeast"/>
              <w:rPr>
                <w:rFonts w:asciiTheme="majorEastAsia" w:hAnsiTheme="majorEastAsia" w:eastAsiaTheme="majorEastAsia" w:cstheme="majorEastAsia"/>
                <w:spacing w:val="-20"/>
                <w:sz w:val="20"/>
                <w:szCs w:val="20"/>
              </w:rPr>
            </w:pPr>
          </w:p>
          <w:p w14:paraId="1E2ECE2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57B4D0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96C2B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59FF2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E53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DBD418">
            <w:pPr>
              <w:spacing w:line="240" w:lineRule="atLeast"/>
              <w:jc w:val="left"/>
              <w:rPr>
                <w:rFonts w:ascii="仿宋_GB2312" w:hAnsi="仿宋_GB2312" w:eastAsia="仿宋_GB2312" w:cs="仿宋_GB2312"/>
                <w:sz w:val="20"/>
                <w:szCs w:val="20"/>
              </w:rPr>
            </w:pPr>
          </w:p>
        </w:tc>
        <w:tc>
          <w:tcPr>
            <w:tcW w:w="555" w:type="dxa"/>
            <w:vMerge w:val="continue"/>
          </w:tcPr>
          <w:p w14:paraId="3679CED5">
            <w:pPr>
              <w:spacing w:line="240" w:lineRule="atLeast"/>
              <w:jc w:val="left"/>
              <w:rPr>
                <w:rFonts w:ascii="仿宋_GB2312" w:hAnsi="仿宋_GB2312" w:eastAsia="仿宋_GB2312" w:cs="仿宋_GB2312"/>
                <w:sz w:val="20"/>
                <w:szCs w:val="20"/>
              </w:rPr>
            </w:pPr>
          </w:p>
        </w:tc>
        <w:tc>
          <w:tcPr>
            <w:tcW w:w="784" w:type="dxa"/>
            <w:vAlign w:val="center"/>
          </w:tcPr>
          <w:p w14:paraId="082E44E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F4A9B3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8BA88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47F68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95211F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FC0C7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6BAC1F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23D1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27593D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A187E1D">
            <w:pPr>
              <w:spacing w:line="240" w:lineRule="atLeast"/>
              <w:jc w:val="left"/>
              <w:rPr>
                <w:rFonts w:ascii="仿宋_GB2312" w:hAnsi="仿宋_GB2312" w:eastAsia="仿宋_GB2312" w:cs="仿宋_GB2312"/>
                <w:sz w:val="20"/>
                <w:szCs w:val="20"/>
              </w:rPr>
            </w:pPr>
          </w:p>
        </w:tc>
      </w:tr>
      <w:tr w14:paraId="0045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5D556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183</w:t>
            </w:r>
          </w:p>
        </w:tc>
        <w:tc>
          <w:tcPr>
            <w:tcW w:w="555" w:type="dxa"/>
            <w:vAlign w:val="center"/>
          </w:tcPr>
          <w:p w14:paraId="154ED9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1210D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761C9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强制</w:t>
            </w:r>
          </w:p>
        </w:tc>
        <w:tc>
          <w:tcPr>
            <w:tcW w:w="784" w:type="dxa"/>
            <w:vAlign w:val="center"/>
          </w:tcPr>
          <w:p w14:paraId="06057A8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查封、扣押与涉嫌违法测绘行为直接相关的设备、工具、原材料、测绘成果资料等</w:t>
            </w:r>
          </w:p>
        </w:tc>
        <w:tc>
          <w:tcPr>
            <w:tcW w:w="660" w:type="dxa"/>
            <w:vAlign w:val="center"/>
          </w:tcPr>
          <w:p w14:paraId="5F6C7BE6">
            <w:pPr>
              <w:snapToGrid w:val="0"/>
              <w:spacing w:line="240" w:lineRule="atLeast"/>
              <w:jc w:val="center"/>
              <w:rPr>
                <w:rFonts w:ascii="仿宋_GB2312" w:hAnsi="仿宋_GB2312" w:eastAsia="仿宋_GB2312" w:cs="仿宋_GB2312"/>
                <w:sz w:val="20"/>
                <w:szCs w:val="20"/>
              </w:rPr>
            </w:pPr>
          </w:p>
        </w:tc>
        <w:tc>
          <w:tcPr>
            <w:tcW w:w="615" w:type="dxa"/>
            <w:vAlign w:val="center"/>
          </w:tcPr>
          <w:p w14:paraId="225027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657AD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680A34B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5256F9EE">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38CD30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417E400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1.立案责任：检查发现需要依法查封、扣押与涉嫌违法测绘行为直接相关的设备、工具、原材料、测绘成果资料等，立案并实施查封、扣押。</w:t>
            </w:r>
          </w:p>
          <w:p w14:paraId="4042742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2.告知责任：告知当事人拟实施行政强制措施的决定及事实、理由或证据；当事人依法享有的陈诉权、申辩权。制作并送达《扣押凭证》</w:t>
            </w:r>
          </w:p>
          <w:p w14:paraId="6296618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3.执行责任：依照生效的行政强制措施决定，实施查封、扣押与涉嫌违法测绘行为直接相关的设备、工具、原材料、测绘成果资料等。对查封、扣押的设备、工具、原材料、测绘成果资料等妥善保管。</w:t>
            </w:r>
          </w:p>
          <w:p w14:paraId="3A51A5C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4.解除责任：及时作出解除扣押决定。</w:t>
            </w:r>
          </w:p>
          <w:p w14:paraId="714BB7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C726E0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情况紧急，需要当场实施行政强制措施的，行政执法人员应当在二十四小时内向行政机关负责人报告，并补办批准手续。行政机关负责人认为不应当采取行政强制措施的，应当立即解除。</w:t>
            </w:r>
          </w:p>
          <w:p w14:paraId="1B268A01">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2.【法律】《中华人民共和国行政强制法》第二十四条：行政机关决定实施查封　、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第二十五条查封、扣押的期限不得超过三十日；情况复杂的，经行政机关负责人批准，可以延长，但是延长期限不得超过三十日。法律、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0B5BC06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3.【法律】《中华人民共和国行政强制法》第二十六条：对查封、扣押的场所　、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233340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4.【法律】《中华人民共和国行政强制法》第二十八条：有下列情形之一的，行政机关应当及时作出解除查封、扣押决定： （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330" w:type="dxa"/>
            <w:vAlign w:val="center"/>
          </w:tcPr>
          <w:p w14:paraId="75050DCB">
            <w:pPr>
              <w:snapToGrid w:val="0"/>
              <w:spacing w:line="240" w:lineRule="atLeast"/>
              <w:jc w:val="center"/>
              <w:rPr>
                <w:rFonts w:ascii="仿宋_GB2312" w:hAnsi="仿宋_GB2312" w:eastAsia="仿宋_GB2312" w:cs="仿宋_GB2312"/>
                <w:sz w:val="20"/>
                <w:szCs w:val="20"/>
              </w:rPr>
            </w:pPr>
          </w:p>
        </w:tc>
      </w:tr>
    </w:tbl>
    <w:p w14:paraId="0CCE670D"/>
    <w:p w14:paraId="6FC147AC"/>
    <w:p w14:paraId="7B4391FE"/>
    <w:p w14:paraId="57104AD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084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29A65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C793F66">
            <w:pPr>
              <w:spacing w:line="240" w:lineRule="atLeast"/>
              <w:rPr>
                <w:rFonts w:asciiTheme="majorEastAsia" w:hAnsiTheme="majorEastAsia" w:eastAsiaTheme="majorEastAsia" w:cstheme="majorEastAsia"/>
                <w:spacing w:val="-20"/>
                <w:sz w:val="20"/>
                <w:szCs w:val="20"/>
              </w:rPr>
            </w:pPr>
          </w:p>
          <w:p w14:paraId="52D17A0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D1C116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F6162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EA05D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EF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26A5DE0">
            <w:pPr>
              <w:spacing w:line="240" w:lineRule="atLeast"/>
              <w:jc w:val="left"/>
              <w:rPr>
                <w:rFonts w:ascii="仿宋_GB2312" w:hAnsi="仿宋_GB2312" w:eastAsia="仿宋_GB2312" w:cs="仿宋_GB2312"/>
                <w:sz w:val="20"/>
                <w:szCs w:val="20"/>
              </w:rPr>
            </w:pPr>
          </w:p>
        </w:tc>
        <w:tc>
          <w:tcPr>
            <w:tcW w:w="555" w:type="dxa"/>
            <w:vMerge w:val="continue"/>
          </w:tcPr>
          <w:p w14:paraId="240F158A">
            <w:pPr>
              <w:spacing w:line="240" w:lineRule="atLeast"/>
              <w:jc w:val="left"/>
              <w:rPr>
                <w:rFonts w:ascii="仿宋_GB2312" w:hAnsi="仿宋_GB2312" w:eastAsia="仿宋_GB2312" w:cs="仿宋_GB2312"/>
                <w:sz w:val="20"/>
                <w:szCs w:val="20"/>
              </w:rPr>
            </w:pPr>
          </w:p>
        </w:tc>
        <w:tc>
          <w:tcPr>
            <w:tcW w:w="784" w:type="dxa"/>
            <w:vAlign w:val="center"/>
          </w:tcPr>
          <w:p w14:paraId="3D6A06A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E5EF2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28CF78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5F3D4D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2FE157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57D58C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8335C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CBC999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1541EA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496F8AC">
            <w:pPr>
              <w:spacing w:line="240" w:lineRule="atLeast"/>
              <w:jc w:val="left"/>
              <w:rPr>
                <w:rFonts w:ascii="仿宋_GB2312" w:hAnsi="仿宋_GB2312" w:eastAsia="仿宋_GB2312" w:cs="仿宋_GB2312"/>
                <w:sz w:val="20"/>
                <w:szCs w:val="20"/>
              </w:rPr>
            </w:pPr>
          </w:p>
        </w:tc>
      </w:tr>
      <w:tr w14:paraId="4FD8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67B60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184</w:t>
            </w:r>
          </w:p>
        </w:tc>
        <w:tc>
          <w:tcPr>
            <w:tcW w:w="555" w:type="dxa"/>
            <w:vAlign w:val="center"/>
          </w:tcPr>
          <w:p w14:paraId="0ABD913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行政征收</w:t>
            </w:r>
          </w:p>
        </w:tc>
        <w:tc>
          <w:tcPr>
            <w:tcW w:w="784" w:type="dxa"/>
            <w:vAlign w:val="center"/>
          </w:tcPr>
          <w:p w14:paraId="5E0A564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不动产登记费征收</w:t>
            </w:r>
          </w:p>
        </w:tc>
        <w:tc>
          <w:tcPr>
            <w:tcW w:w="660" w:type="dxa"/>
            <w:vAlign w:val="center"/>
          </w:tcPr>
          <w:p w14:paraId="393DF338">
            <w:pPr>
              <w:snapToGrid w:val="0"/>
              <w:spacing w:line="240" w:lineRule="atLeast"/>
              <w:jc w:val="center"/>
              <w:rPr>
                <w:rFonts w:ascii="仿宋_GB2312" w:hAnsi="仿宋_GB2312" w:eastAsia="仿宋_GB2312" w:cs="仿宋_GB2312"/>
                <w:sz w:val="20"/>
                <w:szCs w:val="20"/>
              </w:rPr>
            </w:pPr>
          </w:p>
        </w:tc>
        <w:tc>
          <w:tcPr>
            <w:tcW w:w="615" w:type="dxa"/>
            <w:vAlign w:val="center"/>
          </w:tcPr>
          <w:p w14:paraId="3BF7A0C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CE4A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861A4B4">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1.【法律】《中华人民共和国民法典》第二百二十三条：不动产登记费按件收取，不得按照不动产的面积、体积或者价款的比例收取。</w:t>
            </w:r>
          </w:p>
          <w:p w14:paraId="0DE387E0">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规范性文件】财政部、国家发展和改革委员会关于不动产登记收费有关政策问题的通知（财税〔2016〕79号）一、国土资源部和县级及以上地方不动产登记机构（以下简称不动产登记机构）办理下列不动产权利的首次登记、变更登记、转移登记、更正登记、异议登记时，收取不动产登记费。</w:t>
            </w:r>
          </w:p>
          <w:p w14:paraId="214DE644">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3.【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工本费标准，以及各地制定的其他有关土地、房屋登记资料查询、复制、证明的收费标准一律废止。</w:t>
            </w:r>
          </w:p>
          <w:p w14:paraId="373A2ECC">
            <w:pPr>
              <w:snapToGrid w:val="0"/>
              <w:spacing w:line="240" w:lineRule="atLeast"/>
              <w:ind w:firstLine="392" w:firstLineChars="200"/>
              <w:rPr>
                <w:rFonts w:ascii="仿宋_GB2312" w:hAnsi="仿宋_GB2312" w:eastAsia="仿宋_GB2312" w:cs="仿宋_GB2312"/>
                <w:sz w:val="20"/>
                <w:szCs w:val="20"/>
              </w:rPr>
            </w:pPr>
            <w:r>
              <w:rPr>
                <w:rFonts w:hint="eastAsia" w:eastAsia="仿宋_GB2312"/>
                <w:snapToGrid w:val="0"/>
                <w:color w:val="000000"/>
                <w:spacing w:val="-2"/>
                <w:sz w:val="20"/>
                <w:szCs w:val="20"/>
              </w:rPr>
              <w:t>4．【规范性文件】</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自治区物价局、</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自治区财政厅、</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3585" w:type="dxa"/>
            <w:vAlign w:val="center"/>
          </w:tcPr>
          <w:p w14:paraId="082EB21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1.受理阶段责任：公示告知土地登记费征收标准、金额计算方式、征收适用类型、征收方式以及其他应当公示的内容；</w:t>
            </w:r>
          </w:p>
          <w:p w14:paraId="529D8F71">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75F2A2B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31B77FE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4．事后监管阶段责任：对未及时缴费进行催报催缴。</w:t>
            </w:r>
          </w:p>
          <w:p w14:paraId="2C83DF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0DBC2A7">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1. 【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本费标准，以及各地制定的其他有关土地、房屋登记资料查询、复制、证明的收费标准一律废止。</w:t>
            </w:r>
          </w:p>
          <w:p w14:paraId="0F5063F4">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【规范性文件】财政部、 国家发展和改革委员会关于不动产登记收费有关政策问题的通知（ 财税〔2016〕79号）一、 国土资源部和县级及以上地方不动产登记机构（以下简称不动产登记机构）办理下列不动产权利的首次登记、变更登记、转移登记、更正登记、异议登记时，收取不动产登记费。</w:t>
            </w:r>
          </w:p>
          <w:p w14:paraId="1E087902">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 【规范性文件】财政部、 国家发展和改革委员会关于不动产登记收费有关政策问题的通知（ 财税〔2016〕79号）十一、国土资源部收取的不动产登记费收入，应全额上缴中央国库，纳入中央财政预算管理，具体收缴办法按照国库集中收缴有关规定执行。县级及以上地方不动产登记机构收取的不动产登记费收入，应全额上缴地方国库，纳入地方财政预算管理，具体缴库办法按照省级财政部门有关规定执行。不动产登记机构开展不动产登记等相关工作所需经费，由同级财政预算统筹安排。</w:t>
            </w:r>
          </w:p>
          <w:p w14:paraId="072AA1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4．【规范性文件】广西壮族自治区物价局 广西壮族自治区财政厅广西壮族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330" w:type="dxa"/>
            <w:vAlign w:val="center"/>
          </w:tcPr>
          <w:p w14:paraId="2F6D0FA5">
            <w:pPr>
              <w:snapToGrid w:val="0"/>
              <w:spacing w:line="240" w:lineRule="atLeast"/>
              <w:jc w:val="center"/>
              <w:rPr>
                <w:rFonts w:ascii="仿宋_GB2312" w:hAnsi="仿宋_GB2312" w:eastAsia="仿宋_GB2312" w:cs="仿宋_GB2312"/>
                <w:sz w:val="20"/>
                <w:szCs w:val="20"/>
              </w:rPr>
            </w:pPr>
          </w:p>
        </w:tc>
      </w:tr>
    </w:tbl>
    <w:p w14:paraId="3DE6E1A3"/>
    <w:p w14:paraId="2240B575"/>
    <w:p w14:paraId="1C9EEAF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788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B8629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6D423CB">
            <w:pPr>
              <w:spacing w:line="240" w:lineRule="atLeast"/>
              <w:rPr>
                <w:rFonts w:asciiTheme="majorEastAsia" w:hAnsiTheme="majorEastAsia" w:eastAsiaTheme="majorEastAsia" w:cstheme="majorEastAsia"/>
                <w:spacing w:val="-20"/>
                <w:sz w:val="20"/>
                <w:szCs w:val="20"/>
              </w:rPr>
            </w:pPr>
          </w:p>
          <w:p w14:paraId="73F6960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36E616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BB6E9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6B1082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CA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E5C0B5C">
            <w:pPr>
              <w:spacing w:line="240" w:lineRule="atLeast"/>
              <w:jc w:val="left"/>
              <w:rPr>
                <w:rFonts w:ascii="仿宋_GB2312" w:hAnsi="仿宋_GB2312" w:eastAsia="仿宋_GB2312" w:cs="仿宋_GB2312"/>
                <w:sz w:val="20"/>
                <w:szCs w:val="20"/>
              </w:rPr>
            </w:pPr>
          </w:p>
        </w:tc>
        <w:tc>
          <w:tcPr>
            <w:tcW w:w="555" w:type="dxa"/>
            <w:vMerge w:val="continue"/>
          </w:tcPr>
          <w:p w14:paraId="3B1405D2">
            <w:pPr>
              <w:spacing w:line="240" w:lineRule="atLeast"/>
              <w:jc w:val="left"/>
              <w:rPr>
                <w:rFonts w:ascii="仿宋_GB2312" w:hAnsi="仿宋_GB2312" w:eastAsia="仿宋_GB2312" w:cs="仿宋_GB2312"/>
                <w:sz w:val="20"/>
                <w:szCs w:val="20"/>
              </w:rPr>
            </w:pPr>
          </w:p>
        </w:tc>
        <w:tc>
          <w:tcPr>
            <w:tcW w:w="784" w:type="dxa"/>
            <w:vAlign w:val="center"/>
          </w:tcPr>
          <w:p w14:paraId="72AE729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C8C46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AB547B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0FF9B2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238C80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294E7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EC9E2E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15E8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D701E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391408">
            <w:pPr>
              <w:spacing w:line="240" w:lineRule="atLeast"/>
              <w:jc w:val="left"/>
              <w:rPr>
                <w:rFonts w:ascii="仿宋_GB2312" w:hAnsi="仿宋_GB2312" w:eastAsia="仿宋_GB2312" w:cs="仿宋_GB2312"/>
                <w:sz w:val="20"/>
                <w:szCs w:val="20"/>
              </w:rPr>
            </w:pPr>
          </w:p>
        </w:tc>
      </w:tr>
      <w:tr w14:paraId="4031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E1C75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185</w:t>
            </w:r>
          </w:p>
        </w:tc>
        <w:tc>
          <w:tcPr>
            <w:tcW w:w="555" w:type="dxa"/>
            <w:vAlign w:val="center"/>
          </w:tcPr>
          <w:p w14:paraId="79C82F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341DB7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耕地开垦费征收</w:t>
            </w:r>
          </w:p>
        </w:tc>
        <w:tc>
          <w:tcPr>
            <w:tcW w:w="660" w:type="dxa"/>
            <w:vAlign w:val="center"/>
          </w:tcPr>
          <w:p w14:paraId="3EB04C9A">
            <w:pPr>
              <w:snapToGrid w:val="0"/>
              <w:spacing w:line="240" w:lineRule="atLeast"/>
              <w:jc w:val="center"/>
              <w:rPr>
                <w:rFonts w:ascii="仿宋_GB2312" w:hAnsi="仿宋_GB2312" w:eastAsia="仿宋_GB2312" w:cs="仿宋_GB2312"/>
                <w:sz w:val="20"/>
                <w:szCs w:val="20"/>
              </w:rPr>
            </w:pPr>
          </w:p>
        </w:tc>
        <w:tc>
          <w:tcPr>
            <w:tcW w:w="615" w:type="dxa"/>
            <w:vAlign w:val="center"/>
          </w:tcPr>
          <w:p w14:paraId="5C0D1B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65DC4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DCA8931">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【法律】《中华人民共和国土地管理法》第三十条：国家保护耕地、严格控制耕地转为非耕地。</w:t>
            </w:r>
          </w:p>
          <w:p w14:paraId="2DAE18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w:t>
            </w:r>
          </w:p>
        </w:tc>
        <w:tc>
          <w:tcPr>
            <w:tcW w:w="3585" w:type="dxa"/>
            <w:vAlign w:val="center"/>
          </w:tcPr>
          <w:p w14:paraId="6F2BCF8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1.受理责任：依法受理或不予受理，并一次性告知不予受理的理由或需补充提供的资料。</w:t>
            </w:r>
          </w:p>
          <w:p w14:paraId="618E0DB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2.审核责任：审核申请人提供的农用地转用方案、补充耕地方案或“先补后占”验收结果申报信息的准确性。</w:t>
            </w:r>
          </w:p>
          <w:p w14:paraId="0E6609F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3.决定责任：做出审核决定，开具《缴款通知书》。</w:t>
            </w:r>
          </w:p>
          <w:p w14:paraId="03050A4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4．监管责任：自治区财政部门、价格、自然资源管理部门有权对缴费人缴纳耕地开垦费的情况进行检查。</w:t>
            </w:r>
          </w:p>
          <w:p w14:paraId="08240FB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9DCD141">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1.【规范性文件】《广西壮族自治区财政厅 广西壮族自治区自然资源厅 广西壮族自治区发展和改革委员会关于规范和调整我区耕地开垦费征收标准和使用管理政策的通知》（桂财税〔2019〕35号）第二条第（二）款第4项 缴纳义务人根据《耕地开垦费缴款通知书》的要求，在规定时间内将应缴纳的耕地开垦费全额缴入自治区自然资源厅非税收入汇缴专户。第6项 属于自治区人民政府授权或委托设区市人民政府批准的乡镇批次用地农用地转用和土地征收用地、设区市人民政府批准不涉及征收土地的农用地转用缴纳耕地开垦费，由设区市国土资源行政管理部门参照上述程序组织征收。</w:t>
            </w:r>
          </w:p>
          <w:p w14:paraId="660F959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2—1.【规范性文件】《广西壮族自治区财政厅 广西壮族自治区自然资源厅 广西壮族自治区发展和改革委员会关于规范和调整我区耕地开垦费征收标准和使用管理政策的通知》（桂财税〔2019〕35号）第二条第（一）款 ：耕地开垦费征收标准。综合考虑耕地开发成本、补充耕地地力培肥、后期管护、占用耕地耕作层剥离利用等因素，按建设项目占用永久基本农田和一般耕地及地类、耕地质量等因素分别确定其征收标准。对经依法批准占用永久基本农田的，缴费标准按照耕地开垦费最高标准的两倍执行。批次用地、单独选址项目等非农建设（含基础设施重大项目）经批准占用耕地，无法自行落实占补平衡的，应当按照上述标准缴纳耕地开垦费。</w:t>
            </w:r>
          </w:p>
          <w:p w14:paraId="31B0139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2—2.【规范性文件】国务院《关于深化改革严格土地管理的决定》（国发〔2004〕28号）第二条第（十一）款 ：经批准占用基本农田的，征地补偿按法定最高标准执行，对以缴纳耕地开垦费方式补充耕地的，缴纳标准按当地最高标准执行。</w:t>
            </w:r>
          </w:p>
          <w:p w14:paraId="22D9F3C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2—3.【规范性文件】国土资源部《关于严格土地利用总体规划实施管理的通知》（国土资发〔2012〕2号）第二条第（二）款 ：列入县、乡级土地利用总体规划设定的交通廊道内，或已列入土地利用总体规划重点建设项目清单的民生、环保等特殊项目，在不突破多划基本农田面积额度的前提下，占用基本农田保护区中规划多划的基本农田时，按一般耕地办理建设用地审批手续，不需另外补划基本农田，但用地单位必须落实补充耕地任务，按占用基本农田标准缴纳税费和对农民进行补偿。</w:t>
            </w:r>
          </w:p>
          <w:p w14:paraId="299462D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4．【规范性文件】《中共中央国务院关于加强耕地保护和改进占补平衡的意见》（中发〔2017〕4号）第三条第（七）款：对经依法批准占用永久基本农田的，缴费标准按照当地耕地开垦费最高标准的两倍执行。</w:t>
            </w:r>
          </w:p>
          <w:p w14:paraId="6B6EDA8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2—5．【规范性文件】《广西壮族自治区财政厅 广西壮族自治区发展和改革委员会 广西壮族自治区自然资源厅关于进一步明确建设项目用地占用永久基本农田耕地开垦费有关事项的通知》（桂财规〔2019〕2号） 我区建设项目用地经批准占用永久基本农田，区分不同地类，耕地开垦费缴费标准分别按自治区财政厅、国土资源厅、物价局《关于调整广西耕地开垦费征收标准和使用政策有关问题的通知》（桂财税〔2016〕38号）中一般耕地类型水田（水浇地）地类和旱地地类最高征收标准的两倍执行，即占用永久基本农田（水浇地）的，耕地开垦费缴费标准不分耕地等别档次统一为80元/平方米（80万元/公顷）；占用永久基本农田旱地的，耕地开垦费缴费标准不分耕地等别档次统一为40元/平方米（40万元/公顷）。</w:t>
            </w:r>
          </w:p>
          <w:p w14:paraId="6EC8EE92">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3.【规范性文件】《广西壮族自治区财政厅 广西壮族自治区自然资源厅 广西壮族自治区发展和改革委员会关于规范和调整我区耕地开垦费征收标准和使用管理政策的通知》（桂财税〔2019〕35号）第二条第（二）款第2项：自治区自然资源厅依据批准的国土空间规划（土地利用总体规划）和土地利用年度计划对申报用地的缴纳义务人报送的农用地转用方案、补充耕地方案或“先补后占”验收结果进行审查，审定其是否应交纳耕地开垦费，以及应缴纳耕地开垦费的征收标准及数额，并下达《耕地开垦费缴款通知书》。第3项 《耕地开垦费缴款通知书》应明确缴纳义务人的名称、建设用地的地类、面积、耕地开垦费的征收标准和具体数额。</w:t>
            </w:r>
          </w:p>
          <w:p w14:paraId="6A93EF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4．【规范性文件】《广西壮族自治区财政厅 广西壮族自治区自然资源厅 广西壮族自治区发展和改革委员会关于规范和调整我区耕地开垦费征收标准和使用管理政策的通知》（桂财税〔2019〕35号）第四条第（一）款 ：各市、县财政、自然资源主管部门要制定全耕地开垦费资金征收使用管理制度和绩效评价制度，努力提高资金使用效益，切实加强耕地开垦费的征收使用管理。第（二）款 ：对擅自设立征收项目、提高征收标准、扩大征收范围、截留和挪用耕地开垦费等违法违纪行为以及不按照支出方向保障建设项目占用耕地“占一补一、占优补优、占水田补水田”的单位与个人，按有关法律、法规规定严肃处理，并追究主管人员及其他直接责任人员的行政、经济责任。涉嫌犯罪的，移送司法机关依法追究刑事责任。</w:t>
            </w:r>
          </w:p>
        </w:tc>
        <w:tc>
          <w:tcPr>
            <w:tcW w:w="330" w:type="dxa"/>
            <w:vAlign w:val="center"/>
          </w:tcPr>
          <w:p w14:paraId="67D575A5">
            <w:pPr>
              <w:snapToGrid w:val="0"/>
              <w:spacing w:line="240" w:lineRule="atLeast"/>
              <w:jc w:val="center"/>
              <w:rPr>
                <w:rFonts w:ascii="仿宋_GB2312" w:hAnsi="仿宋_GB2312" w:eastAsia="仿宋_GB2312" w:cs="仿宋_GB2312"/>
                <w:sz w:val="20"/>
                <w:szCs w:val="20"/>
              </w:rPr>
            </w:pPr>
          </w:p>
        </w:tc>
      </w:tr>
    </w:tbl>
    <w:p w14:paraId="33F758BC"/>
    <w:p w14:paraId="1A56925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2865"/>
        <w:gridCol w:w="10235"/>
        <w:gridCol w:w="330"/>
      </w:tblGrid>
      <w:tr w14:paraId="61D4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277578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2D5A966">
            <w:pPr>
              <w:spacing w:line="240" w:lineRule="atLeast"/>
              <w:rPr>
                <w:rFonts w:asciiTheme="majorEastAsia" w:hAnsiTheme="majorEastAsia" w:eastAsiaTheme="majorEastAsia" w:cstheme="majorEastAsia"/>
                <w:spacing w:val="-20"/>
                <w:sz w:val="20"/>
                <w:szCs w:val="20"/>
              </w:rPr>
            </w:pPr>
          </w:p>
          <w:p w14:paraId="6744E1F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1E2AD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B256A1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F6C6CF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C95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7B9A244">
            <w:pPr>
              <w:spacing w:line="240" w:lineRule="atLeast"/>
              <w:jc w:val="left"/>
              <w:rPr>
                <w:rFonts w:ascii="仿宋_GB2312" w:hAnsi="仿宋_GB2312" w:eastAsia="仿宋_GB2312" w:cs="仿宋_GB2312"/>
                <w:sz w:val="20"/>
                <w:szCs w:val="20"/>
              </w:rPr>
            </w:pPr>
          </w:p>
        </w:tc>
        <w:tc>
          <w:tcPr>
            <w:tcW w:w="555" w:type="dxa"/>
            <w:vMerge w:val="continue"/>
          </w:tcPr>
          <w:p w14:paraId="5C3EDD1B">
            <w:pPr>
              <w:spacing w:line="240" w:lineRule="atLeast"/>
              <w:jc w:val="left"/>
              <w:rPr>
                <w:rFonts w:ascii="仿宋_GB2312" w:hAnsi="仿宋_GB2312" w:eastAsia="仿宋_GB2312" w:cs="仿宋_GB2312"/>
                <w:sz w:val="20"/>
                <w:szCs w:val="20"/>
              </w:rPr>
            </w:pPr>
          </w:p>
        </w:tc>
        <w:tc>
          <w:tcPr>
            <w:tcW w:w="784" w:type="dxa"/>
            <w:vAlign w:val="center"/>
          </w:tcPr>
          <w:p w14:paraId="45DB2FC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E65D7A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68CCD9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DFB8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F8993D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7B335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2865" w:type="dxa"/>
            <w:vAlign w:val="center"/>
          </w:tcPr>
          <w:p w14:paraId="7BA808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17264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71DEE9D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4239146">
            <w:pPr>
              <w:spacing w:line="240" w:lineRule="atLeast"/>
              <w:jc w:val="left"/>
              <w:rPr>
                <w:rFonts w:ascii="仿宋_GB2312" w:hAnsi="仿宋_GB2312" w:eastAsia="仿宋_GB2312" w:cs="仿宋_GB2312"/>
                <w:sz w:val="20"/>
                <w:szCs w:val="20"/>
              </w:rPr>
            </w:pPr>
          </w:p>
        </w:tc>
      </w:tr>
      <w:tr w14:paraId="6C61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BA1DA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186</w:t>
            </w:r>
          </w:p>
        </w:tc>
        <w:tc>
          <w:tcPr>
            <w:tcW w:w="555" w:type="dxa"/>
            <w:vAlign w:val="center"/>
          </w:tcPr>
          <w:p w14:paraId="7E06AD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659CAA3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土地闲置费征收</w:t>
            </w:r>
          </w:p>
        </w:tc>
        <w:tc>
          <w:tcPr>
            <w:tcW w:w="660" w:type="dxa"/>
            <w:vAlign w:val="center"/>
          </w:tcPr>
          <w:p w14:paraId="76E15020">
            <w:pPr>
              <w:snapToGrid w:val="0"/>
              <w:spacing w:line="240" w:lineRule="atLeast"/>
              <w:jc w:val="center"/>
              <w:rPr>
                <w:rFonts w:ascii="仿宋_GB2312" w:hAnsi="仿宋_GB2312" w:eastAsia="仿宋_GB2312" w:cs="仿宋_GB2312"/>
                <w:sz w:val="20"/>
                <w:szCs w:val="20"/>
              </w:rPr>
            </w:pPr>
          </w:p>
        </w:tc>
        <w:tc>
          <w:tcPr>
            <w:tcW w:w="615" w:type="dxa"/>
            <w:vAlign w:val="center"/>
          </w:tcPr>
          <w:p w14:paraId="359492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555B3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自然资源开发利用科</w:t>
            </w:r>
          </w:p>
        </w:tc>
        <w:tc>
          <w:tcPr>
            <w:tcW w:w="4605" w:type="dxa"/>
            <w:vAlign w:val="center"/>
          </w:tcPr>
          <w:p w14:paraId="11803EF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二十六条：以出让方式取得土地使用权进行房地产开发的，必须按照土地使用权出让合同约定的土地用途、动工开发期限开发土地。超过出让合同约定的动工开发日期满一年未动工开发的，可以征收相当于土地使用权出让金百分之二十以下的土地闲置费；满二年未动工开发的，可以无偿收回土地使用权；但是，因不可抗力或者政府、政府有关部门的行为或者动工开发必需的前期工作造成动工开发迟延的除外。</w:t>
            </w:r>
          </w:p>
          <w:p w14:paraId="7E47005E">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城市房地产开发经营管理条例》（1998年国务院令第248号发布，2020年国务院令第726号修订）第十五条：房地产开发企业应当按照土地使用权出让合同约定的土地用途、动工开发期限进行项目开发建设。出让合同约定的动工开发期限满1年未动工开发的，可以征收相当于土地使用权出让金20%以下的土地闲置费；满2年未动工开发的，可以无偿收回土地使用权。但是，因不可抗力或者政府、政府有关部门的行为或者动工开发必需的前期工作造成动工迟延的除外。</w:t>
            </w:r>
          </w:p>
          <w:p w14:paraId="67AA8E0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3.【部门规章】《闲置土地处置办法》（2012年国土资源部令第53号）第十四条：除本办法第八条规定情形外，闲置土地按照下列方式处理：</w:t>
            </w:r>
          </w:p>
          <w:p w14:paraId="39EF79AE">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动工开发满1年的，由市、县国土资源主管部门报经本级人民政府批准后，向国有建设用地使用权人下达《征缴土地闲置费决定书》，按照土地出让或者划拨价款的20%征缴土地闲置费。土地闲置费不得列入生产成本。</w:t>
            </w:r>
          </w:p>
          <w:p w14:paraId="02B60F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tc>
        <w:tc>
          <w:tcPr>
            <w:tcW w:w="2865" w:type="dxa"/>
            <w:vAlign w:val="center"/>
          </w:tcPr>
          <w:p w14:paraId="345161C8">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1.受理阶段责任：公示告知土地闲置费征收标准、金额计算方式、征收适用类型、征收方式以及其他应当公示的内容；</w:t>
            </w:r>
          </w:p>
          <w:p w14:paraId="744C953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3F04B77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44290B7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4.事后监管阶段责任：对未及时缴费进行催报催缴。</w:t>
            </w:r>
          </w:p>
          <w:p w14:paraId="25F305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10235" w:type="dxa"/>
            <w:vAlign w:val="center"/>
          </w:tcPr>
          <w:p w14:paraId="3A408AE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1.【部门规章】《闲置土地处置办法》（2012年国土资源部令第53号）第五条：市、县国土资源主管部门发现有涉嫌构成本办法第二条规定的闲置土地的，应当在三十日内开展调查核实，向国有建设用地使用权人发出《闲置土地调查通知书》。国有建设用地使用权人应当在接到《闲置土地调查通知书》之日起三十日内，按照要求提供土地开发利用情况、闲置原因以及相关说明等材料。 </w:t>
            </w:r>
          </w:p>
          <w:p w14:paraId="3D809FA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闲置土地调查通知书》应当包括下列内容：（一）国有建设用地使用权人的姓名或者名称、地址；（二）涉嫌闲置土地的基本情况；（三）涉嫌闲置土地的事实和依据；（四）调查的主要内容及提交材料的期限；（五）国有建设用地使用权人的权利和义务；（六）其他需要调查的事项。</w:t>
            </w:r>
          </w:p>
          <w:p w14:paraId="20EEADE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闲置土地处置办法》（2012年国土资源部令第53号）第七条：市、县国土资源主管部门履行闲置土地调查职责，可以采取下列措施：（一）询问当事人及其他证人；（二）现场勘测、拍照、摄像；（三）查阅、复制与被调查人有关的土地资料；（四）要求被调查人就有关土地权利及使用问题作出说明。</w:t>
            </w:r>
          </w:p>
          <w:p w14:paraId="6A7DA20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3.【部门规章】《闲置土地处置办法》（2012年国土资源部令第53号）第九条：经调查核实，符合本办法第二条规定条件，构成闲置土地的，市、县国土资源主管部门应当向国有建设用地使用权人下达《闲置土地认定书》。 </w:t>
            </w:r>
          </w:p>
          <w:p w14:paraId="6E07493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第十条：《闲置土地认定书》应当载明下列事项：（一）国有建设用地使用权人的姓名或者名称、地址；（二）闲置土地的基本情况；（三）认定土地闲置的事实、依据；（四）闲置原因及认定结论；（五）其他需要说明的事项。 </w:t>
            </w:r>
          </w:p>
          <w:p w14:paraId="74B6736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一条：《闲置土地认定书》下达后，市、县国土资源主管部门应当通过门户网站等形式向社会公开闲置土地的位置、国有建设用地使用权人名称、闲置时间等信息；属于政府或者政府有关部门的行为导致土地闲置的，应当同时公开闲置原因，并书面告知有关政府或者政府部门。上级国土资源主管部门应当及时汇总下级国土资源主管部门上报的闲置土地信息，并在门户网站上公开。闲置土地在没有处置完毕前，相关信息应当长期公开。闲置土地处置完毕后，应当及时撤销相关信息。</w:t>
            </w:r>
          </w:p>
          <w:p w14:paraId="5F01139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二条：因本办法第八条规定情形造成土地闲置的，市、县国土资源主管部门应当与国有建设用地使用权人协商，选择下列方式处置：（一）延长动工开发期限。签订补充协议，重新约定动工开发、竣工期限和违约责任。从补充协议约定的动工开发日期起，延长动工开发期限最长不得超过一年；（二）调整土地用途、规划条件。按照新用途或者新规划条件重新办理相关用地手续，并按照新用途或者新规划条件核算、收缴或者退还土地价款。改变用途后的土地利用必须符合土地利用总体规划和城乡规划；（三）由政府安排临时使用。待原项目具备开发建设条件，国有建设用地使用权人重新开发建设。从安排临时使用之日起，临时使用期限最长不得超过两年；（四）协议有偿收回国有建设用地使用权；（五）置换土地。对已缴清土地价款、落实项目资金，且因规划依法修改造成闲置的，可以为国有建设用地使用权人置换其它价值相当、用途相同的国有建设用地进行开发建设。涉及出让土地的，应当重新签订土地出让合同，并在合同中注明为置换土地；（六）市、县国土资源主管部门还可以根据实际情况规定其他处置方式。除前款第四项规定外，动工开发时间按照新约定、规定的时间重新起算。符合本办法第二条第二款规定情形的闲置土地，依照本条规定的方式处置。</w:t>
            </w:r>
          </w:p>
          <w:p w14:paraId="5D3AF91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市、县国土资源主管部门与国有建设用地使用权人协商一致后，应当拟订闲置土地处置方案，报本级人民政府批准后实施。闲置土地设有抵押权的，市、县国土资源主管部门在拟订闲置土地处置方案时，应当书面通知相关抵押权人。</w:t>
            </w:r>
          </w:p>
          <w:p w14:paraId="1048DA2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除本办法第八条规定情形外，闲置土地按照下列方式处理：（一）未动工开发满一年的，由市、县国土资源主管部门报经本级人民政府批准后，向国有建设用地使用权人下达《征缴土地闲置费决定书》，按照土地出让或者划拨价款的百分之二十征缴土地闲置费。土地闲置费不得列入生产成本；（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p w14:paraId="7A0D431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闲置土地处置办法》（2012年国土资源部令第53号）第二十五条：市、县国土资源主管部门应当将本行政区域内的闲置土地信息按宗录入土地市场动态监测与监管系统备案。闲置土地按照规定处置完毕后，市、县国土资源主管部门应当及时更新该宗土地相关信息。闲置土地未按照规定备案的，不得采取本办法第十二条规定的方式处置。</w:t>
            </w:r>
          </w:p>
          <w:p w14:paraId="25E0177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第二十六条：市、县国土资源主管部门应当将国有建设用地使用权人闲置土地的信息抄送金融监管等部门。</w:t>
            </w:r>
          </w:p>
          <w:p w14:paraId="383C6A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部门规章】《闲置土地处置办法》（2012年国土资源部令第53号）第十五条：市、县国土资源主管部门在依照本办法第十四条规定作出征缴土地闲置费、收回国有建设用地使用权决定前，应当书面告知国有建设用地使用权人有申请听证的权利。国有建设用地使用权人要求举行听证的，市、县国土资源主管部门应当依照《国土资源听证规定》依法组织听证。</w:t>
            </w:r>
          </w:p>
        </w:tc>
        <w:tc>
          <w:tcPr>
            <w:tcW w:w="330" w:type="dxa"/>
            <w:vAlign w:val="center"/>
          </w:tcPr>
          <w:p w14:paraId="609EA49F">
            <w:pPr>
              <w:snapToGrid w:val="0"/>
              <w:spacing w:line="240" w:lineRule="atLeast"/>
              <w:jc w:val="center"/>
              <w:rPr>
                <w:rFonts w:ascii="仿宋_GB2312" w:hAnsi="仿宋_GB2312" w:eastAsia="仿宋_GB2312" w:cs="仿宋_GB2312"/>
                <w:sz w:val="20"/>
                <w:szCs w:val="20"/>
              </w:rPr>
            </w:pPr>
          </w:p>
        </w:tc>
      </w:tr>
    </w:tbl>
    <w:p w14:paraId="7FA7E4F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43D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61CF6D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0E9A241">
            <w:pPr>
              <w:spacing w:line="240" w:lineRule="atLeast"/>
              <w:rPr>
                <w:rFonts w:asciiTheme="majorEastAsia" w:hAnsiTheme="majorEastAsia" w:eastAsiaTheme="majorEastAsia" w:cstheme="majorEastAsia"/>
                <w:spacing w:val="-20"/>
                <w:sz w:val="20"/>
                <w:szCs w:val="20"/>
              </w:rPr>
            </w:pPr>
          </w:p>
          <w:p w14:paraId="0729D84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025F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DC0174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E3817B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C21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4926682">
            <w:pPr>
              <w:spacing w:line="240" w:lineRule="atLeast"/>
              <w:jc w:val="left"/>
              <w:rPr>
                <w:rFonts w:ascii="仿宋_GB2312" w:hAnsi="仿宋_GB2312" w:eastAsia="仿宋_GB2312" w:cs="仿宋_GB2312"/>
                <w:sz w:val="20"/>
                <w:szCs w:val="20"/>
              </w:rPr>
            </w:pPr>
          </w:p>
        </w:tc>
        <w:tc>
          <w:tcPr>
            <w:tcW w:w="555" w:type="dxa"/>
            <w:vMerge w:val="continue"/>
          </w:tcPr>
          <w:p w14:paraId="609FA529">
            <w:pPr>
              <w:spacing w:line="240" w:lineRule="atLeast"/>
              <w:jc w:val="left"/>
              <w:rPr>
                <w:rFonts w:ascii="仿宋_GB2312" w:hAnsi="仿宋_GB2312" w:eastAsia="仿宋_GB2312" w:cs="仿宋_GB2312"/>
                <w:sz w:val="20"/>
                <w:szCs w:val="20"/>
              </w:rPr>
            </w:pPr>
          </w:p>
        </w:tc>
        <w:tc>
          <w:tcPr>
            <w:tcW w:w="784" w:type="dxa"/>
            <w:vAlign w:val="center"/>
          </w:tcPr>
          <w:p w14:paraId="02843FB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70AB7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684DB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B243C8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1615D7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6636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5FA84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095EB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229AEA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B431749">
            <w:pPr>
              <w:spacing w:line="240" w:lineRule="atLeast"/>
              <w:jc w:val="left"/>
              <w:rPr>
                <w:rFonts w:ascii="仿宋_GB2312" w:hAnsi="仿宋_GB2312" w:eastAsia="仿宋_GB2312" w:cs="仿宋_GB2312"/>
                <w:sz w:val="20"/>
                <w:szCs w:val="20"/>
              </w:rPr>
            </w:pPr>
          </w:p>
        </w:tc>
      </w:tr>
      <w:tr w14:paraId="6E39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1A963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187</w:t>
            </w:r>
          </w:p>
        </w:tc>
        <w:tc>
          <w:tcPr>
            <w:tcW w:w="555" w:type="dxa"/>
            <w:vAlign w:val="center"/>
          </w:tcPr>
          <w:p w14:paraId="79B796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3B3006C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测绘成果使用费征收</w:t>
            </w:r>
          </w:p>
        </w:tc>
        <w:tc>
          <w:tcPr>
            <w:tcW w:w="660" w:type="dxa"/>
            <w:vAlign w:val="center"/>
          </w:tcPr>
          <w:p w14:paraId="4B0EACB2">
            <w:pPr>
              <w:snapToGrid w:val="0"/>
              <w:spacing w:line="240" w:lineRule="atLeast"/>
              <w:jc w:val="center"/>
              <w:rPr>
                <w:rFonts w:ascii="仿宋_GB2312" w:hAnsi="仿宋_GB2312" w:eastAsia="仿宋_GB2312" w:cs="仿宋_GB2312"/>
                <w:sz w:val="20"/>
                <w:szCs w:val="20"/>
              </w:rPr>
            </w:pPr>
          </w:p>
        </w:tc>
        <w:tc>
          <w:tcPr>
            <w:tcW w:w="615" w:type="dxa"/>
            <w:vAlign w:val="center"/>
          </w:tcPr>
          <w:p w14:paraId="2AAAC1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DFCA1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542A250D">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1.【法律】《中华人民共和国测绘法》第三十六条：基础测绘成果和国家投资完成的其他测绘成果，用于政府决策、国防建设和公共服务的，应当无偿提供。</w:t>
            </w:r>
          </w:p>
          <w:p w14:paraId="4A201288">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除前款规定情形外，测绘成果依法实行有偿使用制度。但是，各级人民政府及有关部门和军队因防灾减灾、应对突发事件、维护国家安全等公共利益的需要，可以无偿使用。</w:t>
            </w:r>
          </w:p>
          <w:p w14:paraId="3D38CD7F">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测绘成果使用的具体办法由国务院规定。</w:t>
            </w:r>
          </w:p>
          <w:p w14:paraId="56F9AE2E">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2.【行政法规】《中华人民共和国测绘成果管理条例》（2006年国务院令第469号）第十九条：基础测绘成果和财政投资完成的其他测绘成果，用于国家机关决策和社会公益性事业的，应当无偿提供。</w:t>
            </w:r>
          </w:p>
          <w:p w14:paraId="0546C51D">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除前款规定外，测绘成果依法实行有偿使用制度。但是，各级人民政府及其有关部门和军队因防灾、减灾、国防建设等公共利益的需要，可以无偿使用测绘成果。</w:t>
            </w:r>
          </w:p>
          <w:p w14:paraId="5CCDA15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依法有偿使用测绘成果的，使用人与测绘项目出资人应当签订书面协议，明确双方的权利和义务。</w:t>
            </w:r>
          </w:p>
        </w:tc>
        <w:tc>
          <w:tcPr>
            <w:tcW w:w="3585" w:type="dxa"/>
            <w:vAlign w:val="center"/>
          </w:tcPr>
          <w:p w14:paraId="5BF99707">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1.受理责任：公示测绘成果使用费征收需要提交的全部材料的目录，自收到申请材料5个工作日内作出不予受理、补正材料或者予以受理的决定。</w:t>
            </w:r>
          </w:p>
          <w:p w14:paraId="4E3B67EF">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材料的准确性和真实性，提出审查意见。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14:paraId="05DE4031">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3.决定责任：做出审核决定，开具缴费凭证。</w:t>
            </w:r>
          </w:p>
          <w:p w14:paraId="67353439">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4．监管责任：建立涉密基础测绘成果资料提供使用档案，加强涉密基础测绘成果资料提供使用监督检查，保护测绘地理信息资源免遭破坏；</w:t>
            </w:r>
          </w:p>
          <w:p w14:paraId="7B9C501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6592E108">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测绘成果管理条例》（2006年国务院令第469号）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p w14:paraId="7A8420C9">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绘成果管理条例》（2006年国务院令第469号）第十九条：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14:paraId="3A3D1CFC">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3.【规范性文件】《财政部 国家发展改革委关于清理规范一批行政事业收费有关政策的通知》（财税〔2017〕20号）自2017年4月1日起，取消或停征41项中央设立的行政事业性收费（具体项目见附件）。即附件第一点取消或停征的涉行政事业性收费第23项测绘成果成图资料收费。</w:t>
            </w:r>
          </w:p>
          <w:p w14:paraId="558926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330" w:type="dxa"/>
            <w:vAlign w:val="center"/>
          </w:tcPr>
          <w:p w14:paraId="1B20E39B">
            <w:pPr>
              <w:snapToGrid w:val="0"/>
              <w:spacing w:line="240" w:lineRule="atLeast"/>
              <w:jc w:val="center"/>
              <w:rPr>
                <w:rFonts w:ascii="仿宋_GB2312" w:hAnsi="仿宋_GB2312" w:eastAsia="仿宋_GB2312" w:cs="仿宋_GB2312"/>
                <w:sz w:val="20"/>
                <w:szCs w:val="20"/>
              </w:rPr>
            </w:pPr>
          </w:p>
        </w:tc>
      </w:tr>
    </w:tbl>
    <w:p w14:paraId="59D521E1"/>
    <w:p w14:paraId="6D04CCA2"/>
    <w:p w14:paraId="7E8AB72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690"/>
        <w:gridCol w:w="3000"/>
        <w:gridCol w:w="8015"/>
        <w:gridCol w:w="330"/>
      </w:tblGrid>
      <w:tr w14:paraId="4743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01442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44AF9CB">
            <w:pPr>
              <w:spacing w:line="240" w:lineRule="atLeast"/>
              <w:rPr>
                <w:rFonts w:asciiTheme="majorEastAsia" w:hAnsiTheme="majorEastAsia" w:eastAsiaTheme="majorEastAsia" w:cstheme="majorEastAsia"/>
                <w:spacing w:val="-20"/>
                <w:sz w:val="20"/>
                <w:szCs w:val="20"/>
              </w:rPr>
            </w:pPr>
          </w:p>
          <w:p w14:paraId="580F8E6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859" w:type="dxa"/>
            <w:gridSpan w:val="5"/>
            <w:vAlign w:val="center"/>
          </w:tcPr>
          <w:p w14:paraId="7A5AEA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015" w:type="dxa"/>
            <w:gridSpan w:val="2"/>
            <w:vAlign w:val="center"/>
          </w:tcPr>
          <w:p w14:paraId="2898563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1A507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622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094A179">
            <w:pPr>
              <w:spacing w:line="240" w:lineRule="atLeast"/>
              <w:jc w:val="left"/>
              <w:rPr>
                <w:rFonts w:ascii="仿宋_GB2312" w:hAnsi="仿宋_GB2312" w:eastAsia="仿宋_GB2312" w:cs="仿宋_GB2312"/>
                <w:sz w:val="20"/>
                <w:szCs w:val="20"/>
              </w:rPr>
            </w:pPr>
          </w:p>
        </w:tc>
        <w:tc>
          <w:tcPr>
            <w:tcW w:w="555" w:type="dxa"/>
            <w:vMerge w:val="continue"/>
          </w:tcPr>
          <w:p w14:paraId="0FAF444B">
            <w:pPr>
              <w:spacing w:line="240" w:lineRule="atLeast"/>
              <w:jc w:val="left"/>
              <w:rPr>
                <w:rFonts w:ascii="仿宋_GB2312" w:hAnsi="仿宋_GB2312" w:eastAsia="仿宋_GB2312" w:cs="仿宋_GB2312"/>
                <w:sz w:val="20"/>
                <w:szCs w:val="20"/>
              </w:rPr>
            </w:pPr>
          </w:p>
        </w:tc>
        <w:tc>
          <w:tcPr>
            <w:tcW w:w="784" w:type="dxa"/>
            <w:vAlign w:val="center"/>
          </w:tcPr>
          <w:p w14:paraId="3D6D8C4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0B2E2F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9382AB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A698B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54856A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690" w:type="dxa"/>
            <w:vAlign w:val="center"/>
          </w:tcPr>
          <w:p w14:paraId="314B3D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000" w:type="dxa"/>
            <w:vAlign w:val="center"/>
          </w:tcPr>
          <w:p w14:paraId="02EEBB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41E79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015" w:type="dxa"/>
            <w:vAlign w:val="center"/>
          </w:tcPr>
          <w:p w14:paraId="3C8FC4E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733B548">
            <w:pPr>
              <w:spacing w:line="240" w:lineRule="atLeast"/>
              <w:jc w:val="left"/>
              <w:rPr>
                <w:rFonts w:ascii="仿宋_GB2312" w:hAnsi="仿宋_GB2312" w:eastAsia="仿宋_GB2312" w:cs="仿宋_GB2312"/>
                <w:sz w:val="20"/>
                <w:szCs w:val="20"/>
              </w:rPr>
            </w:pPr>
          </w:p>
        </w:tc>
      </w:tr>
      <w:tr w14:paraId="4EA5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E01FD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188</w:t>
            </w:r>
          </w:p>
        </w:tc>
        <w:tc>
          <w:tcPr>
            <w:tcW w:w="555" w:type="dxa"/>
            <w:vAlign w:val="center"/>
          </w:tcPr>
          <w:p w14:paraId="06316B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35DB870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国有土地使用权出让征收</w:t>
            </w:r>
          </w:p>
        </w:tc>
        <w:tc>
          <w:tcPr>
            <w:tcW w:w="660" w:type="dxa"/>
            <w:vAlign w:val="center"/>
          </w:tcPr>
          <w:p w14:paraId="42E4A8D5">
            <w:pPr>
              <w:snapToGrid w:val="0"/>
              <w:spacing w:line="240" w:lineRule="atLeast"/>
              <w:jc w:val="center"/>
              <w:rPr>
                <w:rFonts w:ascii="仿宋_GB2312" w:hAnsi="仿宋_GB2312" w:eastAsia="仿宋_GB2312" w:cs="仿宋_GB2312"/>
                <w:sz w:val="20"/>
                <w:szCs w:val="20"/>
              </w:rPr>
            </w:pPr>
          </w:p>
        </w:tc>
        <w:tc>
          <w:tcPr>
            <w:tcW w:w="615" w:type="dxa"/>
            <w:vAlign w:val="center"/>
          </w:tcPr>
          <w:p w14:paraId="5D2735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CF47A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690" w:type="dxa"/>
            <w:vAlign w:val="center"/>
          </w:tcPr>
          <w:p w14:paraId="638444EE">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1.【法律】《中华人民共和国土地管理法》第五条：国务院自然资源主管部门统一负责全国土地的管理和监督工作。</w:t>
            </w:r>
          </w:p>
          <w:p w14:paraId="54D9F30C">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县级以上地方人民政府自然资源主管部门的设置及其职责，由省、自治区、直辖市人民政府根据国务院有关规定确定。</w:t>
            </w:r>
          </w:p>
          <w:p w14:paraId="468C5454">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第五十五条：以出让等有偿使用方式取得国有土地使用权的建设单位，按照国务院规定的标准和办法，缴纳土地使用权出让金等土地有偿使用费和其他费用后，方可使用土地。</w:t>
            </w:r>
          </w:p>
          <w:p w14:paraId="238742A8">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自本法施行之日起，新增建设用地的土地有偿使用费，百分之三十上缴中央财政，百分之七十留给有关地方人民政府。具体使用管理办法由国务院财政部门会同有关部门制定，并报国务院批准。</w:t>
            </w:r>
          </w:p>
          <w:p w14:paraId="13DDB97B">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城镇房地产管理法》第四十条：以划拨方式取得的土地使用权的，转让房地产时，应当按照国务院规定，报有批准权的人民政府审批。有批准权的人民政府准予转让的，应当由受让方办理土地使用权出让手续，并依照国家有关规定缴纳土地使用权出让金。</w:t>
            </w:r>
          </w:p>
          <w:p w14:paraId="660ED433">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以划拨方式取得的土地使用权的，转让房地产报批时，由批准的人民政府按照国务院规定决定可以不办理土地土地使用权出让手续的，转让方应该按照国务院规定将转让房地产所获收益中的土地收益上缴国家或者作其他处理。</w:t>
            </w:r>
          </w:p>
          <w:p w14:paraId="6D16D386">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3.【规范性文件】财政部、国土资源部、中国人民银行、监察部、审计署等《关于进一步加强土地出让收支管理的通知》（财综﹝2009﹞74号）二、加强征收管理，保障土地出让收入及时足额征收和缴入地方国库 保障土地出让收入及时足额缴入地方国库，是落实土地出让收支纳入地方基金预算管理的基础。除国务院有明确规定以外，任何地区和部门均不得减免缓缴或者变相减免土地出让收入。市县财政、国土资源管理部门、人民银行分支机构要各负其责，加强土地出让收入征管，确保土地出让收入及时足额缴入地方国库。</w:t>
            </w:r>
          </w:p>
          <w:p w14:paraId="224E7FAE">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严格土地出让收入征收管理。市县国土资源管理部门在国有土地出让合同、租赁合同、划拨决定书中，必须明确土地出让价款、租金和划拨土地价款的总额、缴付时间和缴付方式；对于经依法批准改变土地用途等土地使用条件的，市县国土资源管理部门必须在土地出让或租赁合同中明确应补缴的土地价款，缴款人应及时按合同有关规定缴款。对于未按规定缴清全部土地价款的单位或个人，市县国土资源管理部门不得核发国有土地使用证，也不得按土地价款缴纳比例分割发证。</w:t>
            </w:r>
          </w:p>
          <w:p w14:paraId="5666DE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确保土地出让收入及时入库。土地出让收入原则上采取就地直接缴库方式，商业银行应当把收缴的土地出让收入及时足额划转地方国库。市县财政部门已将土地出让收入收缴至非税收入汇缴专户的，要严格执行10个工作日划转地方国库的规定，不得超时滞留已收缴的土地出让收入。对于不按规定将已收缴的土地出让收入及时划转地方国库的，省级财政、国土资源管理、人民银行分支机构、监察、审计部门要予以纠正，并在全省范围内通报批评。各级人民银行分支机构要加强对商业银行代收土地出让收入业务的检查监督与管理。</w:t>
            </w:r>
          </w:p>
        </w:tc>
        <w:tc>
          <w:tcPr>
            <w:tcW w:w="3000" w:type="dxa"/>
            <w:vAlign w:val="center"/>
          </w:tcPr>
          <w:p w14:paraId="0C9575DC">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1.受理阶段责任：依法应当提交的材料：一次性告知补正材料，依法受理或不予受理（不予受理应当告知理由）。</w:t>
            </w:r>
          </w:p>
          <w:p w14:paraId="78B10D12">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285A0A66">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713DA6A3">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4.事后监管责任：依法缴纳土地出让价款方可办理土地登记。</w:t>
            </w:r>
          </w:p>
          <w:p w14:paraId="7E9AD5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015" w:type="dxa"/>
            <w:vAlign w:val="center"/>
          </w:tcPr>
          <w:p w14:paraId="5B179E1E">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广西壮族自治区人民政府办公厅关于规范国有土地使用权出让收支管理的通知》（桂政办发〔2007〕97号）（二）国有土地使用权出让收入（以下简称土地出让收入）是指政府以出让等方式配置国有土地使用权取得的全部土地价款，包括受让人支付的征地和拆迁补偿费用、土地前期开发费用和土地出让收益等。土地价款的具体范围包括：以招标、拍卖、挂牌和协议方式出让国有土地使用权所确定的总成交价款；转让划拨国有土地使用权或依法利用原划拨土地进行经营性建设应当补缴的土地价款；变现处置抵押划拨国有土地使用权应当补缴的土地价款；转让房改房、经济适用住房按照规定应当补缴的土地价款；改变出让国有土地使用权的土地用途、容积率等土地使用条件应当补缴的土地价款，以及其他和国有土地使用权出让或变更有关的收入等。按照土地出让合同规定依法向受让人收取的定金、保证金和预付款，在土地出让合同生效后可以抵作土地价款。</w:t>
            </w:r>
          </w:p>
          <w:p w14:paraId="2CCFC615">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土资源管理部门依法出租国有土地向承租者收取的土地租金收入；出租划拨土地上的房屋应当上缴的土地收益；土地使用者以划拨方式取得国有土地使用权，依法向市、县人民政府缴纳的土地补偿费、安置补助费、地上附着物和青苗补偿费、拆迁补偿费等费用（不含征地管理费）；在土地招标、拍卖、挂牌和协议出让过程中按规定收取的违约金，一并纳入土地出让收入管理。</w:t>
            </w:r>
          </w:p>
          <w:p w14:paraId="15C4F404">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国有土地使用权出让收支管理办法》（财政部2006年12月31日财综[2006]68号）第七条：土地出让收入征收部门根据土地出让合同和划拨用地批准文件，开具缴款通知书，并按照财政部统一规定的政府收支分类科目填写“一般缴款书”，由国有土地使用权受让人依法缴纳土地出让收入。国有土地使用权受让人应按照缴款通知书的要求，在规定的时间内将应缴地方国库的土地出让收入，就地及时足额缴入地方国库。缴款通知书应当明确供应土地的面积、土地出让收入总额以及依法分期缴纳地方国库的具体数额和时限等。</w:t>
            </w:r>
          </w:p>
          <w:p w14:paraId="177A0CEC">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人民政府办公厅关于规范国有土地使用权出让收支管理的通知》（桂政办发〔2007〕97号）（三）土地出让收入由财政部门负责征收管理，可由国土资源管理部门负责具体征收。国土资源管理部门和财政部门应当督促土地使用者严格履行土地出让合同，确保将应缴的土地出让收入及时足额缴入地方国库。地方国库负责办理土地出让收入的收纳、划分、留解和拨付等各项业务，确保土地出让收支数据准确无误。对未按照合同约定足额缴纳土地出让收入，并提供有效缴款凭证的，国土资源管理部门不予核发国有土地使用证。要完善制度规定，对违规核发国有土地使用证的，收回土地使用证，并依照有关法律法规追究有关领导和人员的责任。已经实施政府非税收入收缴管理制度改革的市、县，土地出让收入纳入政府非税收入收缴管理制度改革范围，统一收缴票据，规范收缴程序，提高收缴效率。</w:t>
            </w:r>
          </w:p>
          <w:p w14:paraId="220E26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国有土地使用权出让收支管理办法》（财政部2006年12月31日财综[2006]68号）第九条：市、县国土资源管理部门和财政部门应当督促国有土地使用权受让人严格履行国有土地出让合同，确保将应缴国库的土地出让收入及时足额缴入地方国库。对未按照缴款通知书规定及时足额缴纳土地出让收入，并提供有效缴款凭证的，国土资源管理部门不予核发国有土地使用证。国土资源管理部门要完善制度规定，对违规核发国有土地使用证的，应予收回和注销，并依照有关法律法规追究有关领导和人员的责任。</w:t>
            </w:r>
          </w:p>
        </w:tc>
        <w:tc>
          <w:tcPr>
            <w:tcW w:w="330" w:type="dxa"/>
            <w:vAlign w:val="center"/>
          </w:tcPr>
          <w:p w14:paraId="46EEEC7B">
            <w:pPr>
              <w:snapToGrid w:val="0"/>
              <w:spacing w:line="240" w:lineRule="atLeast"/>
              <w:jc w:val="center"/>
              <w:rPr>
                <w:rFonts w:ascii="仿宋_GB2312" w:hAnsi="仿宋_GB2312" w:eastAsia="仿宋_GB2312" w:cs="仿宋_GB2312"/>
                <w:sz w:val="20"/>
                <w:szCs w:val="20"/>
              </w:rPr>
            </w:pPr>
          </w:p>
        </w:tc>
      </w:tr>
    </w:tbl>
    <w:p w14:paraId="4563C4E1"/>
    <w:p w14:paraId="71BB9F56"/>
    <w:p w14:paraId="16FE59F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765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D70A84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0169AE">
            <w:pPr>
              <w:spacing w:line="240" w:lineRule="atLeast"/>
              <w:rPr>
                <w:rFonts w:asciiTheme="majorEastAsia" w:hAnsiTheme="majorEastAsia" w:eastAsiaTheme="majorEastAsia" w:cstheme="majorEastAsia"/>
                <w:spacing w:val="-20"/>
                <w:sz w:val="20"/>
                <w:szCs w:val="20"/>
              </w:rPr>
            </w:pPr>
          </w:p>
          <w:p w14:paraId="13845A0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44893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9C0BC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420822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016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A231B07">
            <w:pPr>
              <w:spacing w:line="240" w:lineRule="atLeast"/>
              <w:jc w:val="left"/>
              <w:rPr>
                <w:rFonts w:ascii="仿宋_GB2312" w:hAnsi="仿宋_GB2312" w:eastAsia="仿宋_GB2312" w:cs="仿宋_GB2312"/>
                <w:sz w:val="20"/>
                <w:szCs w:val="20"/>
              </w:rPr>
            </w:pPr>
          </w:p>
        </w:tc>
        <w:tc>
          <w:tcPr>
            <w:tcW w:w="555" w:type="dxa"/>
            <w:vMerge w:val="continue"/>
          </w:tcPr>
          <w:p w14:paraId="3E2A596C">
            <w:pPr>
              <w:spacing w:line="240" w:lineRule="atLeast"/>
              <w:jc w:val="left"/>
              <w:rPr>
                <w:rFonts w:ascii="仿宋_GB2312" w:hAnsi="仿宋_GB2312" w:eastAsia="仿宋_GB2312" w:cs="仿宋_GB2312"/>
                <w:sz w:val="20"/>
                <w:szCs w:val="20"/>
              </w:rPr>
            </w:pPr>
          </w:p>
        </w:tc>
        <w:tc>
          <w:tcPr>
            <w:tcW w:w="784" w:type="dxa"/>
            <w:vAlign w:val="center"/>
          </w:tcPr>
          <w:p w14:paraId="2FF861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2A678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DA34F0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31DDFC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1B6A66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ECDCE4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7961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9B86B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03A23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E395BB4">
            <w:pPr>
              <w:spacing w:line="240" w:lineRule="atLeast"/>
              <w:jc w:val="left"/>
              <w:rPr>
                <w:rFonts w:ascii="仿宋_GB2312" w:hAnsi="仿宋_GB2312" w:eastAsia="仿宋_GB2312" w:cs="仿宋_GB2312"/>
                <w:sz w:val="20"/>
                <w:szCs w:val="20"/>
              </w:rPr>
            </w:pPr>
          </w:p>
        </w:tc>
      </w:tr>
      <w:tr w14:paraId="402E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4D07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189</w:t>
            </w:r>
          </w:p>
        </w:tc>
        <w:tc>
          <w:tcPr>
            <w:tcW w:w="555" w:type="dxa"/>
            <w:vAlign w:val="center"/>
          </w:tcPr>
          <w:p w14:paraId="569222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396803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矿产资源采矿登记费征收</w:t>
            </w:r>
          </w:p>
        </w:tc>
        <w:tc>
          <w:tcPr>
            <w:tcW w:w="660" w:type="dxa"/>
            <w:vAlign w:val="center"/>
          </w:tcPr>
          <w:p w14:paraId="4DB802CC">
            <w:pPr>
              <w:snapToGrid w:val="0"/>
              <w:spacing w:line="240" w:lineRule="atLeast"/>
              <w:jc w:val="center"/>
              <w:rPr>
                <w:rFonts w:ascii="仿宋_GB2312" w:hAnsi="仿宋_GB2312" w:eastAsia="仿宋_GB2312" w:cs="仿宋_GB2312"/>
                <w:sz w:val="20"/>
                <w:szCs w:val="20"/>
              </w:rPr>
            </w:pPr>
          </w:p>
        </w:tc>
        <w:tc>
          <w:tcPr>
            <w:tcW w:w="615" w:type="dxa"/>
            <w:vAlign w:val="center"/>
          </w:tcPr>
          <w:p w14:paraId="03725F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69D58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590A46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发布施行，2014年国务院令第653号修订）第二十七条：办理采矿登记手续，应当按照规定缴纳登记费。收费标准和管理、使用办法，由国务院物价主管部门会同国务院地质矿产主管部门、财政部门规定。</w:t>
            </w:r>
          </w:p>
        </w:tc>
        <w:tc>
          <w:tcPr>
            <w:tcW w:w="3585" w:type="dxa"/>
            <w:vAlign w:val="center"/>
          </w:tcPr>
          <w:p w14:paraId="158EDB78">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1.监管责任：自治区自然资源厅自然资源主管部门有权对暂停征收矿产资源勘查登记费、采矿登记费的执行情况进行检查。</w:t>
            </w:r>
          </w:p>
          <w:p w14:paraId="4E89F4B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2.其他法律法规规章文件规定应履行的责任。</w:t>
            </w:r>
          </w:p>
        </w:tc>
        <w:tc>
          <w:tcPr>
            <w:tcW w:w="9515" w:type="dxa"/>
            <w:vAlign w:val="center"/>
          </w:tcPr>
          <w:p w14:paraId="0E76AAAE">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1.【规范性文件】财政部 国家发展改革委《关于取消、停征和免征一批行政事业性收费的通知》（财税〔2014〕101号）第一条：自2015年1月1日起，暂停征收12项中央级设立的行政事业性收费（含矿产资源勘查登记费、采矿登记费）。</w:t>
            </w:r>
          </w:p>
          <w:p w14:paraId="08776A5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第五条：对上述取消、停征和免征的行政事业性收费，各地区和有关部门不得以任何理由拖延或者拒绝执行，不得以其他名目或者转为经营服务性收费方式变相继续收费。</w:t>
            </w:r>
          </w:p>
        </w:tc>
        <w:tc>
          <w:tcPr>
            <w:tcW w:w="330" w:type="dxa"/>
            <w:vAlign w:val="center"/>
          </w:tcPr>
          <w:p w14:paraId="0304FFC5">
            <w:pPr>
              <w:snapToGrid w:val="0"/>
              <w:spacing w:line="240" w:lineRule="atLeast"/>
              <w:jc w:val="center"/>
              <w:rPr>
                <w:rFonts w:ascii="仿宋_GB2312" w:hAnsi="仿宋_GB2312" w:eastAsia="仿宋_GB2312" w:cs="仿宋_GB2312"/>
                <w:sz w:val="20"/>
                <w:szCs w:val="20"/>
              </w:rPr>
            </w:pPr>
          </w:p>
        </w:tc>
      </w:tr>
    </w:tbl>
    <w:p w14:paraId="071CD7DD"/>
    <w:p w14:paraId="13397E6A"/>
    <w:p w14:paraId="1FFF2E3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9D8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C360B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379165B">
            <w:pPr>
              <w:spacing w:line="240" w:lineRule="atLeast"/>
              <w:rPr>
                <w:rFonts w:asciiTheme="majorEastAsia" w:hAnsiTheme="majorEastAsia" w:eastAsiaTheme="majorEastAsia" w:cstheme="majorEastAsia"/>
                <w:spacing w:val="-20"/>
                <w:sz w:val="20"/>
                <w:szCs w:val="20"/>
              </w:rPr>
            </w:pPr>
          </w:p>
          <w:p w14:paraId="6653581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7DBFD9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23293A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430BAD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76D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48BE3C0">
            <w:pPr>
              <w:spacing w:line="240" w:lineRule="atLeast"/>
              <w:jc w:val="left"/>
              <w:rPr>
                <w:rFonts w:ascii="仿宋_GB2312" w:hAnsi="仿宋_GB2312" w:eastAsia="仿宋_GB2312" w:cs="仿宋_GB2312"/>
                <w:sz w:val="20"/>
                <w:szCs w:val="20"/>
              </w:rPr>
            </w:pPr>
          </w:p>
        </w:tc>
        <w:tc>
          <w:tcPr>
            <w:tcW w:w="555" w:type="dxa"/>
            <w:vMerge w:val="continue"/>
          </w:tcPr>
          <w:p w14:paraId="3F346DFC">
            <w:pPr>
              <w:spacing w:line="240" w:lineRule="atLeast"/>
              <w:jc w:val="left"/>
              <w:rPr>
                <w:rFonts w:ascii="仿宋_GB2312" w:hAnsi="仿宋_GB2312" w:eastAsia="仿宋_GB2312" w:cs="仿宋_GB2312"/>
                <w:sz w:val="20"/>
                <w:szCs w:val="20"/>
              </w:rPr>
            </w:pPr>
          </w:p>
        </w:tc>
        <w:tc>
          <w:tcPr>
            <w:tcW w:w="784" w:type="dxa"/>
            <w:vAlign w:val="center"/>
          </w:tcPr>
          <w:p w14:paraId="3C646C6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19DD49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0576A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126A6C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7E72E8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E11CE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A4D01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F7F0D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7AAA1D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35A7BCB">
            <w:pPr>
              <w:spacing w:line="240" w:lineRule="atLeast"/>
              <w:jc w:val="left"/>
              <w:rPr>
                <w:rFonts w:ascii="仿宋_GB2312" w:hAnsi="仿宋_GB2312" w:eastAsia="仿宋_GB2312" w:cs="仿宋_GB2312"/>
                <w:sz w:val="20"/>
                <w:szCs w:val="20"/>
              </w:rPr>
            </w:pPr>
          </w:p>
        </w:tc>
      </w:tr>
      <w:tr w14:paraId="0983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AC9B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190</w:t>
            </w:r>
          </w:p>
        </w:tc>
        <w:tc>
          <w:tcPr>
            <w:tcW w:w="555" w:type="dxa"/>
            <w:vAlign w:val="center"/>
          </w:tcPr>
          <w:p w14:paraId="1B85809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行政征收</w:t>
            </w:r>
          </w:p>
        </w:tc>
        <w:tc>
          <w:tcPr>
            <w:tcW w:w="784" w:type="dxa"/>
            <w:vAlign w:val="center"/>
          </w:tcPr>
          <w:p w14:paraId="23DDA93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采矿权使用费及矿业权出让收益征收</w:t>
            </w:r>
          </w:p>
        </w:tc>
        <w:tc>
          <w:tcPr>
            <w:tcW w:w="660" w:type="dxa"/>
            <w:vAlign w:val="center"/>
          </w:tcPr>
          <w:p w14:paraId="67887EA1">
            <w:pPr>
              <w:snapToGrid w:val="0"/>
              <w:spacing w:line="240" w:lineRule="atLeast"/>
              <w:jc w:val="center"/>
              <w:rPr>
                <w:rFonts w:ascii="仿宋_GB2312" w:hAnsi="仿宋_GB2312" w:eastAsia="仿宋_GB2312" w:cs="仿宋_GB2312"/>
                <w:sz w:val="20"/>
                <w:szCs w:val="20"/>
              </w:rPr>
            </w:pPr>
          </w:p>
        </w:tc>
        <w:tc>
          <w:tcPr>
            <w:tcW w:w="615" w:type="dxa"/>
            <w:vAlign w:val="center"/>
          </w:tcPr>
          <w:p w14:paraId="77851A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29B90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41A6946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矿产资源法》第五条：国家实行探矿权、采矿权有偿取得的制度；但是，国家对探矿权、采矿权有偿取得的费用，可以根据不同情况规定予以减缴、免缴。具体办法和实施步骤由国务院规定。</w:t>
            </w:r>
          </w:p>
        </w:tc>
        <w:tc>
          <w:tcPr>
            <w:tcW w:w="3585" w:type="dxa"/>
            <w:vAlign w:val="center"/>
          </w:tcPr>
          <w:p w14:paraId="6A7F2990">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1.受理责任：依法受理或不予受理，并一次性告知不予受理的理由或需补充提供的资料。</w:t>
            </w:r>
          </w:p>
          <w:p w14:paraId="3CB7E924">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2.审核责任：审核申请人提供的矿业权出让收益评估价值、招标、拍卖、挂牌成交价、出让收益率等申报信息的准确性。</w:t>
            </w:r>
          </w:p>
          <w:p w14:paraId="5AD652F4">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3.决定责任：做出审核决定，开具《缴款通知书》。</w:t>
            </w:r>
          </w:p>
          <w:p w14:paraId="4CAA0929">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4．监管责任：各级财政部门和矿产资源主管部门有权对缴费人缴纳探矿权、采矿权使用费及矿业权出让收益的情况进行检查。</w:t>
            </w:r>
          </w:p>
          <w:p w14:paraId="5989879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608D1B7F">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1—1.【法律】《中华人民共和国矿产资源法》第五条：国家实行探矿权、采矿权有偿取得的制度。</w:t>
            </w:r>
          </w:p>
          <w:p w14:paraId="028E982D">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1—2.【规范性文件】《财政部 国土资源部关于印发〈矿业权出让收益征收管理暂行办法〉的通知》（财综〔2017〕35号）第六条：国务院和省级矿产资源主管部门登记的矿业权，其出让收益由矿业权所在地的省级矿产资源主管部门或其授权的市、县矿产资源主管部门负责征收。其中，矿业权范围跨省级行政区域和在中华人民共和国管辖海域的，由国务院矿产资源主管部门指定省级矿产资源主管部门负责征收。市、县矿产资源主管部门登记管理的矿业权，其出让收益由市、县矿产资源主管部门负责征收。</w:t>
            </w:r>
          </w:p>
          <w:p w14:paraId="6F37379A">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1—3.【规范性文件】《广西壮族自治区财政厅 广西壮族自治区国土资源厅关于印发矿业权出让收益征收管理暂行办法的通知》（桂财规〔2018〕8号）第六条：矿业权所在地在广西壮族自治区行政区域内，国务院和自治区矿产资源主管部门登记管理的矿业权，其出让收益由自治区矿产资源主管部门或其授权的市、县矿产资源主管部门负责征收；市、县矿产资源主管部门登记管理的矿业权，其出让收益由市、县矿产资源主管部门负责征收。其中，矿业权范围跨市级行政区域的，由自治区矿产资源主管部门指定的市级矿产资源主管部门负责征收；矿业权范围跨县级行政区域的，由其所属市级矿产资源主管部门指定的县级矿产资源主管部门负责征收。</w:t>
            </w:r>
          </w:p>
          <w:p w14:paraId="64208C5D">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行政法规】《矿产资源勘查区块登记管理办法》（1998年国务院令第240号公布，2014年国务院令第653号修订）第十二条：探矿权使用费以勘查年度计算，逐年缴纳。探矿权使用费标准：第一个勘查年度至第三个勘查年度，每平方公里每年缴纳100元；从第四个勘查年度起，每平方公里每年增加100元，但是最高不超过每平方公里每年500元。</w:t>
            </w:r>
          </w:p>
          <w:p w14:paraId="0EA2E776">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2—2.【行政法规】《矿产资源开采登记管理办法》（1998年国务院令第241号公布，2014年国务院令第653号修订）第九条：采矿权使用费，按照矿区范围的面积逐年缴纳，标准为每平方公里每年1000元。</w:t>
            </w:r>
          </w:p>
          <w:p w14:paraId="4D1C88FD">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 【规范性文件】《财政部 国土资源部关于印发〈矿业权出让收益征收管理暂行办法〉的通知》（财综〔2017〕35号）第七条：通过招标、拍卖、挂牌等竞争方式出让矿业权的，矿业权出让收益按招标、拍卖、挂牌的结果确定。</w:t>
            </w:r>
          </w:p>
          <w:p w14:paraId="34BDBDD1">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2—4．【规范性文件】《广西壮族自治区财政厅 广西壮族自治区国土资源厅关于印发矿业权出让收益征收管理暂行办法的通知》（桂财规〔2018〕8号）第七条：通过招标、拍卖、挂牌等竞争方式出让矿业权的，矿业权出让收益按招标、拍卖、挂牌的结果确定。第八条：通过协议方式出让矿业权的，矿业权出让收益按照评估价值、市场基准价就高确定。矿业权出让收益基准价由自治区矿产资源主管部门制定，经自治区人民政府批准后公布执行。第十条：矿业权出让收益原则上通过出让金额的形式征收。对属于资源储量较大、矿山服务年限较长、市场风险较高等情形的矿业权，可探索通过矿业权出让收益率或者出让金额和出让收益率相结合的形式征收。具体征收形式由矿业权出让机关依据资源禀赋、勘查开发条件和宏观调控要求等因素进行选择。前款所称出让收益率，是指矿业权出让收益占矿产品销售收入的比率。</w:t>
            </w:r>
          </w:p>
          <w:p w14:paraId="333AE754">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3.【规范性文件】《广西壮族自治区财政厅 广西壮族自治区国土资源厅关于印发矿业权出让收益征收管理暂行办法的通知》（桂财规〔2018〕8号）第二十一条：矿业权出让实行分级审批制度，矿业权征收机关依据出让合同开具“矿业权收益缴款通知书”，通知矿业权人缴款。矿业权人在收到“矿业权收益缴款通知书”后7个工作日内，按照非税收入收缴管理要求缴纳矿业权出让收益。矿业权人缴款后，持有关财政票据或缴款凭证及有关矿业权登记申报材料到矿业权登记机关办理矿业权证照等相关手续。</w:t>
            </w:r>
          </w:p>
          <w:p w14:paraId="57DF1352">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4—1.【规范性文件】《财政部 国土资源部关于印发〈矿业权出让收益征收管理暂行办法〉的通知》（财综〔2017〕35号）第二十三条：各级财政部门和矿产资源主管部门应当切实加强矿业权出让收益征收监督管理，按照职能分工，将相关信息纳入勘查开采信息公示系统，适时检查矿业权出让收益征收情况。</w:t>
            </w:r>
          </w:p>
          <w:p w14:paraId="7C7A40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4—2.【规范性文件】《广西壮族自治区财政厅 广西壮族自治区国土资源厅关于印发矿业权出让收益征收管理暂行办法的通知》（桂财规〔2018〕8号）第二十四条：各级财政部门和矿产资源主管部门应当切实加强矿业权出让收益征收监督管理，按照职能分工，将相关信息纳入勘查开采信息公示系统，适时检查矿业权出让收益征收情况。</w:t>
            </w:r>
          </w:p>
        </w:tc>
        <w:tc>
          <w:tcPr>
            <w:tcW w:w="330" w:type="dxa"/>
            <w:vAlign w:val="center"/>
          </w:tcPr>
          <w:p w14:paraId="17D5EF03">
            <w:pPr>
              <w:snapToGrid w:val="0"/>
              <w:spacing w:line="240" w:lineRule="atLeast"/>
              <w:jc w:val="center"/>
              <w:rPr>
                <w:rFonts w:ascii="仿宋_GB2312" w:hAnsi="仿宋_GB2312" w:eastAsia="仿宋_GB2312" w:cs="仿宋_GB2312"/>
                <w:sz w:val="20"/>
                <w:szCs w:val="20"/>
              </w:rPr>
            </w:pPr>
          </w:p>
        </w:tc>
      </w:tr>
    </w:tbl>
    <w:p w14:paraId="05F391A2"/>
    <w:p w14:paraId="0799B3BC"/>
    <w:p w14:paraId="3471B584"/>
    <w:p w14:paraId="3F86412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EAE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EE1421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FE1D10B">
            <w:pPr>
              <w:spacing w:line="240" w:lineRule="atLeast"/>
              <w:rPr>
                <w:rFonts w:asciiTheme="majorEastAsia" w:hAnsiTheme="majorEastAsia" w:eastAsiaTheme="majorEastAsia" w:cstheme="majorEastAsia"/>
                <w:spacing w:val="-20"/>
                <w:sz w:val="20"/>
                <w:szCs w:val="20"/>
              </w:rPr>
            </w:pPr>
          </w:p>
          <w:p w14:paraId="2AF3C3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6E57CB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5AA0B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E73A69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F3B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EF0DD9">
            <w:pPr>
              <w:spacing w:line="240" w:lineRule="atLeast"/>
              <w:jc w:val="left"/>
              <w:rPr>
                <w:rFonts w:ascii="仿宋_GB2312" w:hAnsi="仿宋_GB2312" w:eastAsia="仿宋_GB2312" w:cs="仿宋_GB2312"/>
                <w:sz w:val="20"/>
                <w:szCs w:val="20"/>
              </w:rPr>
            </w:pPr>
          </w:p>
        </w:tc>
        <w:tc>
          <w:tcPr>
            <w:tcW w:w="555" w:type="dxa"/>
            <w:vMerge w:val="continue"/>
          </w:tcPr>
          <w:p w14:paraId="471AC043">
            <w:pPr>
              <w:spacing w:line="240" w:lineRule="atLeast"/>
              <w:jc w:val="left"/>
              <w:rPr>
                <w:rFonts w:ascii="仿宋_GB2312" w:hAnsi="仿宋_GB2312" w:eastAsia="仿宋_GB2312" w:cs="仿宋_GB2312"/>
                <w:sz w:val="20"/>
                <w:szCs w:val="20"/>
              </w:rPr>
            </w:pPr>
          </w:p>
        </w:tc>
        <w:tc>
          <w:tcPr>
            <w:tcW w:w="784" w:type="dxa"/>
            <w:vAlign w:val="center"/>
          </w:tcPr>
          <w:p w14:paraId="7F88CB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A641D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2068FE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626EA8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031AC7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5D25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653E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7E572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91B39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1EC7F95">
            <w:pPr>
              <w:spacing w:line="240" w:lineRule="atLeast"/>
              <w:jc w:val="left"/>
              <w:rPr>
                <w:rFonts w:ascii="仿宋_GB2312" w:hAnsi="仿宋_GB2312" w:eastAsia="仿宋_GB2312" w:cs="仿宋_GB2312"/>
                <w:sz w:val="20"/>
                <w:szCs w:val="20"/>
              </w:rPr>
            </w:pPr>
          </w:p>
        </w:tc>
      </w:tr>
      <w:tr w14:paraId="330D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5362F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191</w:t>
            </w:r>
          </w:p>
        </w:tc>
        <w:tc>
          <w:tcPr>
            <w:tcW w:w="555" w:type="dxa"/>
            <w:vAlign w:val="center"/>
          </w:tcPr>
          <w:p w14:paraId="2AA040B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行政给付</w:t>
            </w:r>
          </w:p>
        </w:tc>
        <w:tc>
          <w:tcPr>
            <w:tcW w:w="784" w:type="dxa"/>
            <w:vAlign w:val="center"/>
          </w:tcPr>
          <w:p w14:paraId="2F841B5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征地补偿安置给付</w:t>
            </w:r>
          </w:p>
        </w:tc>
        <w:tc>
          <w:tcPr>
            <w:tcW w:w="660" w:type="dxa"/>
            <w:vAlign w:val="center"/>
          </w:tcPr>
          <w:p w14:paraId="0D0F2B9C">
            <w:pPr>
              <w:snapToGrid w:val="0"/>
              <w:spacing w:line="240" w:lineRule="atLeast"/>
              <w:jc w:val="center"/>
              <w:rPr>
                <w:rFonts w:ascii="仿宋_GB2312" w:hAnsi="仿宋_GB2312" w:eastAsia="仿宋_GB2312" w:cs="仿宋_GB2312"/>
                <w:sz w:val="20"/>
                <w:szCs w:val="20"/>
              </w:rPr>
            </w:pPr>
          </w:p>
        </w:tc>
        <w:tc>
          <w:tcPr>
            <w:tcW w:w="615" w:type="dxa"/>
            <w:vAlign w:val="center"/>
          </w:tcPr>
          <w:p w14:paraId="5B4515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677946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玉林市征地事务中心</w:t>
            </w:r>
          </w:p>
        </w:tc>
        <w:tc>
          <w:tcPr>
            <w:tcW w:w="4605" w:type="dxa"/>
            <w:vAlign w:val="center"/>
          </w:tcPr>
          <w:p w14:paraId="5A0C1F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1.【法律】《中华人民共和国土地管理法》第二条：国家为了公共利益的需要，可以依法对土地实行征收或者征用并给予补偿。</w:t>
            </w:r>
          </w:p>
          <w:p w14:paraId="3A8C3C9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第四十七条：国家征收土地的，依照法定程序批准后，由县级以上地方人民政府予以公告并组织实施。</w:t>
            </w:r>
          </w:p>
          <w:p w14:paraId="0898B9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14:paraId="1A6DD8C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14:paraId="330DD9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14:paraId="151F07A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地上附着物和青苗等的补偿费用，归其所有权人所有。</w:t>
            </w:r>
          </w:p>
          <w:p w14:paraId="323696C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社会保障费用主要用于符合条件的被征地农民的养老保险等社会保险缴费补贴，按照省、自治区、直辖市的规定单独列支。</w:t>
            </w:r>
          </w:p>
          <w:p w14:paraId="0140CC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tc>
        <w:tc>
          <w:tcPr>
            <w:tcW w:w="3585" w:type="dxa"/>
            <w:vAlign w:val="center"/>
          </w:tcPr>
          <w:p w14:paraId="39077B8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1.受理阶段责任：发布征地公告。</w:t>
            </w:r>
          </w:p>
          <w:p w14:paraId="2BEB94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2.决定责任阶段：核实补偿地价标准，拟定征地方案，报人民政府批准，如实补偿。</w:t>
            </w:r>
          </w:p>
          <w:p w14:paraId="2965C55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3.送达责任：将政府批准的补偿价款足额送达。</w:t>
            </w:r>
          </w:p>
          <w:p w14:paraId="424404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7D64AA0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1.【法律】《中华人民共和国土地管理法》第四十七条：国家征收土地的，依照法定程序批准后，由县级以上地方人民政府予以公告并组织实施。</w:t>
            </w:r>
          </w:p>
          <w:p w14:paraId="77809D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14:paraId="7722FCA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土地管理法》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14:paraId="48D788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14:paraId="708B0C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地上附着物和青苗等的补偿费用，归其所有权人所有。</w:t>
            </w:r>
          </w:p>
          <w:p w14:paraId="250C7B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社会保障费用主要用于符合条件的被征地农民的养老保险等社会保险缴费补贴，按照省、自治区、直辖市的规定单独列支。</w:t>
            </w:r>
          </w:p>
          <w:p w14:paraId="73080A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p w14:paraId="0471E3E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3.同2—1、2—2。</w:t>
            </w:r>
          </w:p>
        </w:tc>
        <w:tc>
          <w:tcPr>
            <w:tcW w:w="330" w:type="dxa"/>
            <w:vAlign w:val="center"/>
          </w:tcPr>
          <w:p w14:paraId="6D8F4C68">
            <w:pPr>
              <w:snapToGrid w:val="0"/>
              <w:spacing w:line="240" w:lineRule="atLeast"/>
              <w:jc w:val="center"/>
              <w:rPr>
                <w:rFonts w:ascii="仿宋_GB2312" w:hAnsi="仿宋_GB2312" w:eastAsia="仿宋_GB2312" w:cs="仿宋_GB2312"/>
                <w:sz w:val="20"/>
                <w:szCs w:val="20"/>
              </w:rPr>
            </w:pPr>
          </w:p>
        </w:tc>
      </w:tr>
    </w:tbl>
    <w:p w14:paraId="7DE2C175"/>
    <w:p w14:paraId="449BBE07"/>
    <w:p w14:paraId="25F157E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13A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A8DEB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AA778ED">
            <w:pPr>
              <w:spacing w:line="240" w:lineRule="atLeast"/>
              <w:rPr>
                <w:rFonts w:asciiTheme="majorEastAsia" w:hAnsiTheme="majorEastAsia" w:eastAsiaTheme="majorEastAsia" w:cstheme="majorEastAsia"/>
                <w:spacing w:val="-20"/>
                <w:sz w:val="20"/>
                <w:szCs w:val="20"/>
              </w:rPr>
            </w:pPr>
          </w:p>
          <w:p w14:paraId="5918FFE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E62B6B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28706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9FD1ED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2DC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3C3B1A">
            <w:pPr>
              <w:spacing w:line="240" w:lineRule="atLeast"/>
              <w:jc w:val="left"/>
              <w:rPr>
                <w:rFonts w:ascii="仿宋_GB2312" w:hAnsi="仿宋_GB2312" w:eastAsia="仿宋_GB2312" w:cs="仿宋_GB2312"/>
                <w:sz w:val="20"/>
                <w:szCs w:val="20"/>
              </w:rPr>
            </w:pPr>
          </w:p>
        </w:tc>
        <w:tc>
          <w:tcPr>
            <w:tcW w:w="555" w:type="dxa"/>
            <w:vMerge w:val="continue"/>
          </w:tcPr>
          <w:p w14:paraId="38251A96">
            <w:pPr>
              <w:spacing w:line="240" w:lineRule="atLeast"/>
              <w:jc w:val="left"/>
              <w:rPr>
                <w:rFonts w:ascii="仿宋_GB2312" w:hAnsi="仿宋_GB2312" w:eastAsia="仿宋_GB2312" w:cs="仿宋_GB2312"/>
                <w:sz w:val="20"/>
                <w:szCs w:val="20"/>
              </w:rPr>
            </w:pPr>
          </w:p>
        </w:tc>
        <w:tc>
          <w:tcPr>
            <w:tcW w:w="784" w:type="dxa"/>
            <w:vAlign w:val="center"/>
          </w:tcPr>
          <w:p w14:paraId="7914328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E3CD4D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C3BD9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52081F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5ABFD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CA44C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65AC8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57DA9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82E3BF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EB8A19">
            <w:pPr>
              <w:spacing w:line="240" w:lineRule="atLeast"/>
              <w:jc w:val="left"/>
              <w:rPr>
                <w:rFonts w:ascii="仿宋_GB2312" w:hAnsi="仿宋_GB2312" w:eastAsia="仿宋_GB2312" w:cs="仿宋_GB2312"/>
                <w:sz w:val="20"/>
                <w:szCs w:val="20"/>
              </w:rPr>
            </w:pPr>
          </w:p>
        </w:tc>
      </w:tr>
      <w:tr w14:paraId="1AD1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BBEE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192</w:t>
            </w:r>
          </w:p>
        </w:tc>
        <w:tc>
          <w:tcPr>
            <w:tcW w:w="555" w:type="dxa"/>
            <w:vAlign w:val="center"/>
          </w:tcPr>
          <w:p w14:paraId="57ED6C1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20E94F9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自然资源卫片执法</w:t>
            </w:r>
          </w:p>
        </w:tc>
        <w:tc>
          <w:tcPr>
            <w:tcW w:w="660" w:type="dxa"/>
            <w:vAlign w:val="center"/>
          </w:tcPr>
          <w:p w14:paraId="0A1E5BB6">
            <w:pPr>
              <w:snapToGrid w:val="0"/>
              <w:spacing w:line="240" w:lineRule="atLeast"/>
              <w:jc w:val="center"/>
              <w:rPr>
                <w:rFonts w:ascii="仿宋_GB2312" w:hAnsi="仿宋_GB2312" w:eastAsia="仿宋_GB2312" w:cs="仿宋_GB2312"/>
                <w:sz w:val="20"/>
                <w:szCs w:val="20"/>
              </w:rPr>
            </w:pPr>
          </w:p>
        </w:tc>
        <w:tc>
          <w:tcPr>
            <w:tcW w:w="615" w:type="dxa"/>
            <w:vAlign w:val="center"/>
          </w:tcPr>
          <w:p w14:paraId="5020D1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9E79F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8CECD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1.【部门规章】《自然资源执法监督规定》（2017年国土资源部令第79号公布施行，2020年自然资源部令第6号修正）第十七条：自然资源部在全国部署开展自然资源卫片执法监督。</w:t>
            </w:r>
          </w:p>
          <w:p w14:paraId="752E28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省级自然资源主管部门按照自然资源部的统一部署，组织所辖行政区域内的市、县自然资源主管部门开展自然资源卫片执法监督，并向自然资源部报告结果</w:t>
            </w:r>
          </w:p>
          <w:p w14:paraId="57653E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2.【规范性文件】《国土资源部关于印发〈土地矿产卫片执法检查工作规范（试行）〉的通知》（国土资发〔2010〕21号）职责分工内容中规定省级国土资源行政主管部门的职责：</w:t>
            </w:r>
          </w:p>
          <w:p w14:paraId="67C1E2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tc>
        <w:tc>
          <w:tcPr>
            <w:tcW w:w="3585" w:type="dxa"/>
            <w:vAlign w:val="center"/>
          </w:tcPr>
          <w:p w14:paraId="435CF64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1.告知责任：制定检查方案，确定对象和方式，通知被检查单位。</w:t>
            </w:r>
          </w:p>
          <w:p w14:paraId="53EFB9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2.检查责任：检查时，工作人员不得少于2人，应当持《土地矿产卫片执法检查工作方案》或相关文件进行检查。检查工作人员应当有详细的检查记录，严禁弄虚作假。</w:t>
            </w:r>
          </w:p>
          <w:p w14:paraId="642DE10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3.处理责任：汇总相关数据和情况；通报本行政区域土地矿产卫片执法检查情况。</w:t>
            </w:r>
          </w:p>
          <w:p w14:paraId="0337896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6D3C2B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国土资源部《土地矿产卫片执法检查工作规范（试行）》（国土资发〔2010〕21号）职责分工内容中规定省级国土资源行政主管部门的职责：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p w14:paraId="308B15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处罚法》第三十七条：行政机关在调查或者进行检查时，执法人员不得少于两人，并应当向当事人或者有关人员出示证件。行政机关在收集证据时，可以采取抽样取证的方法……。</w:t>
            </w:r>
          </w:p>
          <w:p w14:paraId="3D89B6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3.同1。</w:t>
            </w:r>
          </w:p>
        </w:tc>
        <w:tc>
          <w:tcPr>
            <w:tcW w:w="330" w:type="dxa"/>
            <w:vAlign w:val="center"/>
          </w:tcPr>
          <w:p w14:paraId="79C62353">
            <w:pPr>
              <w:snapToGrid w:val="0"/>
              <w:spacing w:line="240" w:lineRule="atLeast"/>
              <w:jc w:val="center"/>
              <w:rPr>
                <w:rFonts w:ascii="仿宋_GB2312" w:hAnsi="仿宋_GB2312" w:eastAsia="仿宋_GB2312" w:cs="仿宋_GB2312"/>
                <w:sz w:val="20"/>
                <w:szCs w:val="20"/>
              </w:rPr>
            </w:pPr>
          </w:p>
        </w:tc>
      </w:tr>
    </w:tbl>
    <w:p w14:paraId="0AA19B1A"/>
    <w:p w14:paraId="6CAEBD45"/>
    <w:p w14:paraId="75E2B16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175"/>
        <w:gridCol w:w="4275"/>
        <w:gridCol w:w="8255"/>
        <w:gridCol w:w="330"/>
      </w:tblGrid>
      <w:tr w14:paraId="14C8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BDA3F6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53DCE48">
            <w:pPr>
              <w:spacing w:line="240" w:lineRule="atLeast"/>
              <w:rPr>
                <w:rFonts w:asciiTheme="majorEastAsia" w:hAnsiTheme="majorEastAsia" w:eastAsiaTheme="majorEastAsia" w:cstheme="majorEastAsia"/>
                <w:spacing w:val="-20"/>
                <w:sz w:val="20"/>
                <w:szCs w:val="20"/>
              </w:rPr>
            </w:pPr>
          </w:p>
          <w:p w14:paraId="31A99A0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344" w:type="dxa"/>
            <w:gridSpan w:val="5"/>
            <w:vAlign w:val="center"/>
          </w:tcPr>
          <w:p w14:paraId="57B690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530" w:type="dxa"/>
            <w:gridSpan w:val="2"/>
            <w:vAlign w:val="center"/>
          </w:tcPr>
          <w:p w14:paraId="05C2A2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A91D6C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69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22E7E65">
            <w:pPr>
              <w:spacing w:line="240" w:lineRule="atLeast"/>
              <w:jc w:val="left"/>
              <w:rPr>
                <w:rFonts w:ascii="仿宋_GB2312" w:hAnsi="仿宋_GB2312" w:eastAsia="仿宋_GB2312" w:cs="仿宋_GB2312"/>
                <w:sz w:val="20"/>
                <w:szCs w:val="20"/>
              </w:rPr>
            </w:pPr>
          </w:p>
        </w:tc>
        <w:tc>
          <w:tcPr>
            <w:tcW w:w="555" w:type="dxa"/>
            <w:vMerge w:val="continue"/>
          </w:tcPr>
          <w:p w14:paraId="558CF094">
            <w:pPr>
              <w:spacing w:line="240" w:lineRule="atLeast"/>
              <w:jc w:val="left"/>
              <w:rPr>
                <w:rFonts w:ascii="仿宋_GB2312" w:hAnsi="仿宋_GB2312" w:eastAsia="仿宋_GB2312" w:cs="仿宋_GB2312"/>
                <w:sz w:val="20"/>
                <w:szCs w:val="20"/>
              </w:rPr>
            </w:pPr>
          </w:p>
        </w:tc>
        <w:tc>
          <w:tcPr>
            <w:tcW w:w="784" w:type="dxa"/>
            <w:vAlign w:val="center"/>
          </w:tcPr>
          <w:p w14:paraId="3986F1F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23F20C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9B79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FC0B1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C38D16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175" w:type="dxa"/>
            <w:vAlign w:val="center"/>
          </w:tcPr>
          <w:p w14:paraId="69DA633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75" w:type="dxa"/>
            <w:vAlign w:val="center"/>
          </w:tcPr>
          <w:p w14:paraId="611E1B1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FCF1A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55" w:type="dxa"/>
            <w:vAlign w:val="center"/>
          </w:tcPr>
          <w:p w14:paraId="5051342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F4B2FBD">
            <w:pPr>
              <w:spacing w:line="240" w:lineRule="atLeast"/>
              <w:jc w:val="left"/>
              <w:rPr>
                <w:rFonts w:ascii="仿宋_GB2312" w:hAnsi="仿宋_GB2312" w:eastAsia="仿宋_GB2312" w:cs="仿宋_GB2312"/>
                <w:sz w:val="20"/>
                <w:szCs w:val="20"/>
              </w:rPr>
            </w:pPr>
          </w:p>
        </w:tc>
      </w:tr>
      <w:tr w14:paraId="0685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97FA0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193</w:t>
            </w:r>
          </w:p>
        </w:tc>
        <w:tc>
          <w:tcPr>
            <w:tcW w:w="555" w:type="dxa"/>
            <w:vAlign w:val="center"/>
          </w:tcPr>
          <w:p w14:paraId="632A3C8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651880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矿产资源、地质遗迹保护监督检查</w:t>
            </w:r>
          </w:p>
        </w:tc>
        <w:tc>
          <w:tcPr>
            <w:tcW w:w="660" w:type="dxa"/>
            <w:vAlign w:val="center"/>
          </w:tcPr>
          <w:p w14:paraId="279D5A35">
            <w:pPr>
              <w:snapToGrid w:val="0"/>
              <w:spacing w:line="240" w:lineRule="atLeast"/>
              <w:jc w:val="center"/>
              <w:rPr>
                <w:rFonts w:ascii="仿宋_GB2312" w:hAnsi="仿宋_GB2312" w:eastAsia="仿宋_GB2312" w:cs="仿宋_GB2312"/>
                <w:sz w:val="20"/>
                <w:szCs w:val="20"/>
              </w:rPr>
            </w:pPr>
          </w:p>
        </w:tc>
        <w:tc>
          <w:tcPr>
            <w:tcW w:w="615" w:type="dxa"/>
            <w:vAlign w:val="center"/>
          </w:tcPr>
          <w:p w14:paraId="7331A4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2291B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5175" w:type="dxa"/>
            <w:vAlign w:val="center"/>
          </w:tcPr>
          <w:p w14:paraId="5580834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 第十一条：国务院地质矿产主管部门主管全国矿产资源勘查、开采的监督管理工作。国务院有关主管部门协助国务院地质矿产主管部门进行矿产资源勘查、开采的监督管理工作。</w:t>
            </w:r>
          </w:p>
          <w:p w14:paraId="7F7A693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矿产资源监督管理暂行办法》（1987年4月29日国务院发布）第四条：省、自治区、直辖市人民政府地质矿产主管部门对执行本办法负有下列职责：一、根据本办法和有关法规，对本地区矿山企业的矿产资源开发利用与保护工作进行监督管理和指导；二、根据需要向重点矿山企业派出矿产督察员，向矿山企业集中的地区派出巡回矿产督察员。</w:t>
            </w:r>
          </w:p>
          <w:p w14:paraId="28CAE0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地质遗迹保护管理规定》（1995年地质矿产部令第21号）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p w14:paraId="0C98046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4．【行政法规】《古生物化石保护条例》（2010年国务院令第580号公布, 2019年3月国务院令第709号令修订）第十九条：县级以上人民政府自然资源主管部门应当加强对古生物化石发掘活动的监督检查，发现未经依法批准擅自发掘古生物化石，或者不按照批准的发掘方案发掘古生物化石的，应当依法予以处理。</w:t>
            </w:r>
          </w:p>
          <w:p w14:paraId="541E765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5．【地方性法规】《广西壮族自治区钟乳石资源保护条例》（2002年5月31日广西壮族自治区第九届人民代表大会常务委员会第三十次会议通过， 2020年3月27日广西壮族自治区第十三届人民代表大会常务委员会第十四次会议第四次修正）第五条：县级以上自然资源主管部门负责本行政区域内钟乳石资源的保护监督工作，市场监督管理、文化和旅游、公安、交通运输、海关、水利、住房和城乡建设、生态环境等有关主管部门按照各自的职责协助自然资源主管部门做好钟乳石资源的保护、监督工作。</w:t>
            </w:r>
          </w:p>
        </w:tc>
        <w:tc>
          <w:tcPr>
            <w:tcW w:w="4275" w:type="dxa"/>
            <w:vAlign w:val="center"/>
          </w:tcPr>
          <w:p w14:paraId="2A74E4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1.告知责任：自然资源主管部门告知检查内容。</w:t>
            </w:r>
          </w:p>
          <w:p w14:paraId="1808E3C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2.检查责任：被检企业或者个人应配合监督检查；检查单位应当按照检查要求，开展检查工作。</w:t>
            </w:r>
          </w:p>
          <w:p w14:paraId="6E33E8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3.处理责任：通报处理本行政区域对企业或者个人矿产资源开发利用情况。</w:t>
            </w:r>
          </w:p>
          <w:p w14:paraId="4E11469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4．监管责任：强化矿产资源开发利用监督管理。</w:t>
            </w:r>
          </w:p>
          <w:p w14:paraId="72228E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55" w:type="dxa"/>
            <w:vAlign w:val="center"/>
          </w:tcPr>
          <w:p w14:paraId="0F5212A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1.【行政法规】《矿产资源监督管理暂行办法》（1987年4月29日国务院发布）第四条：省、自治区、直辖市人民政府地质矿产主管部门对执行本办法负有下列职责： 一、根据本办法和有关法规，对本地区矿山企业的矿产资源开发利用与保护工作进行监督管理和指导；二、根据需要向重点矿山企业派出矿产督察员，向矿山企业集中的地区派出巡回矿产督察员。</w:t>
            </w:r>
          </w:p>
          <w:p w14:paraId="6A00B2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行政法规】《矿产资源监督管理暂行办法》（1987年4月29日国务院发布）第二十五条：矿山企业上报的矿产资源开发利用资料数据必须准确可靠。虚报瞒报的，依照《中华人民共和国统计法》的有关规定追究责任。对保密资料，应当按照国家有关保密规定执行。</w:t>
            </w:r>
          </w:p>
          <w:p w14:paraId="7DDD3F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2—2.【行政法规】《古生物化石保护条例》（2010年国务院令第580号公布， 2019年国务院令第709号修订）第十九条：县级以上人民政府自然资源主管部门应当加强对古生物化石发掘活动的监督检查，发现未经依法批准擅自发掘古生物化石，或者不按照批准的发掘方案发掘古生物化石的，应当依法予以处理。</w:t>
            </w:r>
          </w:p>
          <w:p w14:paraId="2CBF57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有关规定对直接责任人员追究刑事责任。</w:t>
            </w:r>
          </w:p>
          <w:p w14:paraId="4E51FC9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14:paraId="6F1A1F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一、违反本规定第十四条，擅自移动和破坏碑石、界标的;</w:t>
            </w:r>
          </w:p>
          <w:p w14:paraId="7C2AC0C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二、违反本规定第十七条，进行采石、取土、开矿、放牧、砍伐以及采集标本化石的;</w:t>
            </w:r>
          </w:p>
          <w:p w14:paraId="4864E7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三、违反本规定第十八条，对地质遗迹造成污染和破坏的;</w:t>
            </w:r>
          </w:p>
          <w:p w14:paraId="0F27282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4．同1。</w:t>
            </w:r>
          </w:p>
        </w:tc>
        <w:tc>
          <w:tcPr>
            <w:tcW w:w="330" w:type="dxa"/>
            <w:vAlign w:val="center"/>
          </w:tcPr>
          <w:p w14:paraId="2205306B">
            <w:pPr>
              <w:snapToGrid w:val="0"/>
              <w:spacing w:line="240" w:lineRule="atLeast"/>
              <w:jc w:val="center"/>
              <w:rPr>
                <w:rFonts w:ascii="仿宋_GB2312" w:hAnsi="仿宋_GB2312" w:eastAsia="仿宋_GB2312" w:cs="仿宋_GB2312"/>
                <w:sz w:val="20"/>
                <w:szCs w:val="20"/>
              </w:rPr>
            </w:pPr>
          </w:p>
        </w:tc>
      </w:tr>
    </w:tbl>
    <w:p w14:paraId="5E7D652C"/>
    <w:p w14:paraId="0A191DE7"/>
    <w:p w14:paraId="61ACC39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60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87BD88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28398B3">
            <w:pPr>
              <w:spacing w:line="240" w:lineRule="atLeast"/>
              <w:rPr>
                <w:rFonts w:asciiTheme="majorEastAsia" w:hAnsiTheme="majorEastAsia" w:eastAsiaTheme="majorEastAsia" w:cstheme="majorEastAsia"/>
                <w:spacing w:val="-20"/>
                <w:sz w:val="20"/>
                <w:szCs w:val="20"/>
              </w:rPr>
            </w:pPr>
          </w:p>
          <w:p w14:paraId="703BE8E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6E4ABC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69FCD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7F542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E51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33C1C3C">
            <w:pPr>
              <w:spacing w:line="240" w:lineRule="atLeast"/>
              <w:jc w:val="left"/>
              <w:rPr>
                <w:rFonts w:ascii="仿宋_GB2312" w:hAnsi="仿宋_GB2312" w:eastAsia="仿宋_GB2312" w:cs="仿宋_GB2312"/>
                <w:sz w:val="20"/>
                <w:szCs w:val="20"/>
              </w:rPr>
            </w:pPr>
          </w:p>
        </w:tc>
        <w:tc>
          <w:tcPr>
            <w:tcW w:w="555" w:type="dxa"/>
            <w:vMerge w:val="continue"/>
          </w:tcPr>
          <w:p w14:paraId="1531B8CA">
            <w:pPr>
              <w:spacing w:line="240" w:lineRule="atLeast"/>
              <w:jc w:val="left"/>
              <w:rPr>
                <w:rFonts w:ascii="仿宋_GB2312" w:hAnsi="仿宋_GB2312" w:eastAsia="仿宋_GB2312" w:cs="仿宋_GB2312"/>
                <w:sz w:val="20"/>
                <w:szCs w:val="20"/>
              </w:rPr>
            </w:pPr>
          </w:p>
        </w:tc>
        <w:tc>
          <w:tcPr>
            <w:tcW w:w="784" w:type="dxa"/>
            <w:vAlign w:val="center"/>
          </w:tcPr>
          <w:p w14:paraId="4E0881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DE67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FFC9A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6EEB8A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220C72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F4A941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0BF2E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F27285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9CC9E3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0EEA066">
            <w:pPr>
              <w:spacing w:line="240" w:lineRule="atLeast"/>
              <w:jc w:val="left"/>
              <w:rPr>
                <w:rFonts w:ascii="仿宋_GB2312" w:hAnsi="仿宋_GB2312" w:eastAsia="仿宋_GB2312" w:cs="仿宋_GB2312"/>
                <w:sz w:val="20"/>
                <w:szCs w:val="20"/>
              </w:rPr>
            </w:pPr>
          </w:p>
        </w:tc>
      </w:tr>
      <w:tr w14:paraId="7886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9A233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194</w:t>
            </w:r>
          </w:p>
        </w:tc>
        <w:tc>
          <w:tcPr>
            <w:tcW w:w="555" w:type="dxa"/>
            <w:vAlign w:val="center"/>
          </w:tcPr>
          <w:p w14:paraId="5B9DE2E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57CCAC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测绘成果质量监督检查</w:t>
            </w:r>
          </w:p>
        </w:tc>
        <w:tc>
          <w:tcPr>
            <w:tcW w:w="660" w:type="dxa"/>
            <w:vAlign w:val="center"/>
          </w:tcPr>
          <w:p w14:paraId="33E310B3">
            <w:pPr>
              <w:snapToGrid w:val="0"/>
              <w:spacing w:line="240" w:lineRule="atLeast"/>
              <w:jc w:val="center"/>
              <w:rPr>
                <w:rFonts w:ascii="仿宋_GB2312" w:hAnsi="仿宋_GB2312" w:eastAsia="仿宋_GB2312" w:cs="仿宋_GB2312"/>
                <w:sz w:val="20"/>
                <w:szCs w:val="20"/>
              </w:rPr>
            </w:pPr>
          </w:p>
        </w:tc>
        <w:tc>
          <w:tcPr>
            <w:tcW w:w="615" w:type="dxa"/>
            <w:vAlign w:val="center"/>
          </w:tcPr>
          <w:p w14:paraId="22D723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D226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4CFC562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1.【法律】《中华人民共和国测绘法》第三十九条：测绘单位应当对完成的测绘成果质量负责。县级以上人民政府测绘地理信息主管部门应当加强对测绘成果质量的监督管理。</w:t>
            </w:r>
          </w:p>
          <w:p w14:paraId="5BF017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测绘成果质量监督抽查管理办法》（国测国发〔2010〕9号）第三条：国家测绘局负责组织实施全国质量监督抽查工作。县级以上地方人民政府测绘行政主管部门负责组织实施本行政区域内质量监督抽查工作。</w:t>
            </w:r>
          </w:p>
        </w:tc>
        <w:tc>
          <w:tcPr>
            <w:tcW w:w="3585" w:type="dxa"/>
            <w:vAlign w:val="center"/>
          </w:tcPr>
          <w:p w14:paraId="5E1AB3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1.告知责任：制定本级测绘成果质量监督检查工作方案，并予以通告。工作方案内容包括承检单位名称、检验依据、方法、程序等。</w:t>
            </w:r>
          </w:p>
          <w:p w14:paraId="194DF7B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测绘单位应配合监督检查；检查人员应当保守受检测绘成果涉及的技术秘密、商业秘密，履行检验过程的保密职责。检验过程中，检验单位应当按照技术方案规定的程序，开展检验工作。检验单位可根据需要，向测绘项目出资人、设计单位、施测单位、质检单位等调查、了解项目相关情况，实施现场检验。</w:t>
            </w:r>
          </w:p>
          <w:p w14:paraId="192BE6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查的单位对检查结果有异议的，应当在收到检验结果之日起15日内，向组织实施的自然资源主管部门提出书面异议报告，并抄送检验单位。检验单位应在收到异议报告之日起十个工作日内做出复验结论。</w:t>
            </w:r>
          </w:p>
          <w:p w14:paraId="278EF8A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4．监管责任：制定措施，强化测绘成果质量管理与市场监管。</w:t>
            </w:r>
          </w:p>
          <w:p w14:paraId="134159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62BF501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成果质量监督抽查管理办法》（国测国发〔2010〕9号）第七条：测绘行政主管部门组织实施质量监督抽查时，应当制定工作方案，发布通告，开具通知单，审批技术方案。第十一条：检验单位应当制定技术方案，技术方案经测绘行政主管部门批准后，检验单位组织具备相应专业知识和技术能力的检验人员，开展检验工作。</w:t>
            </w:r>
          </w:p>
          <w:p w14:paraId="6EEBF3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测绘成果质量监督抽查管理办法》（国测国发〔2010〕9号）第十三条：检验开始时，检验单位应当组织召开首次会，向受检单位出示测绘行政主管部门开具的监督抽查通知单，并告知检验依据、方法、程序等。检验过程中，检验单位应当按照技术方案规定的程序，开展检验工作。检验单位可根据需要，向测绘项目出资人、设计单位、施测单位、质检单位等调查、了解项目相关情况，实施现场检验。检验完成后，检验单位应当组织召开末次会，通报检验中发现的问题，提出改进意见和建议。</w:t>
            </w:r>
          </w:p>
          <w:p w14:paraId="78C2201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2—2.【规范性文件】《测绘成果质量监督抽查管理办法》（国测国发〔2010〕9号） 第十四条：受检单位应当配合监督检验工作，提供与受检项目相关的合同、质量文件、成果资料、仪器检定资料等，对检验所需的仪器、设备等给予配合和协助。第十五条：对依法进行的测绘成果质量监督检验，受检单位不得拒绝。拒绝接受监督检验的，受检的测绘项目成果质量按照“批不合格”处理。</w:t>
            </w:r>
          </w:p>
          <w:p w14:paraId="7C7A2BC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第十八条：检验单位应当自收到受检单位书面异议报告之日起十个工作日内作出复验结论，并报组织实施质量监督抽查的测绘行政主管部门。</w:t>
            </w:r>
          </w:p>
          <w:p w14:paraId="187DD6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规范性文件】《测绘成果质量监督抽查管理办法》（国测国发〔2010〕9号）第二十三条：质量监督抽查不合格的测绘单位，组织实施质量监督抽查的测绘行政主管部门应当向其下达整改通知书，责令其自整改通知书下发之日起三个月内进行整改，并按原技术方案组织复查。测绘单位整改完成后，必须向组织实施抽查的测绘行政主管部门报送整改情况，申请监督复查。逾期未整改或者未如期提出复查申请的，由实施抽查的测绘行政主管部门组织进行强制复查。测绘成果质量监督抽查不合格的，或复查仍不合格的，测绘行政主管部门依照《测绘法》及有关法律、法规的规定予以处理。</w:t>
            </w:r>
          </w:p>
          <w:p w14:paraId="224770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测绘地理信息质量管理办法》（国测国发〔2015〕17号）第三条：国家测绘地理信息局负责全国测绘地理信息质量的统一监督管理。县级以上地方人民政府测绘地理信息行政主管部门负责本行政区域内测绘地理信息质量监督管理。</w:t>
            </w:r>
          </w:p>
        </w:tc>
        <w:tc>
          <w:tcPr>
            <w:tcW w:w="330" w:type="dxa"/>
            <w:vAlign w:val="center"/>
          </w:tcPr>
          <w:p w14:paraId="2AD430C3">
            <w:pPr>
              <w:snapToGrid w:val="0"/>
              <w:spacing w:line="240" w:lineRule="atLeast"/>
              <w:jc w:val="center"/>
              <w:rPr>
                <w:rFonts w:ascii="仿宋_GB2312" w:hAnsi="仿宋_GB2312" w:eastAsia="仿宋_GB2312" w:cs="仿宋_GB2312"/>
                <w:sz w:val="20"/>
                <w:szCs w:val="20"/>
              </w:rPr>
            </w:pPr>
          </w:p>
        </w:tc>
      </w:tr>
    </w:tbl>
    <w:p w14:paraId="6D5893C5"/>
    <w:p w14:paraId="3AEEFFE3"/>
    <w:p w14:paraId="08B9F88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8FC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37CBEB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191DB6A">
            <w:pPr>
              <w:spacing w:line="240" w:lineRule="atLeast"/>
              <w:rPr>
                <w:rFonts w:asciiTheme="majorEastAsia" w:hAnsiTheme="majorEastAsia" w:eastAsiaTheme="majorEastAsia" w:cstheme="majorEastAsia"/>
                <w:spacing w:val="-20"/>
                <w:sz w:val="20"/>
                <w:szCs w:val="20"/>
              </w:rPr>
            </w:pPr>
          </w:p>
          <w:p w14:paraId="7059A89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1329C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D414D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C7BB6B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4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2B0F1A">
            <w:pPr>
              <w:spacing w:line="240" w:lineRule="atLeast"/>
              <w:jc w:val="left"/>
              <w:rPr>
                <w:rFonts w:ascii="仿宋_GB2312" w:hAnsi="仿宋_GB2312" w:eastAsia="仿宋_GB2312" w:cs="仿宋_GB2312"/>
                <w:sz w:val="20"/>
                <w:szCs w:val="20"/>
              </w:rPr>
            </w:pPr>
          </w:p>
        </w:tc>
        <w:tc>
          <w:tcPr>
            <w:tcW w:w="555" w:type="dxa"/>
            <w:vMerge w:val="continue"/>
          </w:tcPr>
          <w:p w14:paraId="2ADCB4A6">
            <w:pPr>
              <w:spacing w:line="240" w:lineRule="atLeast"/>
              <w:jc w:val="left"/>
              <w:rPr>
                <w:rFonts w:ascii="仿宋_GB2312" w:hAnsi="仿宋_GB2312" w:eastAsia="仿宋_GB2312" w:cs="仿宋_GB2312"/>
                <w:sz w:val="20"/>
                <w:szCs w:val="20"/>
              </w:rPr>
            </w:pPr>
          </w:p>
        </w:tc>
        <w:tc>
          <w:tcPr>
            <w:tcW w:w="784" w:type="dxa"/>
            <w:vAlign w:val="center"/>
          </w:tcPr>
          <w:p w14:paraId="3EBCD53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CC0E8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9AECBC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A5847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C5128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D9E35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334D9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752C4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0EAB3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F1E4729">
            <w:pPr>
              <w:spacing w:line="240" w:lineRule="atLeast"/>
              <w:jc w:val="left"/>
              <w:rPr>
                <w:rFonts w:ascii="仿宋_GB2312" w:hAnsi="仿宋_GB2312" w:eastAsia="仿宋_GB2312" w:cs="仿宋_GB2312"/>
                <w:sz w:val="20"/>
                <w:szCs w:val="20"/>
              </w:rPr>
            </w:pPr>
          </w:p>
        </w:tc>
      </w:tr>
      <w:tr w14:paraId="0298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0EEDE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195</w:t>
            </w:r>
          </w:p>
        </w:tc>
        <w:tc>
          <w:tcPr>
            <w:tcW w:w="555" w:type="dxa"/>
            <w:vAlign w:val="center"/>
          </w:tcPr>
          <w:p w14:paraId="4A5C359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5AA3090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对外国的组织或者个人来华测绘的监督检查</w:t>
            </w:r>
          </w:p>
        </w:tc>
        <w:tc>
          <w:tcPr>
            <w:tcW w:w="660" w:type="dxa"/>
            <w:vAlign w:val="center"/>
          </w:tcPr>
          <w:p w14:paraId="6A687C74">
            <w:pPr>
              <w:snapToGrid w:val="0"/>
              <w:spacing w:line="240" w:lineRule="atLeast"/>
              <w:jc w:val="center"/>
              <w:rPr>
                <w:rFonts w:ascii="仿宋_GB2312" w:hAnsi="仿宋_GB2312" w:eastAsia="仿宋_GB2312" w:cs="仿宋_GB2312"/>
                <w:sz w:val="20"/>
                <w:szCs w:val="20"/>
              </w:rPr>
            </w:pPr>
          </w:p>
        </w:tc>
        <w:tc>
          <w:tcPr>
            <w:tcW w:w="615" w:type="dxa"/>
            <w:vAlign w:val="center"/>
          </w:tcPr>
          <w:p w14:paraId="413649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D332B9">
            <w:pPr>
              <w:snapToGrid w:val="0"/>
              <w:spacing w:line="240" w:lineRule="atLeast"/>
              <w:jc w:val="center"/>
              <w:rPr>
                <w:rFonts w:ascii="仿宋_GB2312" w:hAnsi="仿宋_GB2312" w:eastAsia="仿宋_GB2312" w:cs="仿宋_GB2312"/>
                <w:sz w:val="20"/>
                <w:szCs w:val="20"/>
              </w:rPr>
            </w:pPr>
          </w:p>
        </w:tc>
        <w:tc>
          <w:tcPr>
            <w:tcW w:w="4605" w:type="dxa"/>
            <w:vAlign w:val="center"/>
          </w:tcPr>
          <w:p w14:paraId="742E34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八条：外国的组织或者个人在中华人民共和国领域和中华人民共和国管辖的其他海域从事测绘活动，应当经国务院测绘地理信息主管部门会同军队测绘部门批准，并遵守中华人民共和国有关法律、行政法规的规定。</w:t>
            </w:r>
          </w:p>
          <w:p w14:paraId="5C60E43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外国的组织或者个人在中华人民共和国领域从事测绘活动，应当与中华人民共和国有关部门或者单位合作进行，并不得涉及国家秘密和危害国家安全。</w:t>
            </w:r>
          </w:p>
          <w:p w14:paraId="53D29C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p w14:paraId="223E99B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tc>
        <w:tc>
          <w:tcPr>
            <w:tcW w:w="3585" w:type="dxa"/>
            <w:vAlign w:val="center"/>
          </w:tcPr>
          <w:p w14:paraId="6DDA72C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1.告知责任：自然资源主管部门告知检查内容。</w:t>
            </w:r>
          </w:p>
          <w:p w14:paraId="7B69C5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2.检查责任：被检外国的组织或者个人应配合监督检查；检查单位应当按照检查方案规定的程序，开展检查工作。</w:t>
            </w:r>
          </w:p>
          <w:p w14:paraId="5A8A20B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3.处理责任：通报本行政区域对外国组织或者个人来华测绘的监督检查情况。</w:t>
            </w:r>
          </w:p>
          <w:p w14:paraId="54FD9D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4．监管责任：强化测绘市场对外国的组织或者个人来华测绘的监督检查管理。</w:t>
            </w:r>
          </w:p>
          <w:p w14:paraId="40A052D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89B724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p w14:paraId="2FA7CEB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5A28CF3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6E0E118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4—1.【规范性文件】《国务院办公厅转发测绘局等部门关于整顿和规范地理信息市场秩序意见的通知》（国办发〔2009〕4号）二（四）加强对外国组织和个人来华测绘活动的监管。</w:t>
            </w:r>
          </w:p>
          <w:p w14:paraId="16DA5A4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4—2.【部门规章】《外国的组织或者个人来华测绘管理暂行办法》（2007年国土资源部令第38号公布，2019年自然资源部第5号令第二次修正））第四条第二款 ： 县级以上各级人民政府自然资源主管部门依照法律、行政法规和规章的规定，对来华测绘履行监督管理职责。</w:t>
            </w:r>
          </w:p>
          <w:p w14:paraId="3CC7E2A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地方性法规】《广西壮族自治区测绘管理条例》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tc>
        <w:tc>
          <w:tcPr>
            <w:tcW w:w="330" w:type="dxa"/>
            <w:vAlign w:val="center"/>
          </w:tcPr>
          <w:p w14:paraId="25098F30">
            <w:pPr>
              <w:snapToGrid w:val="0"/>
              <w:spacing w:line="240" w:lineRule="atLeast"/>
              <w:jc w:val="center"/>
              <w:rPr>
                <w:rFonts w:ascii="仿宋_GB2312" w:hAnsi="仿宋_GB2312" w:eastAsia="仿宋_GB2312" w:cs="仿宋_GB2312"/>
                <w:sz w:val="20"/>
                <w:szCs w:val="20"/>
              </w:rPr>
            </w:pPr>
          </w:p>
        </w:tc>
      </w:tr>
    </w:tbl>
    <w:p w14:paraId="26DD76D7"/>
    <w:p w14:paraId="721F0D9D"/>
    <w:p w14:paraId="3B32137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AD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D3E9A4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66C9650">
            <w:pPr>
              <w:spacing w:line="240" w:lineRule="atLeast"/>
              <w:rPr>
                <w:rFonts w:asciiTheme="majorEastAsia" w:hAnsiTheme="majorEastAsia" w:eastAsiaTheme="majorEastAsia" w:cstheme="majorEastAsia"/>
                <w:spacing w:val="-20"/>
                <w:sz w:val="20"/>
                <w:szCs w:val="20"/>
              </w:rPr>
            </w:pPr>
          </w:p>
          <w:p w14:paraId="1637E46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8370AB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6A255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E08313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CD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949873">
            <w:pPr>
              <w:spacing w:line="240" w:lineRule="atLeast"/>
              <w:jc w:val="left"/>
              <w:rPr>
                <w:rFonts w:ascii="仿宋_GB2312" w:hAnsi="仿宋_GB2312" w:eastAsia="仿宋_GB2312" w:cs="仿宋_GB2312"/>
                <w:sz w:val="20"/>
                <w:szCs w:val="20"/>
              </w:rPr>
            </w:pPr>
          </w:p>
        </w:tc>
        <w:tc>
          <w:tcPr>
            <w:tcW w:w="555" w:type="dxa"/>
            <w:vMerge w:val="continue"/>
          </w:tcPr>
          <w:p w14:paraId="72362ABA">
            <w:pPr>
              <w:spacing w:line="240" w:lineRule="atLeast"/>
              <w:jc w:val="left"/>
              <w:rPr>
                <w:rFonts w:ascii="仿宋_GB2312" w:hAnsi="仿宋_GB2312" w:eastAsia="仿宋_GB2312" w:cs="仿宋_GB2312"/>
                <w:sz w:val="20"/>
                <w:szCs w:val="20"/>
              </w:rPr>
            </w:pPr>
          </w:p>
        </w:tc>
        <w:tc>
          <w:tcPr>
            <w:tcW w:w="784" w:type="dxa"/>
            <w:vAlign w:val="center"/>
          </w:tcPr>
          <w:p w14:paraId="2B075B4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5268F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1908C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8E5267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1C4048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11CCBE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29FA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63E14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D58718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FFDA28C">
            <w:pPr>
              <w:spacing w:line="240" w:lineRule="atLeast"/>
              <w:jc w:val="left"/>
              <w:rPr>
                <w:rFonts w:ascii="仿宋_GB2312" w:hAnsi="仿宋_GB2312" w:eastAsia="仿宋_GB2312" w:cs="仿宋_GB2312"/>
                <w:sz w:val="20"/>
                <w:szCs w:val="20"/>
              </w:rPr>
            </w:pPr>
          </w:p>
        </w:tc>
      </w:tr>
      <w:tr w14:paraId="6B8C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96D20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196</w:t>
            </w:r>
          </w:p>
        </w:tc>
        <w:tc>
          <w:tcPr>
            <w:tcW w:w="555" w:type="dxa"/>
            <w:vAlign w:val="center"/>
          </w:tcPr>
          <w:p w14:paraId="15A0A5C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12633D7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对涉密测绘成果领用单位的保密检查</w:t>
            </w:r>
          </w:p>
        </w:tc>
        <w:tc>
          <w:tcPr>
            <w:tcW w:w="660" w:type="dxa"/>
            <w:vAlign w:val="center"/>
          </w:tcPr>
          <w:p w14:paraId="4BC7E94D">
            <w:pPr>
              <w:snapToGrid w:val="0"/>
              <w:spacing w:line="240" w:lineRule="atLeast"/>
              <w:jc w:val="center"/>
              <w:rPr>
                <w:rFonts w:ascii="仿宋_GB2312" w:hAnsi="仿宋_GB2312" w:eastAsia="仿宋_GB2312" w:cs="仿宋_GB2312"/>
                <w:sz w:val="20"/>
                <w:szCs w:val="20"/>
              </w:rPr>
            </w:pPr>
          </w:p>
        </w:tc>
        <w:tc>
          <w:tcPr>
            <w:tcW w:w="615" w:type="dxa"/>
            <w:vAlign w:val="center"/>
          </w:tcPr>
          <w:p w14:paraId="4B4B28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B96D2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51914F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1.【法律】《中华人民共和国测绘法》第四十六条：县级以上人民政府测绘地理信息主管部门应当会同本级人民政府其他有关部门建立地理信息安全管理制度和技术防控体系，并加强对地理信息安全的监督管理。</w:t>
            </w:r>
          </w:p>
          <w:p w14:paraId="5B66B3B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保守国家秘密法》第六条：国家机关和涉及国家秘密的单位（以下简称机关、单位）管理本机关和本单位的保密工作。中央国家机关在其职权范围内，管理或者指导本系统的保密工作。</w:t>
            </w:r>
          </w:p>
          <w:p w14:paraId="1C3571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3.【地方性法规】《广西壮族自治区测绘管理条例》（1995年自治区第八届人民代表大会常务委员会第14次会议通过，2019年修订）第二十六条：测绘成果属于国家秘密的，适用国家保密法律、行政法规的规定。</w:t>
            </w:r>
          </w:p>
          <w:p w14:paraId="5120BA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关于加强涉密测绘地理信息安全管理的通知》（国测成发〔2012〕11号）四、强化涉密测绘地理信息监管措施（四）建立健全监管机制。各级测绘地理信息行政主管部门要切实加强组织领导，明确涉密测绘地理信息安全监管工作的具体承担机构，责任落实到人。建立健全长效监管机制，联合保密行政管理部门，定期组织开展涉密测绘地理信息安全保密检查，尤其加强对重点单位、重点环节的安全检查。切实加强与保密、国家安全、公安等有关部门的配合，及时组织查处涉密测绘地理信息违法案件，严厉打击窃取、刺探、买卖和非法提供涉密测绘地理信息的行为。</w:t>
            </w:r>
          </w:p>
        </w:tc>
        <w:tc>
          <w:tcPr>
            <w:tcW w:w="3585" w:type="dxa"/>
            <w:vAlign w:val="center"/>
          </w:tcPr>
          <w:p w14:paraId="37DB981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1.告知责任：制定省级地理信息安全监督检查工作通知。通知内容包括检查主体、检查范围、检查内容、组织实施、时间安排和工作要求等事项。</w:t>
            </w:r>
          </w:p>
          <w:p w14:paraId="664A67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查单位应配合监督检查；检查人员应当保守受检测绘成果涉及的技术秘密、商业秘密，履行检验过程的保密职责。检查过程中，检查组应当按照通知事项开展检查工作。检查组可根据需要，要求被检查单位提供相关设备、制度、人员和证件等必要检查资料，并配合现场检查。</w:t>
            </w:r>
          </w:p>
          <w:p w14:paraId="42C49C5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3.处理责任：被检单位或者个人对检查结果有异议的，应当在收到检查结果之日起15日内，向组织实施的测绘地理信息主管部门提出书面异议报告。</w:t>
            </w:r>
          </w:p>
          <w:p w14:paraId="386F32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4．监管责任：加强监管能力建设，加大检查专业队伍建设，加强宣传教育培训，创新监管手段，制定措施，营造监管良好环境，提升全社会自觉维护地理信息安全的共识。</w:t>
            </w:r>
          </w:p>
          <w:p w14:paraId="17F75F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AC0B9C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测绘法》第四十六条：县级以上人民政府测绘地理信息主管部门应当会同本级人民政府其他有关部门建立地理信息安全管理制度和技术防控体系，并加强对地理信息安全的监督管理。</w:t>
            </w:r>
          </w:p>
          <w:p w14:paraId="0B7210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法律】《中华人民共和国保守国家秘密法》第六条：国家机关和涉及国家秘密的单位（以下简称机关、单位）管理本机关和本单位的保密工作。中央国家机关在其职权范围内，管理或者指导本系统的保密工作。</w:t>
            </w:r>
          </w:p>
          <w:p w14:paraId="465DE9B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关于加强涉密测绘地理信息安全管理的通知》（国测成发〔2012〕11号）（一）严格涉密测绘成果提供使用审批管理。各级测绘地理信息行政主管部门要依法严格执行涉密测绘成果提供使用审批制度，对涉密测绘成果使用单位提出的使用目的、申请范围及其保密制度建设、保密责任落实、涉密测绘成果保管使用环境设施条件、核心涉密人员持证上岗等情况进行严格审核。</w:t>
            </w:r>
          </w:p>
          <w:p w14:paraId="3BC9C7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关于加强涉密测绘地理信息安全管理的通知》（国测成发〔2012〕11号）（二）加强涉密测绘成果跟踪监管。各级测绘地理信息行政主管部门要将批准提供的涉密测绘成果清单及时抄告使用单位所在地的测绘地理信息行政主管部门及其行业主管部门，以便开展日常监督管理。严格督促使用单位在使用目的或项目完成后的六个月内销毁申请使用的涉密测绘成果。对在涉密测绘成果跟踪检查中发现有违法使用和违规管理涉密测绘成果情况的使用单位要列入黑名单，并向全系统通报，在整改措施落实到位前，暂停向其提供涉密测绘成果；属于测绘资质单位的，还要纳入测绘地理信息市场不良信用信息管理范围。   4—1.【规范性文件】《关于加强涉密测绘地理信息安全管理的通知》（国测成发〔2012〕11号）（三）落实核心涉密人员保密管理制度。各级测绘地理信息行政主管部门要贯彻落实测绘成果核心涉密人员持证上岗制度，加大核心涉密人员岗位培训教育力度。要将涉密测绘地理信息生产和使用单位测绘成果核心涉密人员岗位培训要求纳入涉密测绘成果提供审批管理及测绘资质管理工作中。</w:t>
            </w:r>
          </w:p>
          <w:p w14:paraId="4E43D8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规范性文件】《关于加强涉密测绘地理信息安全管理的通知》（国测成发〔2012〕11号）（四）建立健全监管机制。各级测绘地理信息行政主管部门要切实加强组织领导，明确涉密测绘地理信息安全监管工作的具体承担机构，责任落实到人。建立健全长效监管机制，联合保密行政管理部门，定期组织开展涉密测绘地理信息安全保密检查，尤其加强对重点单位、重点环节的安全检查。切实加强与保密、国家安全、公安等有关部门的配合，及时组织查处涉密测绘地理信息违法案件，严厉打击窃取、刺探、买卖和非法提供涉密测绘地理信息的行为。</w:t>
            </w:r>
          </w:p>
          <w:p w14:paraId="45FA429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规范性文件】《关于加强涉密测绘地理信息安全管理的通知》（国测成发〔2012〕11号）（五）加强监管能力建设。针对信息化条件下的测绘地理信息安全监管要求，加大专业检查队伍建设力度。在管理人员配备、技术人员调配上要认真选择，加强法规、技能培训，培养一支人员精干、业务精通、技术过硬、检查有力的专业检查队伍。积极创新监管手段，研发安全监管技术，切实提升科学监管能力。（六）营造监管良好环境。加强涉密测绘地理信息安全保密法律法规的宣传。重点加强对涉密测绘地理信息生产、保管与使用单位的宣传教育，增强其安全保密观念。加强对涉密测绘地理信息违法案件的宣传，通过“以案说法”，发挥查办案件的警示教育作用，提升全社会自觉维护地理信息安全的共识，为涉密测绘地理信息安全管理营造良好的社会环境。</w:t>
            </w:r>
          </w:p>
        </w:tc>
        <w:tc>
          <w:tcPr>
            <w:tcW w:w="330" w:type="dxa"/>
            <w:vAlign w:val="center"/>
          </w:tcPr>
          <w:p w14:paraId="5B812754">
            <w:pPr>
              <w:snapToGrid w:val="0"/>
              <w:spacing w:line="240" w:lineRule="atLeast"/>
              <w:jc w:val="center"/>
              <w:rPr>
                <w:rFonts w:ascii="仿宋_GB2312" w:hAnsi="仿宋_GB2312" w:eastAsia="仿宋_GB2312" w:cs="仿宋_GB2312"/>
                <w:sz w:val="20"/>
                <w:szCs w:val="20"/>
              </w:rPr>
            </w:pPr>
          </w:p>
        </w:tc>
      </w:tr>
    </w:tbl>
    <w:p w14:paraId="505BD8A1"/>
    <w:p w14:paraId="532D8DDF"/>
    <w:p w14:paraId="7F497C7B"/>
    <w:p w14:paraId="4148FA3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861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883D98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C03B7C2">
            <w:pPr>
              <w:spacing w:line="240" w:lineRule="atLeast"/>
              <w:rPr>
                <w:rFonts w:asciiTheme="majorEastAsia" w:hAnsiTheme="majorEastAsia" w:eastAsiaTheme="majorEastAsia" w:cstheme="majorEastAsia"/>
                <w:spacing w:val="-20"/>
                <w:sz w:val="20"/>
                <w:szCs w:val="20"/>
              </w:rPr>
            </w:pPr>
          </w:p>
          <w:p w14:paraId="1B20D02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CE784C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D7FB1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DB94F8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401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09B0CAC">
            <w:pPr>
              <w:spacing w:line="240" w:lineRule="atLeast"/>
              <w:jc w:val="left"/>
              <w:rPr>
                <w:rFonts w:ascii="仿宋_GB2312" w:hAnsi="仿宋_GB2312" w:eastAsia="仿宋_GB2312" w:cs="仿宋_GB2312"/>
                <w:sz w:val="20"/>
                <w:szCs w:val="20"/>
              </w:rPr>
            </w:pPr>
          </w:p>
        </w:tc>
        <w:tc>
          <w:tcPr>
            <w:tcW w:w="555" w:type="dxa"/>
            <w:vMerge w:val="continue"/>
          </w:tcPr>
          <w:p w14:paraId="238DF8FA">
            <w:pPr>
              <w:spacing w:line="240" w:lineRule="atLeast"/>
              <w:jc w:val="left"/>
              <w:rPr>
                <w:rFonts w:ascii="仿宋_GB2312" w:hAnsi="仿宋_GB2312" w:eastAsia="仿宋_GB2312" w:cs="仿宋_GB2312"/>
                <w:sz w:val="20"/>
                <w:szCs w:val="20"/>
              </w:rPr>
            </w:pPr>
          </w:p>
        </w:tc>
        <w:tc>
          <w:tcPr>
            <w:tcW w:w="784" w:type="dxa"/>
            <w:vAlign w:val="center"/>
          </w:tcPr>
          <w:p w14:paraId="3B4698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D48BAE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53426F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A13962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556018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456C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01CB6F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6F0B7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762B97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0DFA66">
            <w:pPr>
              <w:spacing w:line="240" w:lineRule="atLeast"/>
              <w:jc w:val="left"/>
              <w:rPr>
                <w:rFonts w:ascii="仿宋_GB2312" w:hAnsi="仿宋_GB2312" w:eastAsia="仿宋_GB2312" w:cs="仿宋_GB2312"/>
                <w:sz w:val="20"/>
                <w:szCs w:val="20"/>
              </w:rPr>
            </w:pPr>
          </w:p>
        </w:tc>
      </w:tr>
      <w:tr w14:paraId="5E9F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8F5C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197</w:t>
            </w:r>
          </w:p>
        </w:tc>
        <w:tc>
          <w:tcPr>
            <w:tcW w:w="555" w:type="dxa"/>
            <w:vAlign w:val="center"/>
          </w:tcPr>
          <w:p w14:paraId="6A1D19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71E311B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对地图编制、出版、展示、登载和互联网地图服务的监督检查</w:t>
            </w:r>
          </w:p>
        </w:tc>
        <w:tc>
          <w:tcPr>
            <w:tcW w:w="660" w:type="dxa"/>
            <w:vAlign w:val="center"/>
          </w:tcPr>
          <w:p w14:paraId="01D8E6FD">
            <w:pPr>
              <w:snapToGrid w:val="0"/>
              <w:spacing w:line="240" w:lineRule="atLeast"/>
              <w:jc w:val="center"/>
              <w:rPr>
                <w:rFonts w:ascii="仿宋_GB2312" w:hAnsi="仿宋_GB2312" w:eastAsia="仿宋_GB2312" w:cs="仿宋_GB2312"/>
                <w:sz w:val="20"/>
                <w:szCs w:val="20"/>
              </w:rPr>
            </w:pPr>
          </w:p>
        </w:tc>
        <w:tc>
          <w:tcPr>
            <w:tcW w:w="615" w:type="dxa"/>
            <w:vAlign w:val="center"/>
          </w:tcPr>
          <w:p w14:paraId="0E114B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02E6E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1B81E36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14:paraId="50FC0B97">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2.【行政法规】《地图管理条例》（2015年国务院令第664号公布，2016年施行）第二条：在中华人民共和国境内从事向社会公开的地图的编制、审核、出版和互联网地图服务以及监督检查活动，应当遵守本条例。</w:t>
            </w:r>
          </w:p>
          <w:p w14:paraId="60672679">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第四十二条：县级以上人民政府及其有关部门应当依法加强对地图编制、出版、展示、登载、生产、销售、进口、出口等活动的监督检查。</w:t>
            </w:r>
          </w:p>
          <w:p w14:paraId="1BC3E6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tc>
        <w:tc>
          <w:tcPr>
            <w:tcW w:w="3585" w:type="dxa"/>
            <w:vAlign w:val="center"/>
          </w:tcPr>
          <w:p w14:paraId="31F9CEEF">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1.告知责任：发通知告知检查内容。</w:t>
            </w:r>
          </w:p>
          <w:p w14:paraId="0301285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2.检查责任：根据举报、调研等情况，确定被检查单位，被检单位或者个人应配合监督检查；检查单位应当按照检查方案规定的程序，开展检查工作。</w:t>
            </w:r>
          </w:p>
          <w:p w14:paraId="5A6249B0">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3.处理责任：被检单位或者个人对检查结果有异议的，应当在收到检查结果之日起15日内，向组织实施的测绘地理信息主管部门提出书面异议报告。</w:t>
            </w:r>
          </w:p>
          <w:p w14:paraId="21E3B8A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4．监管责任：强化地图市场的监督管理。</w:t>
            </w:r>
          </w:p>
          <w:p w14:paraId="0D7353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0951AC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14:paraId="6FD4F6E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行政法规】《地图管理条例》（2015年国务院令第664号）第二条：在中华人民共和国境内从事向社会公开的地图的编制、审核、出版和互联网地图服务以及监督检查活动，应当遵守本条例。第四十二条：县级以上人民政府及其有关部门应当依法加强对地图编制、出版、展示、登载、生产、销售、进口、出口等活动的监督检查。</w:t>
            </w:r>
          </w:p>
          <w:p w14:paraId="22A1656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p w14:paraId="3BD536C4">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2.【法律】同1。</w:t>
            </w:r>
          </w:p>
          <w:p w14:paraId="1ECC2B5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3.【法律】《中华人民共和国行政诉讼法》第四十五条：公民、法人或者其他组织不服复议决定的，可以在收到复议决定书之日起十五日内向人民法院提起诉讼。</w:t>
            </w:r>
          </w:p>
          <w:p w14:paraId="083BB7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4．【法律】同1。</w:t>
            </w:r>
          </w:p>
        </w:tc>
        <w:tc>
          <w:tcPr>
            <w:tcW w:w="330" w:type="dxa"/>
            <w:vAlign w:val="center"/>
          </w:tcPr>
          <w:p w14:paraId="5BF8BDA8">
            <w:pPr>
              <w:snapToGrid w:val="0"/>
              <w:spacing w:line="240" w:lineRule="atLeast"/>
              <w:jc w:val="center"/>
              <w:rPr>
                <w:rFonts w:ascii="仿宋_GB2312" w:hAnsi="仿宋_GB2312" w:eastAsia="仿宋_GB2312" w:cs="仿宋_GB2312"/>
                <w:sz w:val="20"/>
                <w:szCs w:val="20"/>
              </w:rPr>
            </w:pPr>
          </w:p>
        </w:tc>
      </w:tr>
    </w:tbl>
    <w:p w14:paraId="5ADEEB0F"/>
    <w:p w14:paraId="15AEA635"/>
    <w:p w14:paraId="7D75507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A5A7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12AE2A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5242B86">
            <w:pPr>
              <w:spacing w:line="240" w:lineRule="atLeast"/>
              <w:rPr>
                <w:rFonts w:asciiTheme="majorEastAsia" w:hAnsiTheme="majorEastAsia" w:eastAsiaTheme="majorEastAsia" w:cstheme="majorEastAsia"/>
                <w:spacing w:val="-20"/>
                <w:sz w:val="20"/>
                <w:szCs w:val="20"/>
              </w:rPr>
            </w:pPr>
          </w:p>
          <w:p w14:paraId="2979607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678AA6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026B26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FA4B0A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0F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16F1D2">
            <w:pPr>
              <w:spacing w:line="240" w:lineRule="atLeast"/>
              <w:jc w:val="left"/>
              <w:rPr>
                <w:rFonts w:ascii="仿宋_GB2312" w:hAnsi="仿宋_GB2312" w:eastAsia="仿宋_GB2312" w:cs="仿宋_GB2312"/>
                <w:sz w:val="20"/>
                <w:szCs w:val="20"/>
              </w:rPr>
            </w:pPr>
          </w:p>
        </w:tc>
        <w:tc>
          <w:tcPr>
            <w:tcW w:w="555" w:type="dxa"/>
            <w:vMerge w:val="continue"/>
          </w:tcPr>
          <w:p w14:paraId="2FB46F0F">
            <w:pPr>
              <w:spacing w:line="240" w:lineRule="atLeast"/>
              <w:jc w:val="left"/>
              <w:rPr>
                <w:rFonts w:ascii="仿宋_GB2312" w:hAnsi="仿宋_GB2312" w:eastAsia="仿宋_GB2312" w:cs="仿宋_GB2312"/>
                <w:sz w:val="20"/>
                <w:szCs w:val="20"/>
              </w:rPr>
            </w:pPr>
          </w:p>
        </w:tc>
        <w:tc>
          <w:tcPr>
            <w:tcW w:w="784" w:type="dxa"/>
            <w:vAlign w:val="center"/>
          </w:tcPr>
          <w:p w14:paraId="1C0F257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D15DF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645C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1FD83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0FF9B3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827B9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20E9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1961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8FC8AF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103ED5B">
            <w:pPr>
              <w:spacing w:line="240" w:lineRule="atLeast"/>
              <w:jc w:val="left"/>
              <w:rPr>
                <w:rFonts w:ascii="仿宋_GB2312" w:hAnsi="仿宋_GB2312" w:eastAsia="仿宋_GB2312" w:cs="仿宋_GB2312"/>
                <w:sz w:val="20"/>
                <w:szCs w:val="20"/>
              </w:rPr>
            </w:pPr>
          </w:p>
        </w:tc>
      </w:tr>
      <w:tr w14:paraId="7602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9F3D5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198</w:t>
            </w:r>
          </w:p>
        </w:tc>
        <w:tc>
          <w:tcPr>
            <w:tcW w:w="555" w:type="dxa"/>
            <w:vAlign w:val="center"/>
          </w:tcPr>
          <w:p w14:paraId="5F6299D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2062811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城乡规划编制、审批、实施、修改的监督检查</w:t>
            </w:r>
          </w:p>
        </w:tc>
        <w:tc>
          <w:tcPr>
            <w:tcW w:w="660" w:type="dxa"/>
            <w:vAlign w:val="center"/>
          </w:tcPr>
          <w:p w14:paraId="7F7E1226">
            <w:pPr>
              <w:snapToGrid w:val="0"/>
              <w:spacing w:line="240" w:lineRule="atLeast"/>
              <w:jc w:val="center"/>
              <w:rPr>
                <w:rFonts w:ascii="仿宋_GB2312" w:hAnsi="仿宋_GB2312" w:eastAsia="仿宋_GB2312" w:cs="仿宋_GB2312"/>
                <w:sz w:val="20"/>
                <w:szCs w:val="20"/>
              </w:rPr>
            </w:pPr>
          </w:p>
        </w:tc>
        <w:tc>
          <w:tcPr>
            <w:tcW w:w="615" w:type="dxa"/>
            <w:vAlign w:val="center"/>
          </w:tcPr>
          <w:p w14:paraId="0D81CE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24B9AE">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国土空间规划科</w:t>
            </w:r>
          </w:p>
        </w:tc>
        <w:tc>
          <w:tcPr>
            <w:tcW w:w="4605" w:type="dxa"/>
            <w:vAlign w:val="center"/>
          </w:tcPr>
          <w:p w14:paraId="20E52ED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1.【法律】《中华人民共和国城乡规划法》第五十一条：县级以上人民政府及其城乡规划主管部门应当加强对城乡规划编制、审批、实施、修改的监督检查。</w:t>
            </w:r>
          </w:p>
          <w:p w14:paraId="3BC9922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第五十三条：县级以上人民政府城乡规划主管部门对城乡规划的实施情况进行监督检查，有权采取以下措施：</w:t>
            </w:r>
          </w:p>
          <w:p w14:paraId="7000163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（一）要求有关单位和人员提供与监督事项有关的文件、资料，并进行复制；</w:t>
            </w:r>
          </w:p>
          <w:p w14:paraId="01035A59">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（二）要求有关单位和人员就监督事项涉及的问题作出解释和说明，并根据需要进入现场进行勘测；</w:t>
            </w:r>
          </w:p>
          <w:p w14:paraId="1DBF58A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（三）责令有关单位和人员停止违反有关城乡规划的法律、法规的行为。</w:t>
            </w:r>
          </w:p>
          <w:p w14:paraId="1D8DCDC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城乡规划主管部门的工作人员履行前款规定的监督检查职责，应当出示执法证件。被监督检查的单位和人员应当予以配合，不得妨碍和阻挠依法进行的监督检查活动。</w:t>
            </w:r>
          </w:p>
          <w:p w14:paraId="3D0A64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 【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tc>
        <w:tc>
          <w:tcPr>
            <w:tcW w:w="3585" w:type="dxa"/>
            <w:vAlign w:val="center"/>
          </w:tcPr>
          <w:p w14:paraId="5D3D0D4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1.告知责任：制定检查督查方案，下发检查督查通知（暗访不发通知）。</w:t>
            </w:r>
          </w:p>
          <w:p w14:paraId="16D622B3">
            <w:pPr>
              <w:widowControl/>
              <w:adjustRightInd w:val="0"/>
              <w:snapToGrid w:val="0"/>
              <w:spacing w:line="272"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2.检查责任：检查督查时工作人员不得少于2人，应当持《检查督查通知书》或相关证件进行检查。</w:t>
            </w:r>
          </w:p>
          <w:p w14:paraId="1687E66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对检查督查中发现的一般性问题，应及时告知当地政府或有关部门；对违反城乡规划编制、审批、实施、修改工作要求及有关法规政策的重大问题，经报自治区政府同意后，由自治区自然资源厅进行挂牌督办，并向当地政府或有关部门发送《检查督查意见书》。所在地政府或有关部门对《检查督查意见书》指出的问题，及时向自治区督查组书面说明情况、提出整改措施，并逐项整改落实。造成重大损失和影响的案件，依法追究相关责任人责任。</w:t>
            </w:r>
          </w:p>
          <w:p w14:paraId="2AE3F37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4．监管责任：对《检查督查意见书》指出问题的整改情况进行监管。</w:t>
            </w:r>
          </w:p>
          <w:p w14:paraId="17D1110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建设用地和建设工程是否已办理规划许可；（2）城乡规划许可的执行情况；（3）规划控制情况；（4）建设工程竣工规划核实；（5）建（构）筑物的规划使用性质；（6）按照相关规定应当监督检查的其他内容。</w:t>
            </w:r>
          </w:p>
          <w:p w14:paraId="18EF7FB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4E32517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1—1.【法律】《中华人民共和国城乡规划法》第五十一条：县级以上人民政府及其城乡规划主管部门应当加强对城乡规划编制、审批、实施、修改的监督检查。</w:t>
            </w:r>
          </w:p>
          <w:p w14:paraId="4D20DBD7">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p w14:paraId="3459AAA6">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2.同1—1.1-2。</w:t>
            </w:r>
          </w:p>
          <w:p w14:paraId="3E5ACDE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3.同1—1.1-2。</w:t>
            </w:r>
          </w:p>
          <w:p w14:paraId="7373916F">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六条：城乡规划主管部门和镇、乡人民政府应当重点加强以下城乡规划许可实施情况的监督检查：</w:t>
            </w:r>
          </w:p>
          <w:p w14:paraId="3645F9D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（一）建设用地和建设工程是否已办理规划许可；</w:t>
            </w:r>
          </w:p>
          <w:p w14:paraId="695D7E6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（二）城乡规划许可的执行情况；</w:t>
            </w:r>
          </w:p>
          <w:p w14:paraId="506FF1B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（三）规划控制情况；</w:t>
            </w:r>
          </w:p>
          <w:p w14:paraId="1A38B65B">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（四）建设工程竣工规划核实；</w:t>
            </w:r>
          </w:p>
          <w:p w14:paraId="6C66A6F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（五）建（构）筑物的规划使用性质；</w:t>
            </w:r>
          </w:p>
          <w:p w14:paraId="1F8AA1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（六）按照相关规定应当监督检查的其他内容。</w:t>
            </w:r>
          </w:p>
        </w:tc>
        <w:tc>
          <w:tcPr>
            <w:tcW w:w="330" w:type="dxa"/>
            <w:vAlign w:val="center"/>
          </w:tcPr>
          <w:p w14:paraId="148B47A5">
            <w:pPr>
              <w:snapToGrid w:val="0"/>
              <w:spacing w:line="240" w:lineRule="atLeast"/>
              <w:jc w:val="center"/>
              <w:rPr>
                <w:rFonts w:ascii="仿宋_GB2312" w:hAnsi="仿宋_GB2312" w:eastAsia="仿宋_GB2312" w:cs="仿宋_GB2312"/>
                <w:sz w:val="20"/>
                <w:szCs w:val="20"/>
              </w:rPr>
            </w:pPr>
          </w:p>
        </w:tc>
      </w:tr>
    </w:tbl>
    <w:p w14:paraId="6FC033EA"/>
    <w:p w14:paraId="75179040"/>
    <w:p w14:paraId="611A77D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31E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99EA0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F6ACBCD">
            <w:pPr>
              <w:spacing w:line="240" w:lineRule="atLeast"/>
              <w:rPr>
                <w:rFonts w:asciiTheme="majorEastAsia" w:hAnsiTheme="majorEastAsia" w:eastAsiaTheme="majorEastAsia" w:cstheme="majorEastAsia"/>
                <w:spacing w:val="-20"/>
                <w:sz w:val="20"/>
                <w:szCs w:val="20"/>
              </w:rPr>
            </w:pPr>
          </w:p>
          <w:p w14:paraId="73BC043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BF3C29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D5131D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C51DE8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7BF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6D730EB">
            <w:pPr>
              <w:spacing w:line="240" w:lineRule="atLeast"/>
              <w:jc w:val="left"/>
              <w:rPr>
                <w:rFonts w:ascii="仿宋_GB2312" w:hAnsi="仿宋_GB2312" w:eastAsia="仿宋_GB2312" w:cs="仿宋_GB2312"/>
                <w:sz w:val="20"/>
                <w:szCs w:val="20"/>
              </w:rPr>
            </w:pPr>
          </w:p>
        </w:tc>
        <w:tc>
          <w:tcPr>
            <w:tcW w:w="555" w:type="dxa"/>
            <w:vMerge w:val="continue"/>
          </w:tcPr>
          <w:p w14:paraId="4E6ADA8E">
            <w:pPr>
              <w:spacing w:line="240" w:lineRule="atLeast"/>
              <w:jc w:val="left"/>
              <w:rPr>
                <w:rFonts w:ascii="仿宋_GB2312" w:hAnsi="仿宋_GB2312" w:eastAsia="仿宋_GB2312" w:cs="仿宋_GB2312"/>
                <w:sz w:val="20"/>
                <w:szCs w:val="20"/>
              </w:rPr>
            </w:pPr>
          </w:p>
        </w:tc>
        <w:tc>
          <w:tcPr>
            <w:tcW w:w="784" w:type="dxa"/>
            <w:vAlign w:val="center"/>
          </w:tcPr>
          <w:p w14:paraId="0DD3063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615DB4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BFAC16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65AE7F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92F9C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B8FAA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F017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19D216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460908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D6E88F9">
            <w:pPr>
              <w:spacing w:line="240" w:lineRule="atLeast"/>
              <w:jc w:val="left"/>
              <w:rPr>
                <w:rFonts w:ascii="仿宋_GB2312" w:hAnsi="仿宋_GB2312" w:eastAsia="仿宋_GB2312" w:cs="仿宋_GB2312"/>
                <w:sz w:val="20"/>
                <w:szCs w:val="20"/>
              </w:rPr>
            </w:pPr>
          </w:p>
        </w:tc>
      </w:tr>
      <w:tr w14:paraId="1F26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33E9D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199</w:t>
            </w:r>
          </w:p>
        </w:tc>
        <w:tc>
          <w:tcPr>
            <w:tcW w:w="555" w:type="dxa"/>
            <w:vAlign w:val="center"/>
          </w:tcPr>
          <w:p w14:paraId="55B38C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18272B2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对不动产测绘的监督检查</w:t>
            </w:r>
          </w:p>
        </w:tc>
        <w:tc>
          <w:tcPr>
            <w:tcW w:w="660" w:type="dxa"/>
            <w:vAlign w:val="center"/>
          </w:tcPr>
          <w:p w14:paraId="16D7DCA2">
            <w:pPr>
              <w:snapToGrid w:val="0"/>
              <w:spacing w:line="240" w:lineRule="atLeast"/>
              <w:jc w:val="center"/>
              <w:rPr>
                <w:rFonts w:ascii="仿宋_GB2312" w:hAnsi="仿宋_GB2312" w:eastAsia="仿宋_GB2312" w:cs="仿宋_GB2312"/>
                <w:sz w:val="20"/>
                <w:szCs w:val="20"/>
              </w:rPr>
            </w:pPr>
          </w:p>
        </w:tc>
        <w:tc>
          <w:tcPr>
            <w:tcW w:w="615" w:type="dxa"/>
            <w:vAlign w:val="center"/>
          </w:tcPr>
          <w:p w14:paraId="37978D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C0A9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48E7D4A3">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【法律】《中华人民共和国测绘法》第二十二条第一款：县级以上人民政府测绘地理信息主管部门应当会同本级人民政府不动产登记主管部门，加强对不动产测绘的管理。</w:t>
            </w:r>
          </w:p>
          <w:p w14:paraId="699EAA0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第四十九条：县级以上人民政府测绘地理信息主管部门应当建立健全随机抽查机制，依法履行监督检查职责，发现涉嫌违反本法规定行为的，可以依法采取下列措施：</w:t>
            </w:r>
          </w:p>
          <w:p w14:paraId="7571037B">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0A3CDC15">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73BA513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724A1A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6B28A627">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09E3CD0A">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7F9A623A">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3.处理责任：受检单位对监督检验结论有异议的，可以自收到检验结论之日起十五个工作日内向组织实施质量监督抽查的测绘行政主管部门提出书面异议报告。</w:t>
            </w:r>
          </w:p>
          <w:p w14:paraId="17F21F6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4．监管责任：制定措施，强化不动产测绘的监督管理工作。</w:t>
            </w:r>
          </w:p>
          <w:p w14:paraId="60343D9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9096F5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【法律】《中华人民共和国测绘法》第二十二条第一款：县级以上人民政府测绘地理信息主管部门应当会同本级人民政府不动产登记主管部门，加强对不动产测绘的管理。</w:t>
            </w:r>
          </w:p>
          <w:p w14:paraId="43D7564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2A907C5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6BF90CAF">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463CCD8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2—1.同1。</w:t>
            </w:r>
          </w:p>
          <w:p w14:paraId="6A5343D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测绘成果质量监督抽查管理办法》（国测国发〔2010〕9号）第十一条：检验单位应当制定技术方案，技术方案经测绘行政主管部门批准后，检验单位组织具备相应专业知识和技术能力的检验人员，开展检验工作。</w:t>
            </w:r>
          </w:p>
          <w:p w14:paraId="5A9F7C95">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w:t>
            </w:r>
          </w:p>
          <w:p w14:paraId="7359DA1A">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2FF023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6B0184F0">
            <w:pPr>
              <w:snapToGrid w:val="0"/>
              <w:spacing w:line="240" w:lineRule="atLeast"/>
              <w:jc w:val="center"/>
              <w:rPr>
                <w:rFonts w:ascii="仿宋_GB2312" w:hAnsi="仿宋_GB2312" w:eastAsia="仿宋_GB2312" w:cs="仿宋_GB2312"/>
                <w:sz w:val="20"/>
                <w:szCs w:val="20"/>
              </w:rPr>
            </w:pPr>
          </w:p>
        </w:tc>
      </w:tr>
    </w:tbl>
    <w:p w14:paraId="092CDCBF"/>
    <w:p w14:paraId="1C90014C"/>
    <w:p w14:paraId="318E920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B28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1A72D9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FE31CBC">
            <w:pPr>
              <w:spacing w:line="240" w:lineRule="atLeast"/>
              <w:rPr>
                <w:rFonts w:asciiTheme="majorEastAsia" w:hAnsiTheme="majorEastAsia" w:eastAsiaTheme="majorEastAsia" w:cstheme="majorEastAsia"/>
                <w:spacing w:val="-20"/>
                <w:sz w:val="20"/>
                <w:szCs w:val="20"/>
              </w:rPr>
            </w:pPr>
          </w:p>
          <w:p w14:paraId="589071F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94DA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413D7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EDC4A6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F0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CA1F7CA">
            <w:pPr>
              <w:spacing w:line="240" w:lineRule="atLeast"/>
              <w:jc w:val="left"/>
              <w:rPr>
                <w:rFonts w:ascii="仿宋_GB2312" w:hAnsi="仿宋_GB2312" w:eastAsia="仿宋_GB2312" w:cs="仿宋_GB2312"/>
                <w:sz w:val="20"/>
                <w:szCs w:val="20"/>
              </w:rPr>
            </w:pPr>
          </w:p>
        </w:tc>
        <w:tc>
          <w:tcPr>
            <w:tcW w:w="555" w:type="dxa"/>
            <w:vMerge w:val="continue"/>
          </w:tcPr>
          <w:p w14:paraId="3EDBA110">
            <w:pPr>
              <w:spacing w:line="240" w:lineRule="atLeast"/>
              <w:jc w:val="left"/>
              <w:rPr>
                <w:rFonts w:ascii="仿宋_GB2312" w:hAnsi="仿宋_GB2312" w:eastAsia="仿宋_GB2312" w:cs="仿宋_GB2312"/>
                <w:sz w:val="20"/>
                <w:szCs w:val="20"/>
              </w:rPr>
            </w:pPr>
          </w:p>
        </w:tc>
        <w:tc>
          <w:tcPr>
            <w:tcW w:w="784" w:type="dxa"/>
            <w:vAlign w:val="center"/>
          </w:tcPr>
          <w:p w14:paraId="4F03803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86211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79D4BD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84FB39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C55413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1022D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E4D91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5BCDF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93C503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677FDC7">
            <w:pPr>
              <w:spacing w:line="240" w:lineRule="atLeast"/>
              <w:jc w:val="left"/>
              <w:rPr>
                <w:rFonts w:ascii="仿宋_GB2312" w:hAnsi="仿宋_GB2312" w:eastAsia="仿宋_GB2312" w:cs="仿宋_GB2312"/>
                <w:sz w:val="20"/>
                <w:szCs w:val="20"/>
              </w:rPr>
            </w:pPr>
          </w:p>
        </w:tc>
      </w:tr>
      <w:tr w14:paraId="7621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58A21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200</w:t>
            </w:r>
          </w:p>
        </w:tc>
        <w:tc>
          <w:tcPr>
            <w:tcW w:w="555" w:type="dxa"/>
            <w:vAlign w:val="center"/>
          </w:tcPr>
          <w:p w14:paraId="51B80C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1AE8886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对地理信息安全的监督检查</w:t>
            </w:r>
          </w:p>
        </w:tc>
        <w:tc>
          <w:tcPr>
            <w:tcW w:w="660" w:type="dxa"/>
            <w:vAlign w:val="center"/>
          </w:tcPr>
          <w:p w14:paraId="7EE819A6">
            <w:pPr>
              <w:snapToGrid w:val="0"/>
              <w:spacing w:line="240" w:lineRule="atLeast"/>
              <w:jc w:val="center"/>
              <w:rPr>
                <w:rFonts w:ascii="仿宋_GB2312" w:hAnsi="仿宋_GB2312" w:eastAsia="仿宋_GB2312" w:cs="仿宋_GB2312"/>
                <w:sz w:val="20"/>
                <w:szCs w:val="20"/>
              </w:rPr>
            </w:pPr>
          </w:p>
        </w:tc>
        <w:tc>
          <w:tcPr>
            <w:tcW w:w="615" w:type="dxa"/>
            <w:vAlign w:val="center"/>
          </w:tcPr>
          <w:p w14:paraId="05D50A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83FA4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0A1BA3E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【法律】《中华人民共和国测绘法》第四十六条：县级以上人民政府测绘地理信息主管部门应当会同本级人民政府其他有关部门建立地理信息安全管理制度和技术防控体系，并加强对地理信息安全的监督管理。</w:t>
            </w:r>
          </w:p>
          <w:p w14:paraId="545750F8">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第四十九条：县级以上人民政府测绘地理信息主管部门应当建立健全随机抽查机制，依法履行监督检查职责，发现涉嫌违反本法规定行为的，可以依法采取下列措施：</w:t>
            </w:r>
          </w:p>
          <w:p w14:paraId="507424E3">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3D7C6D1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22D164CE">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2BB8BF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6D35E93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2C641FE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2.检查责任：被检单位或个人应配合监督检查；检查单位应当按照检查方案规定的程序，开展检查工作。</w:t>
            </w:r>
          </w:p>
          <w:p w14:paraId="03935D63">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3.处理责任：被检单位或个人对检查结果有异议的，应当在收到检查结果之日起15日内，向组织实施的测绘地理信息主管部门提出书面异议报告。</w:t>
            </w:r>
          </w:p>
          <w:p w14:paraId="651112A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4.监管责任：制定措施，强化地理信息安全的监督管理工作。</w:t>
            </w:r>
          </w:p>
          <w:p w14:paraId="5804821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877B2B1">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【法律】《中华人民共和国测绘法》第四十六条：县级以上人民政府测绘地理信息主管部门应当会同本级人民政府其他有关部门建立地理信息安全管理制度和技术防控体系，并加强对地理信息安全的监督管理。</w:t>
            </w:r>
          </w:p>
          <w:p w14:paraId="0F9A372A">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6B4AD7C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54A96613">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244D9FE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4CF2187">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42CD0D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503D4B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0761616B">
            <w:pPr>
              <w:snapToGrid w:val="0"/>
              <w:spacing w:line="240" w:lineRule="atLeast"/>
              <w:jc w:val="center"/>
              <w:rPr>
                <w:rFonts w:ascii="仿宋_GB2312" w:hAnsi="仿宋_GB2312" w:eastAsia="仿宋_GB2312" w:cs="仿宋_GB2312"/>
                <w:sz w:val="20"/>
                <w:szCs w:val="20"/>
              </w:rPr>
            </w:pPr>
          </w:p>
        </w:tc>
      </w:tr>
    </w:tbl>
    <w:p w14:paraId="67DFEB55"/>
    <w:p w14:paraId="4E3A3737"/>
    <w:p w14:paraId="2D5DCAB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7170"/>
        <w:gridCol w:w="3255"/>
        <w:gridCol w:w="7280"/>
        <w:gridCol w:w="330"/>
      </w:tblGrid>
      <w:tr w14:paraId="13B2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63C82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217AF08">
            <w:pPr>
              <w:spacing w:line="240" w:lineRule="atLeast"/>
              <w:rPr>
                <w:rFonts w:asciiTheme="majorEastAsia" w:hAnsiTheme="majorEastAsia" w:eastAsiaTheme="majorEastAsia" w:cstheme="majorEastAsia"/>
                <w:spacing w:val="-20"/>
                <w:sz w:val="20"/>
                <w:szCs w:val="20"/>
              </w:rPr>
            </w:pPr>
          </w:p>
          <w:p w14:paraId="6323547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339" w:type="dxa"/>
            <w:gridSpan w:val="5"/>
            <w:vAlign w:val="center"/>
          </w:tcPr>
          <w:p w14:paraId="7CD927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535" w:type="dxa"/>
            <w:gridSpan w:val="2"/>
            <w:vAlign w:val="center"/>
          </w:tcPr>
          <w:p w14:paraId="1813AA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B7968C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F58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1B2E3CB">
            <w:pPr>
              <w:spacing w:line="240" w:lineRule="atLeast"/>
              <w:jc w:val="left"/>
              <w:rPr>
                <w:rFonts w:ascii="仿宋_GB2312" w:hAnsi="仿宋_GB2312" w:eastAsia="仿宋_GB2312" w:cs="仿宋_GB2312"/>
                <w:sz w:val="20"/>
                <w:szCs w:val="20"/>
              </w:rPr>
            </w:pPr>
          </w:p>
        </w:tc>
        <w:tc>
          <w:tcPr>
            <w:tcW w:w="555" w:type="dxa"/>
            <w:vMerge w:val="continue"/>
          </w:tcPr>
          <w:p w14:paraId="1C9ADD68">
            <w:pPr>
              <w:spacing w:line="240" w:lineRule="atLeast"/>
              <w:jc w:val="left"/>
              <w:rPr>
                <w:rFonts w:ascii="仿宋_GB2312" w:hAnsi="仿宋_GB2312" w:eastAsia="仿宋_GB2312" w:cs="仿宋_GB2312"/>
                <w:sz w:val="20"/>
                <w:szCs w:val="20"/>
              </w:rPr>
            </w:pPr>
          </w:p>
        </w:tc>
        <w:tc>
          <w:tcPr>
            <w:tcW w:w="784" w:type="dxa"/>
            <w:vAlign w:val="center"/>
          </w:tcPr>
          <w:p w14:paraId="5A196B6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1EB376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5CC80A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9E3526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C4D516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170" w:type="dxa"/>
            <w:vAlign w:val="center"/>
          </w:tcPr>
          <w:p w14:paraId="6AECDE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255" w:type="dxa"/>
            <w:vAlign w:val="center"/>
          </w:tcPr>
          <w:p w14:paraId="36A3EE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7B190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280" w:type="dxa"/>
            <w:vAlign w:val="center"/>
          </w:tcPr>
          <w:p w14:paraId="3D7F76F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AB53D32">
            <w:pPr>
              <w:spacing w:line="240" w:lineRule="atLeast"/>
              <w:jc w:val="left"/>
              <w:rPr>
                <w:rFonts w:ascii="仿宋_GB2312" w:hAnsi="仿宋_GB2312" w:eastAsia="仿宋_GB2312" w:cs="仿宋_GB2312"/>
                <w:sz w:val="20"/>
                <w:szCs w:val="20"/>
              </w:rPr>
            </w:pPr>
          </w:p>
        </w:tc>
      </w:tr>
      <w:tr w14:paraId="3DDE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159AC2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201</w:t>
            </w:r>
          </w:p>
        </w:tc>
        <w:tc>
          <w:tcPr>
            <w:tcW w:w="555" w:type="dxa"/>
            <w:vAlign w:val="center"/>
          </w:tcPr>
          <w:p w14:paraId="2FC216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171A24B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对测绘资质的监督检查</w:t>
            </w:r>
          </w:p>
        </w:tc>
        <w:tc>
          <w:tcPr>
            <w:tcW w:w="660" w:type="dxa"/>
            <w:vAlign w:val="center"/>
          </w:tcPr>
          <w:p w14:paraId="1A7D8DCC">
            <w:pPr>
              <w:snapToGrid w:val="0"/>
              <w:spacing w:line="240" w:lineRule="atLeast"/>
              <w:jc w:val="center"/>
              <w:rPr>
                <w:rFonts w:ascii="仿宋_GB2312" w:hAnsi="仿宋_GB2312" w:eastAsia="仿宋_GB2312" w:cs="仿宋_GB2312"/>
                <w:sz w:val="20"/>
                <w:szCs w:val="20"/>
              </w:rPr>
            </w:pPr>
          </w:p>
        </w:tc>
        <w:tc>
          <w:tcPr>
            <w:tcW w:w="615" w:type="dxa"/>
            <w:vAlign w:val="center"/>
          </w:tcPr>
          <w:p w14:paraId="0ACA62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4EA2F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7170" w:type="dxa"/>
            <w:vAlign w:val="center"/>
          </w:tcPr>
          <w:p w14:paraId="0B627F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1.【法律】《中华人民共和国测绘法》第四条：国务院测绘地理信息主管部门负责全国测绘工作的统一监督管理。国务院其他有关部门按照国务院规定的职责分工，负责本部门有关的测绘工作。</w:t>
            </w:r>
          </w:p>
          <w:p w14:paraId="09C592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县级以上地方人民政府测绘地理信息主管部门负责本行政区域测绘工作的统一监督管理。县级以上地方人民政府其他有关部门按照本级人民政府规定的职责分工，负责本部门有关的测绘工作。</w:t>
            </w:r>
          </w:p>
          <w:p w14:paraId="7CE698C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军队测绘部门负责管理军事部门的测绘工作，并按照国务院、中央军事委员会规定的职责分工负责管理海洋基础测绘工作。</w:t>
            </w:r>
          </w:p>
          <w:p w14:paraId="27BA12A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国务院测绘地理信息主管部门和省、自治区、直辖市人民政府测绘地理信息主管部门按照各自的职责负责测绘资质审查、发放测绘资质证书。具体办法由国务院测绘地理信息主管部门商国务院其他有关部门规定。</w:t>
            </w:r>
          </w:p>
          <w:p w14:paraId="5709A35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军队测绘部门负责军事测绘单位的测绘资质审查。</w:t>
            </w:r>
          </w:p>
          <w:p w14:paraId="1B1E613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14:paraId="7FD7A7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第四十四条： 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14:paraId="317EA46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3.【规范性文件】《测绘资质管理规定》（国测管发〔2014〕31号）第三条第二款 ： 县级以上地方人民政府测绘地理信息行政主管部门负责本行政区域内测绘资质的监督管理工作。</w:t>
            </w:r>
          </w:p>
          <w:p w14:paraId="18C3AD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第二十四条：实行测绘资质巡查制度。各级测绘地理信息行政主管部门应当有计划地对测绘资质单位执行《测绘资质管理规定》和《测绘资质分级标准》的有关情况进行巡查。</w:t>
            </w:r>
          </w:p>
          <w:p w14:paraId="5D0D0A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国家测绘地理信息局负责指导全国测绘资质巡查工作，并对省级测绘地理信息行政主管部门开展的巡查工作进行抽查。</w:t>
            </w:r>
          </w:p>
          <w:p w14:paraId="2DA7CFC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省级测绘地理信息行政主管部门负责制定本行政区域内测绘资质巡查工作计划，并组织实施。每年巡查比例不少于本行政区域内各等级测绘资质单位总数的5%。</w:t>
            </w:r>
          </w:p>
          <w:p w14:paraId="05DC97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各级测绘地理信息行政主管部门组织开展测绘资质巡查工作，应当事先向被巡查单位发出书面通知，告知巡查时间、巡查内容和具体要求。巡查结束后，应当向被巡查单位书面反馈意见。</w:t>
            </w:r>
          </w:p>
        </w:tc>
        <w:tc>
          <w:tcPr>
            <w:tcW w:w="3255" w:type="dxa"/>
            <w:vAlign w:val="center"/>
          </w:tcPr>
          <w:p w14:paraId="7902DB4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1.告知责任：测绘地理信息主管部门告知巡查时间、巡查内容和具体要求。</w:t>
            </w:r>
          </w:p>
          <w:p w14:paraId="2F26BB6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62832D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3.处理责任：测绘资质单位违法从事测绘活动的，依照《中华人民共和国测绘法》及有关法律、法规的规定予以处罚。</w:t>
            </w:r>
          </w:p>
          <w:p w14:paraId="400AA0C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4.监管责任：制定措施，强化测绘资质的监督管理工作。</w:t>
            </w:r>
          </w:p>
          <w:p w14:paraId="354379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7280" w:type="dxa"/>
            <w:vAlign w:val="center"/>
          </w:tcPr>
          <w:p w14:paraId="7EFD4E8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1.【规范性文件】《测绘成果质量监督抽查管理办法》（国测国发〔2010〕9号）第七条：测绘行政主管部门组织实施质量监督抽查时，应当制定工作方案，发布通告，开具通知单，审批技术方案。</w:t>
            </w:r>
          </w:p>
          <w:p w14:paraId="775FE5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第十三条：检验开始时，检验单位应当组织召开首次会，向受检单位出示测绘行政主管部门开具的监督抽查通知单，并告知检验依据、方法、程序等。</w:t>
            </w:r>
          </w:p>
          <w:p w14:paraId="2DBDA88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检验过程中，检验单位应当按照技术方案规定的程序，开展检验工作。检验单位可根据需要，向测绘项目出资人、设计单位、施测单位、质检单位等调查、了解项目相关情况，实施现场检验。</w:t>
            </w:r>
          </w:p>
          <w:p w14:paraId="4DCD87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检验完成后，检验单位应当组织召开末次会，通报检验中发现的问题，提出改进意见和建议。</w:t>
            </w:r>
          </w:p>
          <w:p w14:paraId="430661D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成果质量监督抽查管理办法》（国测国发〔2010〕9号）第十四条：受检单位应当配合监督检验工作，提供与受检项目相关的合同、质量文件、成果资料、仪器检定资料等，对检验所需的仪器、设备等给予配合和协助。</w:t>
            </w:r>
          </w:p>
          <w:p w14:paraId="3840F4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第十三条：检验开始时，检验单位应当组织召开首次会，向受检单位出示测绘行政主管部门开具的监督抽查通知单，并告知检验依据、方法、程序等。</w:t>
            </w:r>
          </w:p>
          <w:p w14:paraId="431FE24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检验过程中，检验单位应当按照技术方案规定的程序，开展检验工作。检验单位可根据需要，向测绘项目出资人、设计单位、施测单位、质检单位等调查、了解项目相关情况，实施现场检验。</w:t>
            </w:r>
          </w:p>
          <w:p w14:paraId="513F875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检验完成后，检验单位应当组织召开末次会，通报检验中发现的问题，提出改进意见和建议。</w:t>
            </w:r>
          </w:p>
          <w:p w14:paraId="522515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3.【法律】《中华人民共和国测绘法》第四十九条：县级以上人民政府测绘地理信息主管部门应当建立健全随机抽查机制，依法履行监督检查职责，发现涉嫌违反本法规定行为的，可以依法采取下列措施：</w:t>
            </w:r>
          </w:p>
          <w:p w14:paraId="4484CA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08F41E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3BE6928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73199E8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16AE0E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测绘成果质量监督抽查管理办法》（国测国发〔2010〕9号）第一条：为规范测绘成果质量监督抽查（以下简称“质量监督抽查”）工作，加强测绘质量的监督管理，根据《中华人民共和国测绘法》等有关法律、法规，制定本办法。</w:t>
            </w:r>
          </w:p>
        </w:tc>
        <w:tc>
          <w:tcPr>
            <w:tcW w:w="330" w:type="dxa"/>
            <w:vAlign w:val="center"/>
          </w:tcPr>
          <w:p w14:paraId="6CE2DFC6">
            <w:pPr>
              <w:snapToGrid w:val="0"/>
              <w:spacing w:line="240" w:lineRule="atLeast"/>
              <w:jc w:val="center"/>
              <w:rPr>
                <w:rFonts w:ascii="仿宋_GB2312" w:hAnsi="仿宋_GB2312" w:eastAsia="仿宋_GB2312" w:cs="仿宋_GB2312"/>
                <w:sz w:val="20"/>
                <w:szCs w:val="20"/>
              </w:rPr>
            </w:pPr>
          </w:p>
        </w:tc>
      </w:tr>
    </w:tbl>
    <w:p w14:paraId="0025D45E"/>
    <w:p w14:paraId="19DA12C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C4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BE83D1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6D8CA13">
            <w:pPr>
              <w:spacing w:line="240" w:lineRule="atLeast"/>
              <w:rPr>
                <w:rFonts w:asciiTheme="majorEastAsia" w:hAnsiTheme="majorEastAsia" w:eastAsiaTheme="majorEastAsia" w:cstheme="majorEastAsia"/>
                <w:spacing w:val="-20"/>
                <w:sz w:val="20"/>
                <w:szCs w:val="20"/>
              </w:rPr>
            </w:pPr>
          </w:p>
          <w:p w14:paraId="2865C33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AF685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CBAEF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C3E9C1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79A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07E5BC">
            <w:pPr>
              <w:spacing w:line="240" w:lineRule="atLeast"/>
              <w:jc w:val="left"/>
              <w:rPr>
                <w:rFonts w:ascii="仿宋_GB2312" w:hAnsi="仿宋_GB2312" w:eastAsia="仿宋_GB2312" w:cs="仿宋_GB2312"/>
                <w:sz w:val="20"/>
                <w:szCs w:val="20"/>
              </w:rPr>
            </w:pPr>
          </w:p>
        </w:tc>
        <w:tc>
          <w:tcPr>
            <w:tcW w:w="555" w:type="dxa"/>
            <w:vMerge w:val="continue"/>
          </w:tcPr>
          <w:p w14:paraId="1DBE7C96">
            <w:pPr>
              <w:spacing w:line="240" w:lineRule="atLeast"/>
              <w:jc w:val="left"/>
              <w:rPr>
                <w:rFonts w:ascii="仿宋_GB2312" w:hAnsi="仿宋_GB2312" w:eastAsia="仿宋_GB2312" w:cs="仿宋_GB2312"/>
                <w:sz w:val="20"/>
                <w:szCs w:val="20"/>
              </w:rPr>
            </w:pPr>
          </w:p>
        </w:tc>
        <w:tc>
          <w:tcPr>
            <w:tcW w:w="784" w:type="dxa"/>
            <w:vAlign w:val="center"/>
          </w:tcPr>
          <w:p w14:paraId="3E5202B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8256B6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3322B5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894B00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949D40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0CDF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EF738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3D9D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BC28C5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6A1CC9">
            <w:pPr>
              <w:spacing w:line="240" w:lineRule="atLeast"/>
              <w:jc w:val="left"/>
              <w:rPr>
                <w:rFonts w:ascii="仿宋_GB2312" w:hAnsi="仿宋_GB2312" w:eastAsia="仿宋_GB2312" w:cs="仿宋_GB2312"/>
                <w:sz w:val="20"/>
                <w:szCs w:val="20"/>
              </w:rPr>
            </w:pPr>
          </w:p>
        </w:tc>
      </w:tr>
      <w:tr w14:paraId="4CEC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57DF8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202</w:t>
            </w:r>
          </w:p>
        </w:tc>
        <w:tc>
          <w:tcPr>
            <w:tcW w:w="555" w:type="dxa"/>
            <w:vAlign w:val="center"/>
          </w:tcPr>
          <w:p w14:paraId="006F52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3BD1608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对测绘市场的监督检查</w:t>
            </w:r>
          </w:p>
        </w:tc>
        <w:tc>
          <w:tcPr>
            <w:tcW w:w="660" w:type="dxa"/>
            <w:vAlign w:val="center"/>
          </w:tcPr>
          <w:p w14:paraId="46C8FE45">
            <w:pPr>
              <w:snapToGrid w:val="0"/>
              <w:spacing w:line="240" w:lineRule="atLeast"/>
              <w:jc w:val="center"/>
              <w:rPr>
                <w:rFonts w:ascii="仿宋_GB2312" w:hAnsi="仿宋_GB2312" w:eastAsia="仿宋_GB2312" w:cs="仿宋_GB2312"/>
                <w:sz w:val="20"/>
                <w:szCs w:val="20"/>
              </w:rPr>
            </w:pPr>
          </w:p>
        </w:tc>
        <w:tc>
          <w:tcPr>
            <w:tcW w:w="615" w:type="dxa"/>
            <w:vAlign w:val="center"/>
          </w:tcPr>
          <w:p w14:paraId="01E8C2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CBAF7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2CC7DBDC">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33E9C3E2">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5EA8754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3F8D026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14:paraId="7CF3BEAF">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四条：：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14:paraId="16F929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3.【规范性文件】《测绘市场管理暂行办法》（1995年6月6日国家测绘局、国家工商行政管理局发布）第三条：县级以上人民政府测绘主管部门和工商行政管理部门负责监督管理本行政区域内的测绘市场。</w:t>
            </w:r>
          </w:p>
        </w:tc>
        <w:tc>
          <w:tcPr>
            <w:tcW w:w="3585" w:type="dxa"/>
            <w:vAlign w:val="center"/>
          </w:tcPr>
          <w:p w14:paraId="18F16F25">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2E4D5224">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2.检查责任：被检单位或个人应配合监督检查；检查单位应当按照检查方案规定的程序，开展检查工作。</w:t>
            </w:r>
          </w:p>
          <w:p w14:paraId="08870D8C">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3.处理责任：被检单位或个人对检查结果有异议的，应当在收到检查结果之日起15日内，向组织实施的测绘地理信息主管部门提出书面异议报告。</w:t>
            </w:r>
          </w:p>
          <w:p w14:paraId="58853906">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4.监管责任：制定措施，强化测绘市场的监督管理工作。</w:t>
            </w:r>
          </w:p>
          <w:p w14:paraId="42B495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6F7E31A3">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1E9C341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20941792">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2966ED96">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【规范性文件】《测绘市场管理暂行办法》（1995年6月6日国家测绘局、国家工商行政管理局发布）第三条：县级以上人民政府测绘主管部门和工商行政管理部门负责监督管理本行政区域内的测绘市场。</w:t>
            </w:r>
          </w:p>
          <w:p w14:paraId="3EA5139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1E84A38">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3.【规范性文件】《测绘市场管理暂行办法》（1995年6月6日国家测绘局、国家工商行政管理局发布）第三十三条：违反本办法规定，有一列行为之一的，依照《中华人民共和国测绘法》第八章有关规定处罚。</w:t>
            </w:r>
          </w:p>
          <w:p w14:paraId="0438859B">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4EC050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58540A98">
            <w:pPr>
              <w:snapToGrid w:val="0"/>
              <w:spacing w:line="240" w:lineRule="atLeast"/>
              <w:jc w:val="center"/>
              <w:rPr>
                <w:rFonts w:ascii="仿宋_GB2312" w:hAnsi="仿宋_GB2312" w:eastAsia="仿宋_GB2312" w:cs="仿宋_GB2312"/>
                <w:sz w:val="20"/>
                <w:szCs w:val="20"/>
              </w:rPr>
            </w:pPr>
          </w:p>
        </w:tc>
      </w:tr>
    </w:tbl>
    <w:p w14:paraId="49C1CE83"/>
    <w:p w14:paraId="3EA2CD59"/>
    <w:p w14:paraId="64A2CF7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1CB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A7B9A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7B7F5B">
            <w:pPr>
              <w:spacing w:line="240" w:lineRule="atLeast"/>
              <w:rPr>
                <w:rFonts w:asciiTheme="majorEastAsia" w:hAnsiTheme="majorEastAsia" w:eastAsiaTheme="majorEastAsia" w:cstheme="majorEastAsia"/>
                <w:spacing w:val="-20"/>
                <w:sz w:val="20"/>
                <w:szCs w:val="20"/>
              </w:rPr>
            </w:pPr>
          </w:p>
          <w:p w14:paraId="1EACDE5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45D555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4681EE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E96171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1CE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1C0514">
            <w:pPr>
              <w:spacing w:line="240" w:lineRule="atLeast"/>
              <w:jc w:val="left"/>
              <w:rPr>
                <w:rFonts w:ascii="仿宋_GB2312" w:hAnsi="仿宋_GB2312" w:eastAsia="仿宋_GB2312" w:cs="仿宋_GB2312"/>
                <w:sz w:val="20"/>
                <w:szCs w:val="20"/>
              </w:rPr>
            </w:pPr>
          </w:p>
        </w:tc>
        <w:tc>
          <w:tcPr>
            <w:tcW w:w="555" w:type="dxa"/>
            <w:vMerge w:val="continue"/>
          </w:tcPr>
          <w:p w14:paraId="4923C647">
            <w:pPr>
              <w:spacing w:line="240" w:lineRule="atLeast"/>
              <w:jc w:val="left"/>
              <w:rPr>
                <w:rFonts w:ascii="仿宋_GB2312" w:hAnsi="仿宋_GB2312" w:eastAsia="仿宋_GB2312" w:cs="仿宋_GB2312"/>
                <w:sz w:val="20"/>
                <w:szCs w:val="20"/>
              </w:rPr>
            </w:pPr>
          </w:p>
        </w:tc>
        <w:tc>
          <w:tcPr>
            <w:tcW w:w="784" w:type="dxa"/>
            <w:vAlign w:val="center"/>
          </w:tcPr>
          <w:p w14:paraId="1D61843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34B49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AD7FAC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1C308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FAC0B4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AD28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ABE65B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0779A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F30DC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1A2BAB9">
            <w:pPr>
              <w:spacing w:line="240" w:lineRule="atLeast"/>
              <w:jc w:val="left"/>
              <w:rPr>
                <w:rFonts w:ascii="仿宋_GB2312" w:hAnsi="仿宋_GB2312" w:eastAsia="仿宋_GB2312" w:cs="仿宋_GB2312"/>
                <w:sz w:val="20"/>
                <w:szCs w:val="20"/>
              </w:rPr>
            </w:pPr>
          </w:p>
        </w:tc>
      </w:tr>
      <w:tr w14:paraId="7305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37A65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203</w:t>
            </w:r>
          </w:p>
        </w:tc>
        <w:tc>
          <w:tcPr>
            <w:tcW w:w="555" w:type="dxa"/>
            <w:vAlign w:val="center"/>
          </w:tcPr>
          <w:p w14:paraId="748FD7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3BEEA54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对测绘项目招、投标的监督检查</w:t>
            </w:r>
          </w:p>
        </w:tc>
        <w:tc>
          <w:tcPr>
            <w:tcW w:w="660" w:type="dxa"/>
            <w:vAlign w:val="center"/>
          </w:tcPr>
          <w:p w14:paraId="36CD976E">
            <w:pPr>
              <w:snapToGrid w:val="0"/>
              <w:spacing w:line="240" w:lineRule="atLeast"/>
              <w:jc w:val="center"/>
              <w:rPr>
                <w:rFonts w:ascii="仿宋_GB2312" w:hAnsi="仿宋_GB2312" w:eastAsia="仿宋_GB2312" w:cs="仿宋_GB2312"/>
                <w:sz w:val="20"/>
                <w:szCs w:val="20"/>
              </w:rPr>
            </w:pPr>
          </w:p>
        </w:tc>
        <w:tc>
          <w:tcPr>
            <w:tcW w:w="615" w:type="dxa"/>
            <w:vAlign w:val="center"/>
          </w:tcPr>
          <w:p w14:paraId="3EE526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A7D8A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2D8E1B28">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地方性法规】《广西壮族自治区测绘管理条例》（1995年自治区第八届人民代表大会常务委员会第14次会议通过，2019年第二次修订）第四十六条：测绘项目招标投标和政府采购活动应当接受县级以上人民政府测绘地理信息主管部门和有关部门的监督管理。</w:t>
            </w:r>
          </w:p>
          <w:p w14:paraId="3BF6B79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2.【规范性文件】《测绘市场管理暂行办法》（1995年国家测绘局、国家工商行政管理局发布）第十六条：第二款　测绘主管部门和工商行政管理部门负责测绘项目招、投标的监督管理。</w:t>
            </w:r>
          </w:p>
        </w:tc>
        <w:tc>
          <w:tcPr>
            <w:tcW w:w="3585" w:type="dxa"/>
            <w:vAlign w:val="center"/>
          </w:tcPr>
          <w:p w14:paraId="391D0F42">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2D9D4F2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6067096A">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3.处理责任：被检单位对检查结果有异议的，应当在收到检查结果之日起15日内，向组织实施的测绘地理信息主管部门提出书面异议报告。</w:t>
            </w:r>
          </w:p>
          <w:p w14:paraId="7A9E23F4">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4.监管责任：制定措施，强化测绘项目招、投标的监督管理工作。</w:t>
            </w:r>
          </w:p>
          <w:p w14:paraId="7AB7D1B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BA03EB0">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被检查的单位和个人应当配合，如实提供有关文件、资料，不得隐瞒、拒绝和阻碍。</w:t>
            </w:r>
          </w:p>
          <w:p w14:paraId="00DD2966">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09110AA9">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地方性法规】《广西壮族自治区测绘管理条例（1995年自治区第八届人民代表大会常务委员会第14次会议通过，2019年7月25日广西壮族自治区第十三届人民代表大会常务委员会第十次会议第二次修订）第四十六条第一款　测绘项目招标投标和政府采购活动应当接受县级以上人民政府测绘地理信息主管部门和有关部门的监督管理。</w:t>
            </w:r>
          </w:p>
          <w:p w14:paraId="0E9C7E12">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 【规范性文件】《测绘市场管理暂行办法》（1995年6月6日国家测绘局、国家工商行政管理局发布）第十六条：第二款　测绘主管部门和工商行政管理部门负责测绘项目招、投标的监督管理。</w:t>
            </w:r>
          </w:p>
          <w:p w14:paraId="07740002">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5F4209AC">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05BA3734">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40C791A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75D66D27">
            <w:pPr>
              <w:snapToGrid w:val="0"/>
              <w:spacing w:line="240" w:lineRule="atLeast"/>
              <w:jc w:val="center"/>
              <w:rPr>
                <w:rFonts w:ascii="仿宋_GB2312" w:hAnsi="仿宋_GB2312" w:eastAsia="仿宋_GB2312" w:cs="仿宋_GB2312"/>
                <w:sz w:val="20"/>
                <w:szCs w:val="20"/>
              </w:rPr>
            </w:pPr>
          </w:p>
        </w:tc>
      </w:tr>
    </w:tbl>
    <w:p w14:paraId="6963FF73"/>
    <w:p w14:paraId="1CB8D267"/>
    <w:p w14:paraId="114B12C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F0A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32660C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5F2E0E5">
            <w:pPr>
              <w:spacing w:line="240" w:lineRule="atLeast"/>
              <w:rPr>
                <w:rFonts w:asciiTheme="majorEastAsia" w:hAnsiTheme="majorEastAsia" w:eastAsiaTheme="majorEastAsia" w:cstheme="majorEastAsia"/>
                <w:spacing w:val="-20"/>
                <w:sz w:val="20"/>
                <w:szCs w:val="20"/>
              </w:rPr>
            </w:pPr>
          </w:p>
          <w:p w14:paraId="193629F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B5DF2D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EE0CF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EF3D5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A5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0C2DBCC">
            <w:pPr>
              <w:spacing w:line="240" w:lineRule="atLeast"/>
              <w:jc w:val="left"/>
              <w:rPr>
                <w:rFonts w:ascii="仿宋_GB2312" w:hAnsi="仿宋_GB2312" w:eastAsia="仿宋_GB2312" w:cs="仿宋_GB2312"/>
                <w:sz w:val="20"/>
                <w:szCs w:val="20"/>
              </w:rPr>
            </w:pPr>
          </w:p>
        </w:tc>
        <w:tc>
          <w:tcPr>
            <w:tcW w:w="555" w:type="dxa"/>
            <w:vMerge w:val="continue"/>
          </w:tcPr>
          <w:p w14:paraId="7E13E779">
            <w:pPr>
              <w:spacing w:line="240" w:lineRule="atLeast"/>
              <w:jc w:val="left"/>
              <w:rPr>
                <w:rFonts w:ascii="仿宋_GB2312" w:hAnsi="仿宋_GB2312" w:eastAsia="仿宋_GB2312" w:cs="仿宋_GB2312"/>
                <w:sz w:val="20"/>
                <w:szCs w:val="20"/>
              </w:rPr>
            </w:pPr>
          </w:p>
        </w:tc>
        <w:tc>
          <w:tcPr>
            <w:tcW w:w="784" w:type="dxa"/>
            <w:vAlign w:val="center"/>
          </w:tcPr>
          <w:p w14:paraId="2E99152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36A72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1916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74B5C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CDB9C1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4A10D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1DC3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25CCE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247673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E2E6F3F">
            <w:pPr>
              <w:spacing w:line="240" w:lineRule="atLeast"/>
              <w:jc w:val="left"/>
              <w:rPr>
                <w:rFonts w:ascii="仿宋_GB2312" w:hAnsi="仿宋_GB2312" w:eastAsia="仿宋_GB2312" w:cs="仿宋_GB2312"/>
                <w:sz w:val="20"/>
                <w:szCs w:val="20"/>
              </w:rPr>
            </w:pPr>
          </w:p>
        </w:tc>
      </w:tr>
      <w:tr w14:paraId="2052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FB27E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214</w:t>
            </w:r>
          </w:p>
        </w:tc>
        <w:tc>
          <w:tcPr>
            <w:tcW w:w="555" w:type="dxa"/>
            <w:vAlign w:val="center"/>
          </w:tcPr>
          <w:p w14:paraId="1ACE57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6F23B5A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对基础测绘成果使用情况的监督检查</w:t>
            </w:r>
          </w:p>
        </w:tc>
        <w:tc>
          <w:tcPr>
            <w:tcW w:w="660" w:type="dxa"/>
            <w:vAlign w:val="center"/>
          </w:tcPr>
          <w:p w14:paraId="4F630051">
            <w:pPr>
              <w:snapToGrid w:val="0"/>
              <w:spacing w:line="240" w:lineRule="atLeast"/>
              <w:jc w:val="center"/>
              <w:rPr>
                <w:rFonts w:ascii="仿宋_GB2312" w:hAnsi="仿宋_GB2312" w:eastAsia="仿宋_GB2312" w:cs="仿宋_GB2312"/>
                <w:sz w:val="20"/>
                <w:szCs w:val="20"/>
              </w:rPr>
            </w:pPr>
          </w:p>
        </w:tc>
        <w:tc>
          <w:tcPr>
            <w:tcW w:w="615" w:type="dxa"/>
            <w:vAlign w:val="center"/>
          </w:tcPr>
          <w:p w14:paraId="26DB8B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7ABCE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5AB5304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1.【行政法规】《基础测绘条例》（2009年国务院第556号令公布）第五条第二款：县级以上地方人民政府负责管理测绘工作的行政部门（以下简称测绘行政主管部门）负责本行政区域基础测绘工作的统一监督管理。</w:t>
            </w:r>
          </w:p>
          <w:p w14:paraId="19C455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2.【规范性文件】《基础测绘成果提供使用管理暂行办法》（2006年国测法字[2006]13号印发实施）第十六条第二款 ：测绘行政主管部门应当依法对基础测绘成果的使用情况进行跟踪检查。</w:t>
            </w:r>
          </w:p>
          <w:p w14:paraId="3F9ABB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第十七条：任何单位和个人发现违法使用基础测绘成果的，应当向测绘行政主管部门举报，测绘行政主管部门应当及时核实、处理。</w:t>
            </w:r>
          </w:p>
        </w:tc>
        <w:tc>
          <w:tcPr>
            <w:tcW w:w="3585" w:type="dxa"/>
            <w:vAlign w:val="center"/>
          </w:tcPr>
          <w:p w14:paraId="6E85DB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3004CAE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72CB1AA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3.处理责任：被检单位对检查结果有异议的，应当在收到检查结果之日起15日内，向组织实施的测绘地理信息主管部门提出书面异议报告。</w:t>
            </w:r>
          </w:p>
          <w:p w14:paraId="0544823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4.监管责任：制定措施，强化基础测绘成果使用情况的监督管理工作。</w:t>
            </w:r>
          </w:p>
          <w:p w14:paraId="009B6E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2BEDA46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【规范性文件】《基础测绘成果提供使用管理暂行办法》（国测法字〔2006〕13号）第十六条第二款测绘行政主管部门应当依法对基础测绘成果的使用情况进行跟踪检查。</w:t>
            </w:r>
          </w:p>
          <w:p w14:paraId="5E4DB3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规范性文件】《基础测绘成果提供使用管理暂行办法》（国测法字〔2006〕13号）第十七条：任何单位和个人发现违法使用基础测绘成果的，应当向测绘行政主管部门举报，测绘行政主管部门应当及时核实、处理。</w:t>
            </w:r>
          </w:p>
          <w:p w14:paraId="6C5EF27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5328A5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46C6F9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5EDC67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772AF1F3">
            <w:pPr>
              <w:snapToGrid w:val="0"/>
              <w:spacing w:line="240" w:lineRule="atLeast"/>
              <w:jc w:val="center"/>
              <w:rPr>
                <w:rFonts w:ascii="仿宋_GB2312" w:hAnsi="仿宋_GB2312" w:eastAsia="仿宋_GB2312" w:cs="仿宋_GB2312"/>
                <w:sz w:val="20"/>
                <w:szCs w:val="20"/>
              </w:rPr>
            </w:pPr>
          </w:p>
        </w:tc>
      </w:tr>
    </w:tbl>
    <w:p w14:paraId="53F964F5"/>
    <w:p w14:paraId="63AAB6C3"/>
    <w:p w14:paraId="6375739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2820"/>
        <w:gridCol w:w="780"/>
        <w:gridCol w:w="1230"/>
        <w:gridCol w:w="5220"/>
        <w:gridCol w:w="3360"/>
        <w:gridCol w:w="6680"/>
        <w:gridCol w:w="330"/>
      </w:tblGrid>
      <w:tr w14:paraId="0CA9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27FAE5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87C0FC0">
            <w:pPr>
              <w:spacing w:line="240" w:lineRule="atLeast"/>
              <w:rPr>
                <w:rFonts w:asciiTheme="majorEastAsia" w:hAnsiTheme="majorEastAsia" w:eastAsiaTheme="majorEastAsia" w:cstheme="majorEastAsia"/>
                <w:spacing w:val="-20"/>
                <w:sz w:val="20"/>
                <w:szCs w:val="20"/>
              </w:rPr>
            </w:pPr>
          </w:p>
          <w:p w14:paraId="7BDA22D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834" w:type="dxa"/>
            <w:gridSpan w:val="5"/>
            <w:vAlign w:val="center"/>
          </w:tcPr>
          <w:p w14:paraId="3EA7092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040" w:type="dxa"/>
            <w:gridSpan w:val="2"/>
            <w:vAlign w:val="center"/>
          </w:tcPr>
          <w:p w14:paraId="183F673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818058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88C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7E80FBA">
            <w:pPr>
              <w:spacing w:line="240" w:lineRule="atLeast"/>
              <w:jc w:val="left"/>
              <w:rPr>
                <w:rFonts w:ascii="仿宋_GB2312" w:hAnsi="仿宋_GB2312" w:eastAsia="仿宋_GB2312" w:cs="仿宋_GB2312"/>
                <w:sz w:val="20"/>
                <w:szCs w:val="20"/>
              </w:rPr>
            </w:pPr>
          </w:p>
        </w:tc>
        <w:tc>
          <w:tcPr>
            <w:tcW w:w="555" w:type="dxa"/>
            <w:vMerge w:val="continue"/>
          </w:tcPr>
          <w:p w14:paraId="288069D8">
            <w:pPr>
              <w:spacing w:line="240" w:lineRule="atLeast"/>
              <w:jc w:val="left"/>
              <w:rPr>
                <w:rFonts w:ascii="仿宋_GB2312" w:hAnsi="仿宋_GB2312" w:eastAsia="仿宋_GB2312" w:cs="仿宋_GB2312"/>
                <w:sz w:val="20"/>
                <w:szCs w:val="20"/>
              </w:rPr>
            </w:pPr>
          </w:p>
        </w:tc>
        <w:tc>
          <w:tcPr>
            <w:tcW w:w="784" w:type="dxa"/>
            <w:vAlign w:val="center"/>
          </w:tcPr>
          <w:p w14:paraId="71577F9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CBA4B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2820" w:type="dxa"/>
            <w:vAlign w:val="center"/>
          </w:tcPr>
          <w:p w14:paraId="4AC5FAC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780" w:type="dxa"/>
            <w:vAlign w:val="center"/>
          </w:tcPr>
          <w:p w14:paraId="035EA1C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230" w:type="dxa"/>
            <w:vAlign w:val="center"/>
          </w:tcPr>
          <w:p w14:paraId="2C87D1B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220" w:type="dxa"/>
            <w:vAlign w:val="center"/>
          </w:tcPr>
          <w:p w14:paraId="3FC5A2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60" w:type="dxa"/>
            <w:vAlign w:val="center"/>
          </w:tcPr>
          <w:p w14:paraId="59C783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FD846B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680" w:type="dxa"/>
            <w:vAlign w:val="center"/>
          </w:tcPr>
          <w:p w14:paraId="5F90D5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2777B63">
            <w:pPr>
              <w:spacing w:line="240" w:lineRule="atLeast"/>
              <w:jc w:val="left"/>
              <w:rPr>
                <w:rFonts w:ascii="仿宋_GB2312" w:hAnsi="仿宋_GB2312" w:eastAsia="仿宋_GB2312" w:cs="仿宋_GB2312"/>
                <w:sz w:val="20"/>
                <w:szCs w:val="20"/>
              </w:rPr>
            </w:pPr>
          </w:p>
        </w:tc>
      </w:tr>
      <w:tr w14:paraId="15DC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restart"/>
            <w:vAlign w:val="center"/>
          </w:tcPr>
          <w:p w14:paraId="15E891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205</w:t>
            </w:r>
          </w:p>
        </w:tc>
        <w:tc>
          <w:tcPr>
            <w:tcW w:w="555" w:type="dxa"/>
            <w:vMerge w:val="restart"/>
            <w:vAlign w:val="center"/>
          </w:tcPr>
          <w:p w14:paraId="2E6773A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Merge w:val="restart"/>
            <w:vAlign w:val="center"/>
          </w:tcPr>
          <w:p w14:paraId="55F978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不动产登记</w:t>
            </w:r>
          </w:p>
        </w:tc>
        <w:tc>
          <w:tcPr>
            <w:tcW w:w="2820" w:type="dxa"/>
            <w:vAlign w:val="center"/>
          </w:tcPr>
          <w:p w14:paraId="2B8D4AB3">
            <w:pPr>
              <w:snapToGrid w:val="0"/>
              <w:spacing w:line="240" w:lineRule="atLeast"/>
              <w:jc w:val="center"/>
              <w:rPr>
                <w:rFonts w:ascii="仿宋_GB2312" w:hAnsi="仿宋_GB2312" w:eastAsia="仿宋_GB2312" w:cs="仿宋_GB2312"/>
                <w:sz w:val="20"/>
                <w:szCs w:val="20"/>
              </w:rPr>
            </w:pPr>
            <w:r>
              <w:rPr>
                <w:rFonts w:hint="eastAsia" w:eastAsia="仿宋_GB2312"/>
                <w:snapToGrid w:val="0"/>
                <w:color w:val="000000"/>
                <w:sz w:val="20"/>
                <w:szCs w:val="20"/>
              </w:rPr>
              <w:t>1.集体土地所有权登记</w:t>
            </w:r>
          </w:p>
        </w:tc>
        <w:tc>
          <w:tcPr>
            <w:tcW w:w="780" w:type="dxa"/>
            <w:vMerge w:val="restart"/>
            <w:vAlign w:val="center"/>
          </w:tcPr>
          <w:p w14:paraId="25306D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230" w:type="dxa"/>
            <w:vMerge w:val="restart"/>
            <w:vAlign w:val="center"/>
          </w:tcPr>
          <w:p w14:paraId="158BD4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不动产登记中心</w:t>
            </w:r>
          </w:p>
        </w:tc>
        <w:tc>
          <w:tcPr>
            <w:tcW w:w="5220" w:type="dxa"/>
            <w:vMerge w:val="restart"/>
            <w:vAlign w:val="center"/>
          </w:tcPr>
          <w:p w14:paraId="6D6FB0B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1.【法律】《中华人民共和国民法典》第二百一十条：不动产登记，由不动产所在地的登记机构办理。国家对不动产实行统一登记制度。统一登记的范围、登记机构和登记办法，由法律、行政法规规定。</w:t>
            </w:r>
          </w:p>
          <w:p w14:paraId="5D49A8C3">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不动产登记暂行条例》（2014年国务院令第656号公布，2019年国务院令第710号修订）第三条：不动产首次登记、变更登记、转移登记、注销登记、更正登记、异议登记、预告登记、查封登记等，适用本条例。</w:t>
            </w:r>
          </w:p>
          <w:p w14:paraId="4CA88F3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第四条：国家实行不动产统一登记制度。</w:t>
            </w:r>
          </w:p>
          <w:p w14:paraId="42AE1F3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不动产登记遵循严格管理、稳定连续、方便群众的原则。</w:t>
            </w:r>
          </w:p>
          <w:p w14:paraId="52FADD7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不动产权利人已经依法享有的不动产权利，不因登记机构和登记程序的改变而受到影响。</w:t>
            </w:r>
          </w:p>
          <w:p w14:paraId="7FA3AB7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条：下列不动产权利，依照本条例的规定办理登记：（一）集体土地所有权；（二）房屋等建筑物、构筑物所有权；（三）森林、林木所有权；（四）耕地、林地、草地等土地承包经营权；（五）建设用地使用权；（六）宅基地使用权；（七）海域使用权；（八）地役权；（九）抵押权；（十）法律规定需要登记的其他不动产权利。</w:t>
            </w:r>
          </w:p>
          <w:p w14:paraId="2B6841C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第六条：国务院国土资源主管部门负责指导、监督全国不动产登记工作。</w:t>
            </w:r>
          </w:p>
          <w:p w14:paraId="5412D55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县级以上地方人民政府应当确定一个部门为本行政区域的不动产登记机构，负责不动产登记工作，并接受上级人民政府不动产登记主管部门的指导、监督。</w:t>
            </w:r>
          </w:p>
          <w:p w14:paraId="71AE32B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第七条：不动产登记由不动产所在地的县级人民政府不动产登记机构办理；直辖市、设区的市人民政府可以确定本级不动产登记机构统一办理所属各区的不动产登记。</w:t>
            </w:r>
          </w:p>
          <w:p w14:paraId="51C9EB6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跨县级行政区域的不动产登记，由所跨县级行政区域的不动产登记机构分别办理。不能分别办理的，由所跨县级行政区域的不动产登记机构协商办理；协商不成的，由共同的上一级人民政府不动产登记主管部门指定办理。</w:t>
            </w:r>
          </w:p>
        </w:tc>
        <w:tc>
          <w:tcPr>
            <w:tcW w:w="3360" w:type="dxa"/>
            <w:vMerge w:val="restart"/>
            <w:vAlign w:val="center"/>
          </w:tcPr>
          <w:p w14:paraId="08CB772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F8B94D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2.审核责任：按照政策规定对书面材料进行审查，提出是否同意审批的初步意见。</w:t>
            </w:r>
          </w:p>
          <w:p w14:paraId="47A2FCF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3.登簿责任：将申请登记事项记载于不动产登记簿。</w:t>
            </w:r>
          </w:p>
          <w:p w14:paraId="49278B5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4.缮证阶段责任：颁发不动产登记证。</w:t>
            </w:r>
          </w:p>
          <w:p w14:paraId="619038DE">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5.其他法律法规规章文件规定应履行的责任。</w:t>
            </w:r>
          </w:p>
          <w:p w14:paraId="7B27F66C">
            <w:pPr>
              <w:snapToGrid w:val="0"/>
              <w:spacing w:line="240" w:lineRule="atLeast"/>
              <w:ind w:firstLine="400" w:firstLineChars="200"/>
              <w:rPr>
                <w:rFonts w:ascii="仿宋_GB2312" w:hAnsi="仿宋_GB2312" w:eastAsia="仿宋_GB2312" w:cs="仿宋_GB2312"/>
                <w:sz w:val="20"/>
                <w:szCs w:val="20"/>
              </w:rPr>
            </w:pPr>
          </w:p>
        </w:tc>
        <w:tc>
          <w:tcPr>
            <w:tcW w:w="6680" w:type="dxa"/>
            <w:vMerge w:val="restart"/>
            <w:vAlign w:val="center"/>
          </w:tcPr>
          <w:p w14:paraId="22230342">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不动产登记暂行条例》（2014年国务院令第656号公布，2019年修订）第十七条：不动产登记机构收到不动产登记申请材料，应当分别按照下列情况办理：（一）属于登记职责范围，申请材料齐全、符合法定形式，或者申请人按照要求提交全部补正申请材料的，应当受理并书面告知申请人；（二）申请材料存在可以当场更正的错误的，应当告知申请人当场更正，申请人当场更正后，应当受理并书面告知申请人；（三）申请材料不齐全或者不符合法定形式的，应当当场书面告知申请人不予受理并一次性告知需要补正的全部内容；（四）申请登记的不动产不属于本机构登记范围的，应当当场书面告知申请人不予受理并告知申请人向有登记权的机构申请。不动产登记机构未当场书面告知申请人不予受理的，视为受理。</w:t>
            </w:r>
          </w:p>
          <w:p w14:paraId="4B5A5D3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不动产登记暂行条例》（2014年国务院令第656号公布，2019年修订）第十八条：不动产登记机构受理不动产登记申请的，应当按照下列要求进行查验：（一）不动产界址、空间界限、面积等材料与申请登记的不动产状况是否一致；（二）有关证明材料、文件与申请登记的内容是否一致；（三）登记申请是否违反法律、行政法规规定。</w:t>
            </w:r>
          </w:p>
          <w:p w14:paraId="000D20D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不动产登记暂行条例》（2014年国务院令第656号公布，2019年修订）第二十一条：登记事项自记载于不动产登记簿时完成登记。不动产登记机构完成登记，应当依法向申请人核发不动产权属证书或者登记证明。</w:t>
            </w:r>
          </w:p>
          <w:p w14:paraId="7E377E9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4.同3。</w:t>
            </w:r>
          </w:p>
          <w:p w14:paraId="1F1B17DC">
            <w:pPr>
              <w:snapToGrid w:val="0"/>
              <w:spacing w:line="240" w:lineRule="atLeast"/>
              <w:ind w:firstLine="400" w:firstLineChars="200"/>
              <w:rPr>
                <w:rFonts w:ascii="仿宋_GB2312" w:hAnsi="仿宋_GB2312" w:eastAsia="仿宋_GB2312" w:cs="仿宋_GB2312"/>
                <w:sz w:val="20"/>
                <w:szCs w:val="20"/>
              </w:rPr>
            </w:pPr>
          </w:p>
        </w:tc>
        <w:tc>
          <w:tcPr>
            <w:tcW w:w="330" w:type="dxa"/>
            <w:vMerge w:val="restart"/>
            <w:vAlign w:val="center"/>
          </w:tcPr>
          <w:p w14:paraId="556EFC52">
            <w:pPr>
              <w:snapToGrid w:val="0"/>
              <w:spacing w:line="240" w:lineRule="atLeast"/>
              <w:jc w:val="center"/>
              <w:rPr>
                <w:rFonts w:ascii="仿宋_GB2312" w:hAnsi="仿宋_GB2312" w:eastAsia="仿宋_GB2312" w:cs="仿宋_GB2312"/>
                <w:sz w:val="20"/>
                <w:szCs w:val="20"/>
              </w:rPr>
            </w:pPr>
          </w:p>
        </w:tc>
      </w:tr>
      <w:tr w14:paraId="7EE6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9C3C7B3">
            <w:pPr>
              <w:snapToGrid w:val="0"/>
              <w:spacing w:line="240" w:lineRule="atLeast"/>
              <w:jc w:val="center"/>
            </w:pPr>
          </w:p>
        </w:tc>
        <w:tc>
          <w:tcPr>
            <w:tcW w:w="555" w:type="dxa"/>
            <w:vMerge w:val="continue"/>
            <w:vAlign w:val="center"/>
          </w:tcPr>
          <w:p w14:paraId="350156CB">
            <w:pPr>
              <w:snapToGrid w:val="0"/>
              <w:spacing w:line="240" w:lineRule="atLeast"/>
              <w:jc w:val="center"/>
            </w:pPr>
          </w:p>
        </w:tc>
        <w:tc>
          <w:tcPr>
            <w:tcW w:w="784" w:type="dxa"/>
            <w:vMerge w:val="continue"/>
            <w:vAlign w:val="center"/>
          </w:tcPr>
          <w:p w14:paraId="4AF0AB2E">
            <w:pPr>
              <w:snapToGrid w:val="0"/>
              <w:spacing w:line="240" w:lineRule="atLeast"/>
              <w:jc w:val="center"/>
            </w:pPr>
          </w:p>
        </w:tc>
        <w:tc>
          <w:tcPr>
            <w:tcW w:w="2820" w:type="dxa"/>
            <w:vAlign w:val="center"/>
          </w:tcPr>
          <w:p w14:paraId="7C492210">
            <w:pPr>
              <w:snapToGrid w:val="0"/>
              <w:spacing w:line="240" w:lineRule="atLeast"/>
              <w:jc w:val="center"/>
              <w:rPr>
                <w:rFonts w:ascii="仿宋_GB2312" w:hAnsi="仿宋_GB2312" w:eastAsia="仿宋_GB2312" w:cs="仿宋_GB2312"/>
                <w:sz w:val="20"/>
                <w:szCs w:val="20"/>
              </w:rPr>
            </w:pPr>
            <w:r>
              <w:rPr>
                <w:rFonts w:hint="eastAsia" w:eastAsia="仿宋_GB2312"/>
                <w:snapToGrid w:val="0"/>
                <w:color w:val="000000"/>
                <w:sz w:val="20"/>
                <w:szCs w:val="20"/>
              </w:rPr>
              <w:t>2.建设用地使用权</w:t>
            </w:r>
          </w:p>
        </w:tc>
        <w:tc>
          <w:tcPr>
            <w:tcW w:w="780" w:type="dxa"/>
            <w:vMerge w:val="continue"/>
            <w:vAlign w:val="center"/>
          </w:tcPr>
          <w:p w14:paraId="409D2EF0">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7D872C04">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0D12B405">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2041038">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28D7A4DF">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6D7DEA7">
            <w:pPr>
              <w:snapToGrid w:val="0"/>
              <w:spacing w:line="240" w:lineRule="atLeast"/>
              <w:jc w:val="center"/>
              <w:rPr>
                <w:rFonts w:ascii="仿宋_GB2312" w:hAnsi="仿宋_GB2312" w:eastAsia="仿宋_GB2312" w:cs="仿宋_GB2312"/>
                <w:sz w:val="20"/>
                <w:szCs w:val="20"/>
              </w:rPr>
            </w:pPr>
          </w:p>
        </w:tc>
      </w:tr>
      <w:tr w14:paraId="1123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2336FEF0">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0821BC59">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5A249300">
            <w:pPr>
              <w:snapToGrid w:val="0"/>
              <w:spacing w:line="240" w:lineRule="atLeast"/>
              <w:jc w:val="center"/>
              <w:rPr>
                <w:rFonts w:ascii="仿宋_GB2312" w:hAnsi="仿宋_GB2312" w:eastAsia="仿宋_GB2312" w:cs="仿宋_GB2312"/>
                <w:sz w:val="20"/>
                <w:szCs w:val="20"/>
              </w:rPr>
            </w:pPr>
          </w:p>
        </w:tc>
        <w:tc>
          <w:tcPr>
            <w:tcW w:w="2820" w:type="dxa"/>
            <w:vAlign w:val="center"/>
          </w:tcPr>
          <w:p w14:paraId="1AFCDE07">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3.房屋等建筑物、构筑物所有权登记</w:t>
            </w:r>
          </w:p>
        </w:tc>
        <w:tc>
          <w:tcPr>
            <w:tcW w:w="780" w:type="dxa"/>
            <w:vMerge w:val="continue"/>
            <w:vAlign w:val="center"/>
          </w:tcPr>
          <w:p w14:paraId="3073752A">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22430D4F">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501D5DD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0FBEEB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241AA5A8">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749DE438">
            <w:pPr>
              <w:snapToGrid w:val="0"/>
              <w:spacing w:line="240" w:lineRule="atLeast"/>
              <w:jc w:val="center"/>
              <w:rPr>
                <w:rFonts w:ascii="仿宋_GB2312" w:hAnsi="仿宋_GB2312" w:eastAsia="仿宋_GB2312" w:cs="仿宋_GB2312"/>
                <w:sz w:val="20"/>
                <w:szCs w:val="20"/>
              </w:rPr>
            </w:pPr>
          </w:p>
        </w:tc>
      </w:tr>
      <w:tr w14:paraId="644E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47D25CAB">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151A7C69">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F423615">
            <w:pPr>
              <w:snapToGrid w:val="0"/>
              <w:spacing w:line="240" w:lineRule="atLeast"/>
              <w:jc w:val="center"/>
              <w:rPr>
                <w:rFonts w:ascii="仿宋_GB2312" w:hAnsi="仿宋_GB2312" w:eastAsia="仿宋_GB2312" w:cs="仿宋_GB2312"/>
                <w:sz w:val="20"/>
                <w:szCs w:val="20"/>
              </w:rPr>
            </w:pPr>
          </w:p>
        </w:tc>
        <w:tc>
          <w:tcPr>
            <w:tcW w:w="2820" w:type="dxa"/>
            <w:vAlign w:val="center"/>
          </w:tcPr>
          <w:p w14:paraId="6BDE120C">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4．宅基地使用权</w:t>
            </w:r>
          </w:p>
        </w:tc>
        <w:tc>
          <w:tcPr>
            <w:tcW w:w="780" w:type="dxa"/>
            <w:vMerge w:val="continue"/>
            <w:vAlign w:val="center"/>
          </w:tcPr>
          <w:p w14:paraId="1A04EA79">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24FF95E6">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02AAD4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4C94909A">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2BFAB53E">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62742EE2">
            <w:pPr>
              <w:snapToGrid w:val="0"/>
              <w:spacing w:line="240" w:lineRule="atLeast"/>
              <w:jc w:val="center"/>
              <w:rPr>
                <w:rFonts w:ascii="仿宋_GB2312" w:hAnsi="仿宋_GB2312" w:eastAsia="仿宋_GB2312" w:cs="仿宋_GB2312"/>
                <w:sz w:val="20"/>
                <w:szCs w:val="20"/>
              </w:rPr>
            </w:pPr>
          </w:p>
        </w:tc>
      </w:tr>
      <w:tr w14:paraId="3059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5A976791">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26942AC">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5B9B0F31">
            <w:pPr>
              <w:snapToGrid w:val="0"/>
              <w:spacing w:line="240" w:lineRule="atLeast"/>
              <w:jc w:val="center"/>
              <w:rPr>
                <w:rFonts w:ascii="仿宋_GB2312" w:hAnsi="仿宋_GB2312" w:eastAsia="仿宋_GB2312" w:cs="仿宋_GB2312"/>
                <w:sz w:val="20"/>
                <w:szCs w:val="20"/>
              </w:rPr>
            </w:pPr>
          </w:p>
        </w:tc>
        <w:tc>
          <w:tcPr>
            <w:tcW w:w="2820" w:type="dxa"/>
            <w:vAlign w:val="center"/>
          </w:tcPr>
          <w:p w14:paraId="0691F4E2">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5．海域使用权登记以及其他法定需要的不动产权利登记</w:t>
            </w:r>
          </w:p>
        </w:tc>
        <w:tc>
          <w:tcPr>
            <w:tcW w:w="780" w:type="dxa"/>
            <w:vMerge w:val="continue"/>
            <w:vAlign w:val="center"/>
          </w:tcPr>
          <w:p w14:paraId="75608A85">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74EA6CFA">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134D3D5A">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3156D869">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62E9D62">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1A51EE9D">
            <w:pPr>
              <w:snapToGrid w:val="0"/>
              <w:spacing w:line="240" w:lineRule="atLeast"/>
              <w:jc w:val="center"/>
              <w:rPr>
                <w:rFonts w:ascii="仿宋_GB2312" w:hAnsi="仿宋_GB2312" w:eastAsia="仿宋_GB2312" w:cs="仿宋_GB2312"/>
                <w:sz w:val="20"/>
                <w:szCs w:val="20"/>
              </w:rPr>
            </w:pPr>
          </w:p>
        </w:tc>
      </w:tr>
      <w:tr w14:paraId="717C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4737B3E8">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1F5FE3D">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3BCFDB72">
            <w:pPr>
              <w:snapToGrid w:val="0"/>
              <w:spacing w:line="240" w:lineRule="atLeast"/>
              <w:jc w:val="center"/>
              <w:rPr>
                <w:rFonts w:ascii="仿宋_GB2312" w:hAnsi="仿宋_GB2312" w:eastAsia="仿宋_GB2312" w:cs="仿宋_GB2312"/>
                <w:sz w:val="20"/>
                <w:szCs w:val="20"/>
              </w:rPr>
            </w:pPr>
          </w:p>
        </w:tc>
        <w:tc>
          <w:tcPr>
            <w:tcW w:w="2820" w:type="dxa"/>
            <w:vAlign w:val="center"/>
          </w:tcPr>
          <w:p w14:paraId="1B1E6A06">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6．地役权登记</w:t>
            </w:r>
          </w:p>
        </w:tc>
        <w:tc>
          <w:tcPr>
            <w:tcW w:w="780" w:type="dxa"/>
            <w:vMerge w:val="continue"/>
            <w:vAlign w:val="center"/>
          </w:tcPr>
          <w:p w14:paraId="5653A4F8">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040F2E26">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4B3701A8">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568650F8">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075D995">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608FC392">
            <w:pPr>
              <w:snapToGrid w:val="0"/>
              <w:spacing w:line="240" w:lineRule="atLeast"/>
              <w:jc w:val="center"/>
              <w:rPr>
                <w:rFonts w:ascii="仿宋_GB2312" w:hAnsi="仿宋_GB2312" w:eastAsia="仿宋_GB2312" w:cs="仿宋_GB2312"/>
                <w:sz w:val="20"/>
                <w:szCs w:val="20"/>
              </w:rPr>
            </w:pPr>
          </w:p>
        </w:tc>
      </w:tr>
      <w:tr w14:paraId="5EF1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E8B9EE1">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5E150C82">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776B8844">
            <w:pPr>
              <w:snapToGrid w:val="0"/>
              <w:spacing w:line="240" w:lineRule="atLeast"/>
              <w:jc w:val="center"/>
              <w:rPr>
                <w:rFonts w:ascii="仿宋_GB2312" w:hAnsi="仿宋_GB2312" w:eastAsia="仿宋_GB2312" w:cs="仿宋_GB2312"/>
                <w:sz w:val="20"/>
                <w:szCs w:val="20"/>
              </w:rPr>
            </w:pPr>
          </w:p>
        </w:tc>
        <w:tc>
          <w:tcPr>
            <w:tcW w:w="2820" w:type="dxa"/>
            <w:vAlign w:val="center"/>
          </w:tcPr>
          <w:p w14:paraId="4742F10C">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7．预告登记</w:t>
            </w:r>
          </w:p>
        </w:tc>
        <w:tc>
          <w:tcPr>
            <w:tcW w:w="780" w:type="dxa"/>
            <w:vMerge w:val="continue"/>
            <w:vAlign w:val="center"/>
          </w:tcPr>
          <w:p w14:paraId="5A4BEBD0">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1289A18B">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589A434A">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B4942C0">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0CA86600">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6D7707A">
            <w:pPr>
              <w:snapToGrid w:val="0"/>
              <w:spacing w:line="240" w:lineRule="atLeast"/>
              <w:jc w:val="center"/>
              <w:rPr>
                <w:rFonts w:ascii="仿宋_GB2312" w:hAnsi="仿宋_GB2312" w:eastAsia="仿宋_GB2312" w:cs="仿宋_GB2312"/>
                <w:sz w:val="20"/>
                <w:szCs w:val="20"/>
              </w:rPr>
            </w:pPr>
          </w:p>
        </w:tc>
      </w:tr>
      <w:tr w14:paraId="07BA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7954DBF8">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7CDEF0EC">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00A68930">
            <w:pPr>
              <w:snapToGrid w:val="0"/>
              <w:spacing w:line="240" w:lineRule="atLeast"/>
              <w:jc w:val="center"/>
              <w:rPr>
                <w:rFonts w:ascii="仿宋_GB2312" w:hAnsi="仿宋_GB2312" w:eastAsia="仿宋_GB2312" w:cs="仿宋_GB2312"/>
                <w:sz w:val="20"/>
                <w:szCs w:val="20"/>
              </w:rPr>
            </w:pPr>
          </w:p>
        </w:tc>
        <w:tc>
          <w:tcPr>
            <w:tcW w:w="2820" w:type="dxa"/>
            <w:vAlign w:val="center"/>
          </w:tcPr>
          <w:p w14:paraId="172D572D">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8．更正登记</w:t>
            </w:r>
          </w:p>
        </w:tc>
        <w:tc>
          <w:tcPr>
            <w:tcW w:w="780" w:type="dxa"/>
            <w:vMerge w:val="continue"/>
            <w:vAlign w:val="center"/>
          </w:tcPr>
          <w:p w14:paraId="6E0309B4">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4F834CE">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119C0864">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49474BF3">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A719AD0">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1FE5E72">
            <w:pPr>
              <w:snapToGrid w:val="0"/>
              <w:spacing w:line="240" w:lineRule="atLeast"/>
              <w:jc w:val="center"/>
              <w:rPr>
                <w:rFonts w:ascii="仿宋_GB2312" w:hAnsi="仿宋_GB2312" w:eastAsia="仿宋_GB2312" w:cs="仿宋_GB2312"/>
                <w:sz w:val="20"/>
                <w:szCs w:val="20"/>
              </w:rPr>
            </w:pPr>
          </w:p>
        </w:tc>
      </w:tr>
      <w:tr w14:paraId="3F99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9A78894">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D09FEBD">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78232917">
            <w:pPr>
              <w:snapToGrid w:val="0"/>
              <w:spacing w:line="240" w:lineRule="atLeast"/>
              <w:jc w:val="center"/>
              <w:rPr>
                <w:rFonts w:ascii="仿宋_GB2312" w:hAnsi="仿宋_GB2312" w:eastAsia="仿宋_GB2312" w:cs="仿宋_GB2312"/>
                <w:sz w:val="20"/>
                <w:szCs w:val="20"/>
              </w:rPr>
            </w:pPr>
          </w:p>
        </w:tc>
        <w:tc>
          <w:tcPr>
            <w:tcW w:w="2820" w:type="dxa"/>
            <w:vAlign w:val="center"/>
          </w:tcPr>
          <w:p w14:paraId="69F882DD">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9.异议登记</w:t>
            </w:r>
          </w:p>
        </w:tc>
        <w:tc>
          <w:tcPr>
            <w:tcW w:w="780" w:type="dxa"/>
            <w:vMerge w:val="continue"/>
            <w:vAlign w:val="center"/>
          </w:tcPr>
          <w:p w14:paraId="290A8009">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44EBE83">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4F3D789F">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F2CCEDE">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374EEB92">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17256349">
            <w:pPr>
              <w:snapToGrid w:val="0"/>
              <w:spacing w:line="240" w:lineRule="atLeast"/>
              <w:jc w:val="center"/>
              <w:rPr>
                <w:rFonts w:ascii="仿宋_GB2312" w:hAnsi="仿宋_GB2312" w:eastAsia="仿宋_GB2312" w:cs="仿宋_GB2312"/>
                <w:sz w:val="20"/>
                <w:szCs w:val="20"/>
              </w:rPr>
            </w:pPr>
          </w:p>
        </w:tc>
      </w:tr>
      <w:tr w14:paraId="08F0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917F60C">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0056A42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36EAA91">
            <w:pPr>
              <w:snapToGrid w:val="0"/>
              <w:spacing w:line="240" w:lineRule="atLeast"/>
              <w:jc w:val="center"/>
              <w:rPr>
                <w:rFonts w:ascii="仿宋_GB2312" w:hAnsi="仿宋_GB2312" w:eastAsia="仿宋_GB2312" w:cs="仿宋_GB2312"/>
                <w:sz w:val="20"/>
                <w:szCs w:val="20"/>
              </w:rPr>
            </w:pPr>
          </w:p>
        </w:tc>
        <w:tc>
          <w:tcPr>
            <w:tcW w:w="2820" w:type="dxa"/>
            <w:vAlign w:val="center"/>
          </w:tcPr>
          <w:p w14:paraId="7AAC418A">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10.查封登记</w:t>
            </w:r>
          </w:p>
        </w:tc>
        <w:tc>
          <w:tcPr>
            <w:tcW w:w="780" w:type="dxa"/>
            <w:vMerge w:val="continue"/>
            <w:vAlign w:val="center"/>
          </w:tcPr>
          <w:p w14:paraId="61985914">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5FBACA54">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AD40B9E">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1C4302D">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693A74E7">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1BD01D55">
            <w:pPr>
              <w:snapToGrid w:val="0"/>
              <w:spacing w:line="240" w:lineRule="atLeast"/>
              <w:jc w:val="center"/>
              <w:rPr>
                <w:rFonts w:ascii="仿宋_GB2312" w:hAnsi="仿宋_GB2312" w:eastAsia="仿宋_GB2312" w:cs="仿宋_GB2312"/>
                <w:sz w:val="20"/>
                <w:szCs w:val="20"/>
              </w:rPr>
            </w:pPr>
          </w:p>
        </w:tc>
      </w:tr>
      <w:tr w14:paraId="0AEF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F5DA290">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54E192E2">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9522BC4">
            <w:pPr>
              <w:snapToGrid w:val="0"/>
              <w:spacing w:line="240" w:lineRule="atLeast"/>
              <w:jc w:val="center"/>
              <w:rPr>
                <w:rFonts w:ascii="仿宋_GB2312" w:hAnsi="仿宋_GB2312" w:eastAsia="仿宋_GB2312" w:cs="仿宋_GB2312"/>
                <w:sz w:val="20"/>
                <w:szCs w:val="20"/>
              </w:rPr>
            </w:pPr>
          </w:p>
        </w:tc>
        <w:tc>
          <w:tcPr>
            <w:tcW w:w="2820" w:type="dxa"/>
            <w:vAlign w:val="center"/>
          </w:tcPr>
          <w:p w14:paraId="48FE6A52">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11.抵押权登记</w:t>
            </w:r>
          </w:p>
        </w:tc>
        <w:tc>
          <w:tcPr>
            <w:tcW w:w="780" w:type="dxa"/>
            <w:vMerge w:val="continue"/>
            <w:vAlign w:val="center"/>
          </w:tcPr>
          <w:p w14:paraId="7F87280B">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10B6110E">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ED1CFB1">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756E650">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0CD1DB7F">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697E1BCC">
            <w:pPr>
              <w:snapToGrid w:val="0"/>
              <w:spacing w:line="240" w:lineRule="atLeast"/>
              <w:jc w:val="center"/>
              <w:rPr>
                <w:rFonts w:ascii="仿宋_GB2312" w:hAnsi="仿宋_GB2312" w:eastAsia="仿宋_GB2312" w:cs="仿宋_GB2312"/>
                <w:sz w:val="20"/>
                <w:szCs w:val="20"/>
              </w:rPr>
            </w:pPr>
          </w:p>
        </w:tc>
      </w:tr>
      <w:tr w14:paraId="0429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CC82EA1">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33997415">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5089941C">
            <w:pPr>
              <w:snapToGrid w:val="0"/>
              <w:spacing w:line="240" w:lineRule="atLeast"/>
              <w:jc w:val="center"/>
              <w:rPr>
                <w:rFonts w:ascii="仿宋_GB2312" w:hAnsi="仿宋_GB2312" w:eastAsia="仿宋_GB2312" w:cs="仿宋_GB2312"/>
                <w:sz w:val="20"/>
                <w:szCs w:val="20"/>
              </w:rPr>
            </w:pPr>
          </w:p>
        </w:tc>
        <w:tc>
          <w:tcPr>
            <w:tcW w:w="2820" w:type="dxa"/>
            <w:vAlign w:val="center"/>
          </w:tcPr>
          <w:p w14:paraId="325F6CDD">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12.森林、林木所有权登记</w:t>
            </w:r>
          </w:p>
        </w:tc>
        <w:tc>
          <w:tcPr>
            <w:tcW w:w="780" w:type="dxa"/>
            <w:vMerge w:val="continue"/>
            <w:vAlign w:val="center"/>
          </w:tcPr>
          <w:p w14:paraId="7355859C">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7279A194">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727FBB5">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0E44959">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86AB4B9">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83BCD34">
            <w:pPr>
              <w:snapToGrid w:val="0"/>
              <w:spacing w:line="240" w:lineRule="atLeast"/>
              <w:jc w:val="center"/>
              <w:rPr>
                <w:rFonts w:ascii="仿宋_GB2312" w:hAnsi="仿宋_GB2312" w:eastAsia="仿宋_GB2312" w:cs="仿宋_GB2312"/>
                <w:sz w:val="20"/>
                <w:szCs w:val="20"/>
              </w:rPr>
            </w:pPr>
          </w:p>
        </w:tc>
      </w:tr>
      <w:tr w14:paraId="0920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D0582E8">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3532EEC">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C9EFB5E">
            <w:pPr>
              <w:snapToGrid w:val="0"/>
              <w:spacing w:line="240" w:lineRule="atLeast"/>
              <w:jc w:val="center"/>
              <w:rPr>
                <w:rFonts w:ascii="仿宋_GB2312" w:hAnsi="仿宋_GB2312" w:eastAsia="仿宋_GB2312" w:cs="仿宋_GB2312"/>
                <w:sz w:val="20"/>
                <w:szCs w:val="20"/>
              </w:rPr>
            </w:pPr>
          </w:p>
        </w:tc>
        <w:tc>
          <w:tcPr>
            <w:tcW w:w="2820" w:type="dxa"/>
            <w:vAlign w:val="center"/>
          </w:tcPr>
          <w:p w14:paraId="15F7E522">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13.国有林地使用权登记</w:t>
            </w:r>
          </w:p>
        </w:tc>
        <w:tc>
          <w:tcPr>
            <w:tcW w:w="780" w:type="dxa"/>
            <w:vMerge w:val="continue"/>
            <w:vAlign w:val="center"/>
          </w:tcPr>
          <w:p w14:paraId="653BC143">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0C8402BA">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49841F4B">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4B2CDDBC">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74080F10">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7030FD61">
            <w:pPr>
              <w:snapToGrid w:val="0"/>
              <w:spacing w:line="240" w:lineRule="atLeast"/>
              <w:jc w:val="center"/>
              <w:rPr>
                <w:rFonts w:ascii="仿宋_GB2312" w:hAnsi="仿宋_GB2312" w:eastAsia="仿宋_GB2312" w:cs="仿宋_GB2312"/>
                <w:sz w:val="20"/>
                <w:szCs w:val="20"/>
              </w:rPr>
            </w:pPr>
          </w:p>
        </w:tc>
      </w:tr>
      <w:tr w14:paraId="506C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73113371">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2DC86582">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2FB2598C">
            <w:pPr>
              <w:snapToGrid w:val="0"/>
              <w:spacing w:line="240" w:lineRule="atLeast"/>
              <w:jc w:val="center"/>
              <w:rPr>
                <w:rFonts w:ascii="仿宋_GB2312" w:hAnsi="仿宋_GB2312" w:eastAsia="仿宋_GB2312" w:cs="仿宋_GB2312"/>
                <w:sz w:val="20"/>
                <w:szCs w:val="20"/>
              </w:rPr>
            </w:pPr>
          </w:p>
        </w:tc>
        <w:tc>
          <w:tcPr>
            <w:tcW w:w="2820" w:type="dxa"/>
            <w:vAlign w:val="center"/>
          </w:tcPr>
          <w:p w14:paraId="7E2707BE">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14．国有农用地使用权登记</w:t>
            </w:r>
          </w:p>
        </w:tc>
        <w:tc>
          <w:tcPr>
            <w:tcW w:w="780" w:type="dxa"/>
            <w:vMerge w:val="continue"/>
            <w:vAlign w:val="center"/>
          </w:tcPr>
          <w:p w14:paraId="78EED802">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0A15E1AD">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7106095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18B2292">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014D14E">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27CAEC3">
            <w:pPr>
              <w:snapToGrid w:val="0"/>
              <w:spacing w:line="240" w:lineRule="atLeast"/>
              <w:jc w:val="center"/>
              <w:rPr>
                <w:rFonts w:ascii="仿宋_GB2312" w:hAnsi="仿宋_GB2312" w:eastAsia="仿宋_GB2312" w:cs="仿宋_GB2312"/>
                <w:sz w:val="20"/>
                <w:szCs w:val="20"/>
              </w:rPr>
            </w:pPr>
          </w:p>
        </w:tc>
      </w:tr>
      <w:tr w14:paraId="0890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1B45F89">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7D9ABE3F">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A1089D6">
            <w:pPr>
              <w:snapToGrid w:val="0"/>
              <w:spacing w:line="240" w:lineRule="atLeast"/>
              <w:jc w:val="center"/>
              <w:rPr>
                <w:rFonts w:ascii="仿宋_GB2312" w:hAnsi="仿宋_GB2312" w:eastAsia="仿宋_GB2312" w:cs="仿宋_GB2312"/>
                <w:sz w:val="20"/>
                <w:szCs w:val="20"/>
              </w:rPr>
            </w:pPr>
          </w:p>
        </w:tc>
        <w:tc>
          <w:tcPr>
            <w:tcW w:w="2820" w:type="dxa"/>
            <w:vAlign w:val="center"/>
          </w:tcPr>
          <w:p w14:paraId="24694AE2">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15．耕地、林地、草原等土地承包经营权登记</w:t>
            </w:r>
          </w:p>
        </w:tc>
        <w:tc>
          <w:tcPr>
            <w:tcW w:w="780" w:type="dxa"/>
            <w:vMerge w:val="continue"/>
            <w:vAlign w:val="center"/>
          </w:tcPr>
          <w:p w14:paraId="2B2268B4">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E27FF2A">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6835342B">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FBF7FE4">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868FF8C">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644F3B0">
            <w:pPr>
              <w:snapToGrid w:val="0"/>
              <w:spacing w:line="240" w:lineRule="atLeast"/>
              <w:jc w:val="center"/>
              <w:rPr>
                <w:rFonts w:ascii="仿宋_GB2312" w:hAnsi="仿宋_GB2312" w:eastAsia="仿宋_GB2312" w:cs="仿宋_GB2312"/>
                <w:sz w:val="20"/>
                <w:szCs w:val="20"/>
              </w:rPr>
            </w:pPr>
          </w:p>
        </w:tc>
      </w:tr>
    </w:tbl>
    <w:p w14:paraId="04F481A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BC0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E787D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F5E5282">
            <w:pPr>
              <w:spacing w:line="240" w:lineRule="atLeast"/>
              <w:rPr>
                <w:rFonts w:asciiTheme="majorEastAsia" w:hAnsiTheme="majorEastAsia" w:eastAsiaTheme="majorEastAsia" w:cstheme="majorEastAsia"/>
                <w:spacing w:val="-20"/>
                <w:sz w:val="20"/>
                <w:szCs w:val="20"/>
              </w:rPr>
            </w:pPr>
          </w:p>
          <w:p w14:paraId="3A13D2E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14D86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29132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427E55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172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D5652A">
            <w:pPr>
              <w:spacing w:line="240" w:lineRule="atLeast"/>
              <w:jc w:val="left"/>
              <w:rPr>
                <w:rFonts w:ascii="仿宋_GB2312" w:hAnsi="仿宋_GB2312" w:eastAsia="仿宋_GB2312" w:cs="仿宋_GB2312"/>
                <w:sz w:val="20"/>
                <w:szCs w:val="20"/>
              </w:rPr>
            </w:pPr>
          </w:p>
        </w:tc>
        <w:tc>
          <w:tcPr>
            <w:tcW w:w="555" w:type="dxa"/>
            <w:vMerge w:val="continue"/>
          </w:tcPr>
          <w:p w14:paraId="398204B8">
            <w:pPr>
              <w:spacing w:line="240" w:lineRule="atLeast"/>
              <w:jc w:val="left"/>
              <w:rPr>
                <w:rFonts w:ascii="仿宋_GB2312" w:hAnsi="仿宋_GB2312" w:eastAsia="仿宋_GB2312" w:cs="仿宋_GB2312"/>
                <w:sz w:val="20"/>
                <w:szCs w:val="20"/>
              </w:rPr>
            </w:pPr>
          </w:p>
        </w:tc>
        <w:tc>
          <w:tcPr>
            <w:tcW w:w="784" w:type="dxa"/>
            <w:vAlign w:val="center"/>
          </w:tcPr>
          <w:p w14:paraId="4D73EF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37E533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D8DF54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86E2D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5404F4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AFE99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EF6AE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7361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C18A2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ED4A99">
            <w:pPr>
              <w:spacing w:line="240" w:lineRule="atLeast"/>
              <w:jc w:val="left"/>
              <w:rPr>
                <w:rFonts w:ascii="仿宋_GB2312" w:hAnsi="仿宋_GB2312" w:eastAsia="仿宋_GB2312" w:cs="仿宋_GB2312"/>
                <w:sz w:val="20"/>
                <w:szCs w:val="20"/>
              </w:rPr>
            </w:pPr>
          </w:p>
        </w:tc>
      </w:tr>
      <w:tr w14:paraId="1EB5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A4221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206</w:t>
            </w:r>
          </w:p>
        </w:tc>
        <w:tc>
          <w:tcPr>
            <w:tcW w:w="555" w:type="dxa"/>
            <w:vAlign w:val="center"/>
          </w:tcPr>
          <w:p w14:paraId="6FA754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行政确认</w:t>
            </w:r>
          </w:p>
        </w:tc>
        <w:tc>
          <w:tcPr>
            <w:tcW w:w="784" w:type="dxa"/>
            <w:vAlign w:val="center"/>
          </w:tcPr>
          <w:p w14:paraId="6FA0177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矿产资源储量评审备案</w:t>
            </w:r>
          </w:p>
        </w:tc>
        <w:tc>
          <w:tcPr>
            <w:tcW w:w="660" w:type="dxa"/>
            <w:vAlign w:val="center"/>
          </w:tcPr>
          <w:p w14:paraId="28D5F933">
            <w:pPr>
              <w:snapToGrid w:val="0"/>
              <w:spacing w:line="240" w:lineRule="atLeast"/>
              <w:jc w:val="center"/>
              <w:rPr>
                <w:rFonts w:ascii="仿宋_GB2312" w:hAnsi="仿宋_GB2312" w:eastAsia="仿宋_GB2312" w:cs="仿宋_GB2312"/>
                <w:sz w:val="20"/>
                <w:szCs w:val="20"/>
              </w:rPr>
            </w:pPr>
          </w:p>
        </w:tc>
        <w:tc>
          <w:tcPr>
            <w:tcW w:w="615" w:type="dxa"/>
            <w:vAlign w:val="center"/>
          </w:tcPr>
          <w:p w14:paraId="385547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36053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302DFC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三条：国务院矿产储量审批机构或者省、自治区、直辖市矿产储量审批机构负责审查批准供矿山建设设计使用的勘探报告，并在规定的期限内批复报送单位。勘探报告未经批准，不得作为矿山建设设计的依据。</w:t>
            </w:r>
          </w:p>
          <w:p w14:paraId="5D8F56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 《中华人民共和国矿产资源法实施细则》（1994年国务院令第152号）第十九条：矿产资源勘查报告按照下列规定审批：（一）供矿山建设使用的重要大型矿床勘查报告和供大型水源地建设使用的地下水勘查报告，由国务院矿产储量审批机构审批；（二）供矿山建设使用的一般大型、中型、小型矿床勘查报告和供中型、小型水源地建设使用的地下水勘查报告，由省、自治区、直辖市矿产储量审批机构审批；矿产储量审批机构和勘查单位的主管部门应当自收到矿产资源勘查报告之日起六个月内作出批复。</w:t>
            </w:r>
          </w:p>
          <w:p w14:paraId="061224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3.【规范性文件】《自然资源部关于推进矿产资源管理改革若干事项的意见》（自然资规〔2019〕7号）第四条：实行同一矿种探矿权采矿权出让登记统计管理，其他矿种由省级及以下自然资源主管部门负责。</w:t>
            </w:r>
          </w:p>
          <w:p w14:paraId="124C8FA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第九条：自然资源主管部门可委托矿产资源储量评审机构根据评审备案范围和权限组织开展评审备案工作。</w:t>
            </w:r>
          </w:p>
          <w:p w14:paraId="2D80AE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第十条：自然资源部负责本级已颁发矿业权证的矿产资源储量评审备案工作，其他由省级自然资源主管部门负责。</w:t>
            </w:r>
          </w:p>
          <w:p w14:paraId="5815F37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自然资源厅关于加强矿产资源储量评审备案管理有关事项的通知》（桂自然资规〔2020〕6号）第二条：自治区自然资源厅负责能源矿产、金属矿产、水气矿产中除自然资源部出让登记权限之外的矿产、自治区和设区市自然资源部门已颁发勘查许可证的矿产和海砂、磷、萤石矿产以及建设项目压覆重要矿产资源（油气和放射性矿产资源除外）的储量评审备案工作；设区市自然资源主管部门负责除自然资源部、自然资源厅出让、登记矿种外的矿产资源储量评审备案工作。</w:t>
            </w:r>
          </w:p>
        </w:tc>
        <w:tc>
          <w:tcPr>
            <w:tcW w:w="3585" w:type="dxa"/>
            <w:vAlign w:val="center"/>
          </w:tcPr>
          <w:p w14:paraId="6999731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1.受理责任：审查评审备案材料是否齐全，是否在规定的时间内提交评审备案。评审备案材料不全的，通知申请人一次性补齐。</w:t>
            </w:r>
          </w:p>
          <w:p w14:paraId="3B1DF7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2.审查责任：对矿产资源储量评审备案范围、权限、评审机构评审专家资格，评审标准、和程序是合规等进行审查。</w:t>
            </w:r>
          </w:p>
          <w:p w14:paraId="77A247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3.决定责任：作出同意通过评审、不予通过评审或同意备案、不予以备案决定（不予通过评审、不予备案的应当告知理由）。</w:t>
            </w:r>
          </w:p>
          <w:p w14:paraId="22F151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4．送达责任：出具评审意见书或备案证明并送达。</w:t>
            </w:r>
          </w:p>
          <w:p w14:paraId="35C960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C90D8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三条：国务院矿产储量审批机构或者省、自治区、直辖市矿产储量审批机构负责审查批准供矿山建设设计使用的勘探报告，并在规定的期限内批复报送单位。勘探报告未经批准，不得作为矿山建设设计的依据。</w:t>
            </w:r>
          </w:p>
          <w:p w14:paraId="1FE9AF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2—1.【规范性文件】《自然资源部关于推进矿产资源管理改革若干事项的意见》（自然资规〔2019〕7号）第四条：实行同一矿种探矿权采矿权出让登记统计管理，其他矿种由省级及以下自然资源主管部门负责。</w:t>
            </w:r>
          </w:p>
          <w:p w14:paraId="5918C6A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第九条：自然资源主管部门可委托矿产资源储量评审机构根据评审备案范围和权限组织开展评审备案工作。</w:t>
            </w:r>
          </w:p>
          <w:p w14:paraId="6558AA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第十条：自然资源部负责本级已颁发矿业权证的矿产资源储量评审备案工作，其他由省级自然资源主管部门负责。</w:t>
            </w:r>
          </w:p>
          <w:p w14:paraId="0FD03C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广西壮族自治区自然资源厅关于加强矿产资源储量评审备案管理有关事项的通知》（桂自然资规〔2020〕6号）第二条：实行储量评审备案分级分类管理。自治区自然资源厅负责能源矿产、金属矿产、水气矿产中除自然资源部出让登记权限之外的矿产、自治区和设区市自然资源部门已颁发勘查许可证的矿产和海砂、磷、萤石矿产以及建设项目压覆重要矿产资源（油气和放射性矿产资源除外）的储量评审备案工作；设区市自然资源主管部门负责除自然资源部、自然资源厅出让、登记矿种外的矿产资源储量评审备案工作。</w:t>
            </w:r>
          </w:p>
          <w:p w14:paraId="6C5388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调整储量评审备案范围。自然资源主管部门负责评审备案的范围包括探矿权转采矿权、采矿权变更矿种或范围、非油气矿产在采矿期间累计查明矿产资源量发生重大变化的（变化量超过30%或达到中型规模以上）、建设项目压覆重要矿产资源等情形的矿产资源储量报告。自然资源主管部门负责评审的范围包括财政出资查明的矿产资源储量报告、作为矿业权出让、出让收益评估处置的矿产资源储量报告。</w:t>
            </w:r>
          </w:p>
          <w:p w14:paraId="0354FC8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1C1028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自然资源厅关于加强矿产资源储量评审备案管理有关事项的通知》（桂自然资规〔2020〕6号）第五条：提高储量评审备案服务水平。评审终止通知书、评审意见书、备案告知书由评审机构负责邮寄申请人。</w:t>
            </w:r>
          </w:p>
        </w:tc>
        <w:tc>
          <w:tcPr>
            <w:tcW w:w="330" w:type="dxa"/>
            <w:vAlign w:val="center"/>
          </w:tcPr>
          <w:p w14:paraId="4869715B">
            <w:pPr>
              <w:snapToGrid w:val="0"/>
              <w:spacing w:line="240" w:lineRule="atLeast"/>
              <w:jc w:val="center"/>
              <w:rPr>
                <w:rFonts w:ascii="仿宋_GB2312" w:hAnsi="仿宋_GB2312" w:eastAsia="仿宋_GB2312" w:cs="仿宋_GB2312"/>
                <w:sz w:val="20"/>
                <w:szCs w:val="20"/>
              </w:rPr>
            </w:pPr>
          </w:p>
        </w:tc>
      </w:tr>
    </w:tbl>
    <w:p w14:paraId="4735B475"/>
    <w:p w14:paraId="50604604"/>
    <w:p w14:paraId="2D6BFAA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D68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3C7FF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8032FF8">
            <w:pPr>
              <w:spacing w:line="240" w:lineRule="atLeast"/>
              <w:rPr>
                <w:rFonts w:asciiTheme="majorEastAsia" w:hAnsiTheme="majorEastAsia" w:eastAsiaTheme="majorEastAsia" w:cstheme="majorEastAsia"/>
                <w:spacing w:val="-20"/>
                <w:sz w:val="20"/>
                <w:szCs w:val="20"/>
              </w:rPr>
            </w:pPr>
          </w:p>
          <w:p w14:paraId="6EACAD5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05C927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860399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7220FF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6E0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8576CF">
            <w:pPr>
              <w:spacing w:line="240" w:lineRule="atLeast"/>
              <w:jc w:val="left"/>
              <w:rPr>
                <w:rFonts w:ascii="仿宋_GB2312" w:hAnsi="仿宋_GB2312" w:eastAsia="仿宋_GB2312" w:cs="仿宋_GB2312"/>
                <w:sz w:val="20"/>
                <w:szCs w:val="20"/>
              </w:rPr>
            </w:pPr>
          </w:p>
        </w:tc>
        <w:tc>
          <w:tcPr>
            <w:tcW w:w="555" w:type="dxa"/>
            <w:vMerge w:val="continue"/>
          </w:tcPr>
          <w:p w14:paraId="341EB950">
            <w:pPr>
              <w:spacing w:line="240" w:lineRule="atLeast"/>
              <w:jc w:val="left"/>
              <w:rPr>
                <w:rFonts w:ascii="仿宋_GB2312" w:hAnsi="仿宋_GB2312" w:eastAsia="仿宋_GB2312" w:cs="仿宋_GB2312"/>
                <w:sz w:val="20"/>
                <w:szCs w:val="20"/>
              </w:rPr>
            </w:pPr>
          </w:p>
        </w:tc>
        <w:tc>
          <w:tcPr>
            <w:tcW w:w="784" w:type="dxa"/>
            <w:vAlign w:val="center"/>
          </w:tcPr>
          <w:p w14:paraId="7F8F25C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B740F0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3DBF2C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42A84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93847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FF5C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786D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AAD7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E6369F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6F0FEDD">
            <w:pPr>
              <w:spacing w:line="240" w:lineRule="atLeast"/>
              <w:jc w:val="left"/>
              <w:rPr>
                <w:rFonts w:ascii="仿宋_GB2312" w:hAnsi="仿宋_GB2312" w:eastAsia="仿宋_GB2312" w:cs="仿宋_GB2312"/>
                <w:sz w:val="20"/>
                <w:szCs w:val="20"/>
              </w:rPr>
            </w:pPr>
          </w:p>
        </w:tc>
      </w:tr>
      <w:tr w14:paraId="332A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9722C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208</w:t>
            </w:r>
          </w:p>
        </w:tc>
        <w:tc>
          <w:tcPr>
            <w:tcW w:w="555" w:type="dxa"/>
            <w:vAlign w:val="center"/>
          </w:tcPr>
          <w:p w14:paraId="79B4DB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Align w:val="center"/>
          </w:tcPr>
          <w:p w14:paraId="1A0B6CC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地质灾害治理责任认定</w:t>
            </w:r>
          </w:p>
        </w:tc>
        <w:tc>
          <w:tcPr>
            <w:tcW w:w="660" w:type="dxa"/>
            <w:vAlign w:val="center"/>
          </w:tcPr>
          <w:p w14:paraId="7438DDA3">
            <w:pPr>
              <w:snapToGrid w:val="0"/>
              <w:spacing w:line="240" w:lineRule="atLeast"/>
              <w:jc w:val="center"/>
              <w:rPr>
                <w:rFonts w:ascii="仿宋_GB2312" w:hAnsi="仿宋_GB2312" w:eastAsia="仿宋_GB2312" w:cs="仿宋_GB2312"/>
                <w:sz w:val="20"/>
                <w:szCs w:val="20"/>
              </w:rPr>
            </w:pPr>
          </w:p>
        </w:tc>
        <w:tc>
          <w:tcPr>
            <w:tcW w:w="615" w:type="dxa"/>
            <w:vAlign w:val="center"/>
          </w:tcPr>
          <w:p w14:paraId="24F451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3F9FA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4A29B42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公布）第七条：国务院国土资源主管部门负责全国地质灾害防治的组织、协调、指导和监督工作。国务院其他有关部门按照各自的职责负责有关的地质灾害防治工作。</w:t>
            </w:r>
          </w:p>
          <w:p w14:paraId="45A47B7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县级以上地方人民政府国土资源主管部门负责本行政区域内地质灾害防治的组织、协调、指导和监督工作。县级以上地方人民政府其他有关部门按照各自的职责负责有关的地质灾害防治工作。</w:t>
            </w:r>
          </w:p>
          <w:p w14:paraId="3AF498B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第三十五条：因工程建设等人为活动引发的地质灾害，由责任单位承担治理责任。</w:t>
            </w:r>
          </w:p>
          <w:p w14:paraId="233B9F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责任单位由地质灾害发生地的县级以上人民政府国土资源主管部门负责组织专家对地质灾害的成因进行分析论证后认定。</w:t>
            </w:r>
          </w:p>
          <w:p w14:paraId="2CE97F2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对地质灾害的治理责任认定结果有异议的，可以依法申请行政复议或者提起行政诉讼。</w:t>
            </w:r>
          </w:p>
        </w:tc>
        <w:tc>
          <w:tcPr>
            <w:tcW w:w="3585" w:type="dxa"/>
            <w:vAlign w:val="center"/>
          </w:tcPr>
          <w:p w14:paraId="19267EE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1.受理责任：审查责任认定申请材料是否齐全。材料不全的，通知申请人一次性补齐。</w:t>
            </w:r>
          </w:p>
          <w:p w14:paraId="54FB4A9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2.审查责任：对地质灾害治理责任进行论证并审查。</w:t>
            </w:r>
          </w:p>
          <w:p w14:paraId="1230D02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3.决定责任：作出地质灾害治理责任决定并送达。</w:t>
            </w:r>
          </w:p>
          <w:p w14:paraId="173B8F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30B43EF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行政法规】《地质灾害防治条例》（中华人民共和国国务院令第394号）第七条：国务院国土资源主管部门负责全国地质灾害防治的组织、协调、指导和监督工作。国务院其他有关部门按照各自的职责负责有关的地质灾害防治工作。县级以上地方人民政府国土资源主管部门负责本行政区域内地质灾害防治的组织、协调、指导和监督工作。县级以上地方人民政府其他有关部门按照各自的职责负责有关的地质灾害防治工作。</w:t>
            </w:r>
          </w:p>
          <w:p w14:paraId="61AC3D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行政法规】《地质灾害防治条例》（中华人民共和国国务院令第394号）第三十五条：因工程建设等人为活动引发的地质灾害，由责任单位承担治理责任。责任单位由地质灾害发生地的县级以上人民政府国土资源主管部门负责组织专家对地质灾害的成因进行分析论证后认定。对地质灾害的治理责任认定结果有异议的，可以依法申请行政复议或者提起行政诉讼。</w:t>
            </w:r>
          </w:p>
          <w:p w14:paraId="1D04C8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2FD885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3.同1。</w:t>
            </w:r>
          </w:p>
        </w:tc>
        <w:tc>
          <w:tcPr>
            <w:tcW w:w="330" w:type="dxa"/>
            <w:vAlign w:val="center"/>
          </w:tcPr>
          <w:p w14:paraId="2AB36799">
            <w:pPr>
              <w:snapToGrid w:val="0"/>
              <w:spacing w:line="240" w:lineRule="atLeast"/>
              <w:jc w:val="center"/>
              <w:rPr>
                <w:rFonts w:ascii="仿宋_GB2312" w:hAnsi="仿宋_GB2312" w:eastAsia="仿宋_GB2312" w:cs="仿宋_GB2312"/>
                <w:sz w:val="20"/>
                <w:szCs w:val="20"/>
              </w:rPr>
            </w:pPr>
          </w:p>
        </w:tc>
      </w:tr>
    </w:tbl>
    <w:p w14:paraId="0F9C5566"/>
    <w:p w14:paraId="5A417B23"/>
    <w:p w14:paraId="3A11A21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51A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3B0CCC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2E938E1">
            <w:pPr>
              <w:spacing w:line="240" w:lineRule="atLeast"/>
              <w:rPr>
                <w:rFonts w:asciiTheme="majorEastAsia" w:hAnsiTheme="majorEastAsia" w:eastAsiaTheme="majorEastAsia" w:cstheme="majorEastAsia"/>
                <w:spacing w:val="-20"/>
                <w:sz w:val="20"/>
                <w:szCs w:val="20"/>
              </w:rPr>
            </w:pPr>
          </w:p>
          <w:p w14:paraId="7D9EF93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A8642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4530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883AC9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E1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A60B52F">
            <w:pPr>
              <w:spacing w:line="240" w:lineRule="atLeast"/>
              <w:jc w:val="left"/>
              <w:rPr>
                <w:rFonts w:ascii="仿宋_GB2312" w:hAnsi="仿宋_GB2312" w:eastAsia="仿宋_GB2312" w:cs="仿宋_GB2312"/>
                <w:sz w:val="20"/>
                <w:szCs w:val="20"/>
              </w:rPr>
            </w:pPr>
          </w:p>
        </w:tc>
        <w:tc>
          <w:tcPr>
            <w:tcW w:w="555" w:type="dxa"/>
            <w:vMerge w:val="continue"/>
          </w:tcPr>
          <w:p w14:paraId="1A1111CE">
            <w:pPr>
              <w:spacing w:line="240" w:lineRule="atLeast"/>
              <w:jc w:val="left"/>
              <w:rPr>
                <w:rFonts w:ascii="仿宋_GB2312" w:hAnsi="仿宋_GB2312" w:eastAsia="仿宋_GB2312" w:cs="仿宋_GB2312"/>
                <w:sz w:val="20"/>
                <w:szCs w:val="20"/>
              </w:rPr>
            </w:pPr>
          </w:p>
        </w:tc>
        <w:tc>
          <w:tcPr>
            <w:tcW w:w="784" w:type="dxa"/>
            <w:vAlign w:val="center"/>
          </w:tcPr>
          <w:p w14:paraId="57EC965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883A70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E580C2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7691B8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A5EC7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19B02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E86A1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A0980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041DB4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67C8341">
            <w:pPr>
              <w:spacing w:line="240" w:lineRule="atLeast"/>
              <w:jc w:val="left"/>
              <w:rPr>
                <w:rFonts w:ascii="仿宋_GB2312" w:hAnsi="仿宋_GB2312" w:eastAsia="仿宋_GB2312" w:cs="仿宋_GB2312"/>
                <w:sz w:val="20"/>
                <w:szCs w:val="20"/>
              </w:rPr>
            </w:pPr>
          </w:p>
        </w:tc>
      </w:tr>
      <w:tr w14:paraId="4708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4787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209</w:t>
            </w:r>
          </w:p>
        </w:tc>
        <w:tc>
          <w:tcPr>
            <w:tcW w:w="555" w:type="dxa"/>
            <w:vAlign w:val="center"/>
          </w:tcPr>
          <w:p w14:paraId="55E464E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0DEA9E0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地质灾害防治工作中做出突出贡献奖励</w:t>
            </w:r>
          </w:p>
        </w:tc>
        <w:tc>
          <w:tcPr>
            <w:tcW w:w="660" w:type="dxa"/>
            <w:vAlign w:val="center"/>
          </w:tcPr>
          <w:p w14:paraId="2D797022">
            <w:pPr>
              <w:snapToGrid w:val="0"/>
              <w:spacing w:line="240" w:lineRule="atLeast"/>
              <w:jc w:val="center"/>
              <w:rPr>
                <w:rFonts w:ascii="仿宋_GB2312" w:hAnsi="仿宋_GB2312" w:eastAsia="仿宋_GB2312" w:cs="仿宋_GB2312"/>
                <w:sz w:val="20"/>
                <w:szCs w:val="20"/>
              </w:rPr>
            </w:pPr>
          </w:p>
        </w:tc>
        <w:tc>
          <w:tcPr>
            <w:tcW w:w="615" w:type="dxa"/>
            <w:vAlign w:val="center"/>
          </w:tcPr>
          <w:p w14:paraId="3874E4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61D44F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15510B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九条：任何单位和个人对地质灾害防治工作中的违法行为都有权检举和控告。在地质灾害防治工作中做出突出贡献的单位和个人，由人民政府给予奖励。</w:t>
            </w:r>
          </w:p>
        </w:tc>
        <w:tc>
          <w:tcPr>
            <w:tcW w:w="3585" w:type="dxa"/>
            <w:vAlign w:val="center"/>
          </w:tcPr>
          <w:p w14:paraId="6F3F458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1.受理责任：公示地质灾害防治工作中作出突出贡献的奖励需要提交的全部材料的目录，自收到申请材料5个工作日内作出不予受理、补正材料或者予以受理的决定。</w:t>
            </w:r>
          </w:p>
          <w:p w14:paraId="0A30E0B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2.审核责任：负责审核（主要包括申请材料的成绩性认定）；20个工作日内提出审核意见。</w:t>
            </w:r>
          </w:p>
          <w:p w14:paraId="509C9D0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3.决定责任：公示审核结果5个工作日，告知是否给予奖励的结果。</w:t>
            </w:r>
          </w:p>
          <w:p w14:paraId="5A031FD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386D5F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1—1.【地方政府规章】《广西壮族自治区行政奖励暂行规定》（2002年广西壮族自治区人民政府令第4号）第七条第二款 ：设区的市人民政府、自治区人民政府工作部门可以授予二等功以下奖励；其中，自治区人民政府工作部门授予二等功奖励，须经自治区人民政府人事行政部门审核同意。</w:t>
            </w:r>
          </w:p>
          <w:p w14:paraId="2F446A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 ： 除前款规定的奖励条件外，奖励主办单位或者承办单位还应当结合本地区、本系统、本单位的工作性质和特点，制定具体的奖励条件。</w:t>
            </w:r>
          </w:p>
          <w:p w14:paraId="2896A44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 ：设区的市人民政府工作部门和自治区人民政府工作部门进行的综合奖励，一般3年或者4年进行一次，主办单位须提前6个月向同级政府人事行政部门报送方案，人事行政部门应当在1个月内予以审批。</w:t>
            </w:r>
          </w:p>
          <w:p w14:paraId="70D4934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政府规章】《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6707DA8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25959F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第十五条获得奖励的集体，由批准机关颁发奖状、奖旗或者奖牌，并可以根据实际情况给予适当的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7CD996B5">
            <w:pPr>
              <w:snapToGrid w:val="0"/>
              <w:spacing w:line="240" w:lineRule="atLeast"/>
              <w:jc w:val="center"/>
              <w:rPr>
                <w:rFonts w:ascii="仿宋_GB2312" w:hAnsi="仿宋_GB2312" w:eastAsia="仿宋_GB2312" w:cs="仿宋_GB2312"/>
                <w:sz w:val="20"/>
                <w:szCs w:val="20"/>
              </w:rPr>
            </w:pPr>
          </w:p>
        </w:tc>
      </w:tr>
    </w:tbl>
    <w:p w14:paraId="31137383"/>
    <w:p w14:paraId="502D90F4"/>
    <w:p w14:paraId="4EF8A11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E1D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79242F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14BB493">
            <w:pPr>
              <w:spacing w:line="240" w:lineRule="atLeast"/>
              <w:rPr>
                <w:rFonts w:asciiTheme="majorEastAsia" w:hAnsiTheme="majorEastAsia" w:eastAsiaTheme="majorEastAsia" w:cstheme="majorEastAsia"/>
                <w:spacing w:val="-20"/>
                <w:sz w:val="20"/>
                <w:szCs w:val="20"/>
              </w:rPr>
            </w:pPr>
          </w:p>
          <w:p w14:paraId="1E53963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CFA2EB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E2161C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965C4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F0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F02CD6">
            <w:pPr>
              <w:spacing w:line="240" w:lineRule="atLeast"/>
              <w:jc w:val="left"/>
              <w:rPr>
                <w:rFonts w:ascii="仿宋_GB2312" w:hAnsi="仿宋_GB2312" w:eastAsia="仿宋_GB2312" w:cs="仿宋_GB2312"/>
                <w:sz w:val="20"/>
                <w:szCs w:val="20"/>
              </w:rPr>
            </w:pPr>
          </w:p>
        </w:tc>
        <w:tc>
          <w:tcPr>
            <w:tcW w:w="555" w:type="dxa"/>
            <w:vMerge w:val="continue"/>
          </w:tcPr>
          <w:p w14:paraId="503731BA">
            <w:pPr>
              <w:spacing w:line="240" w:lineRule="atLeast"/>
              <w:jc w:val="left"/>
              <w:rPr>
                <w:rFonts w:ascii="仿宋_GB2312" w:hAnsi="仿宋_GB2312" w:eastAsia="仿宋_GB2312" w:cs="仿宋_GB2312"/>
                <w:sz w:val="20"/>
                <w:szCs w:val="20"/>
              </w:rPr>
            </w:pPr>
          </w:p>
        </w:tc>
        <w:tc>
          <w:tcPr>
            <w:tcW w:w="784" w:type="dxa"/>
            <w:vAlign w:val="center"/>
          </w:tcPr>
          <w:p w14:paraId="25362C2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CB0795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3716C6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F02382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BB873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6E930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A4665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0364D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732793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057C1AD">
            <w:pPr>
              <w:spacing w:line="240" w:lineRule="atLeast"/>
              <w:jc w:val="left"/>
              <w:rPr>
                <w:rFonts w:ascii="仿宋_GB2312" w:hAnsi="仿宋_GB2312" w:eastAsia="仿宋_GB2312" w:cs="仿宋_GB2312"/>
                <w:sz w:val="20"/>
                <w:szCs w:val="20"/>
              </w:rPr>
            </w:pPr>
          </w:p>
        </w:tc>
      </w:tr>
      <w:tr w14:paraId="3EE9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A5FA7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209</w:t>
            </w:r>
          </w:p>
        </w:tc>
        <w:tc>
          <w:tcPr>
            <w:tcW w:w="555" w:type="dxa"/>
            <w:vAlign w:val="center"/>
          </w:tcPr>
          <w:p w14:paraId="2B3692C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4540747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对勘查、开发、保护矿产资源和进行科学技术研究的奖励</w:t>
            </w:r>
          </w:p>
        </w:tc>
        <w:tc>
          <w:tcPr>
            <w:tcW w:w="660" w:type="dxa"/>
            <w:vAlign w:val="center"/>
          </w:tcPr>
          <w:p w14:paraId="62644D0B">
            <w:pPr>
              <w:snapToGrid w:val="0"/>
              <w:spacing w:line="240" w:lineRule="atLeast"/>
              <w:jc w:val="center"/>
              <w:rPr>
                <w:rFonts w:ascii="仿宋_GB2312" w:hAnsi="仿宋_GB2312" w:eastAsia="仿宋_GB2312" w:cs="仿宋_GB2312"/>
                <w:sz w:val="20"/>
                <w:szCs w:val="20"/>
              </w:rPr>
            </w:pPr>
          </w:p>
        </w:tc>
        <w:tc>
          <w:tcPr>
            <w:tcW w:w="615" w:type="dxa"/>
            <w:vAlign w:val="center"/>
          </w:tcPr>
          <w:p w14:paraId="053258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541197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0BC929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【法律】《中华人民共和国矿产资源法》第九条：在勘查、开发、保护矿产资源和进行科学技术研究等方面成绩显著的单位和个人，由各级人民政府给予奖励。</w:t>
            </w:r>
          </w:p>
        </w:tc>
        <w:tc>
          <w:tcPr>
            <w:tcW w:w="3585" w:type="dxa"/>
            <w:vAlign w:val="center"/>
          </w:tcPr>
          <w:p w14:paraId="6DDAC393">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1.受理责任：制定对勘查、开发、保护矿产资源和进行科学技术研究的奖励的具体条件和奖励方案，按照方案受理报奖申请相关材料；</w:t>
            </w:r>
          </w:p>
          <w:p w14:paraId="634BDD81">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2.审核责任：对申请材料按对勘查、开发、保护矿产资源和进行科学技术研究的奖励条件进行审核，初步确定评选对象后，公开征求人民群众和有关国家机关的意见，并对反映的意见进行审查；</w:t>
            </w:r>
          </w:p>
          <w:p w14:paraId="07F9E775">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3.决定责任：按照对勘查、开发、保护矿产资源和进行科学技术研究的奖励方案公布奖励决定；</w:t>
            </w:r>
          </w:p>
          <w:p w14:paraId="600224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1EBF321">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第二款：设区的市人民政府、自治区人民政府工作部门可以授予二等功以下奖励；其中，自治区人民政府工作部门授予二等功奖励，须经自治区人民政府人事行政部门审核同意。</w:t>
            </w:r>
          </w:p>
          <w:p w14:paraId="740980E7">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6FD3C18A">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14:paraId="4763BDAF">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1E133543">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3CA7AD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3—2.【地方政府规章】《广西壮族自治区行政奖励暂行规定》（2002年广西壮族自治区人民政府令第4号）第十五条：获得奖励的集体，由批准机关颁发奖状、奖旗或者奖牌，并可以根据实际情况给予适当的</w:t>
            </w:r>
            <w:r>
              <w:rPr>
                <w:rFonts w:hint="eastAsia" w:eastAsia="仿宋_GB2312"/>
                <w:snapToGrid w:val="0"/>
                <w:color w:val="000000"/>
                <w:spacing w:val="-4"/>
                <w:sz w:val="20"/>
                <w:szCs w:val="20"/>
              </w:rPr>
              <w:t>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2E5CF18A">
            <w:pPr>
              <w:snapToGrid w:val="0"/>
              <w:spacing w:line="240" w:lineRule="atLeast"/>
              <w:jc w:val="center"/>
              <w:rPr>
                <w:rFonts w:ascii="仿宋_GB2312" w:hAnsi="仿宋_GB2312" w:eastAsia="仿宋_GB2312" w:cs="仿宋_GB2312"/>
                <w:sz w:val="20"/>
                <w:szCs w:val="20"/>
              </w:rPr>
            </w:pPr>
          </w:p>
        </w:tc>
      </w:tr>
    </w:tbl>
    <w:p w14:paraId="138E4A0F"/>
    <w:p w14:paraId="30B747DA"/>
    <w:p w14:paraId="24A6184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FF8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1BFC0E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0302442">
            <w:pPr>
              <w:spacing w:line="240" w:lineRule="atLeast"/>
              <w:rPr>
                <w:rFonts w:asciiTheme="majorEastAsia" w:hAnsiTheme="majorEastAsia" w:eastAsiaTheme="majorEastAsia" w:cstheme="majorEastAsia"/>
                <w:spacing w:val="-20"/>
                <w:sz w:val="20"/>
                <w:szCs w:val="20"/>
              </w:rPr>
            </w:pPr>
          </w:p>
          <w:p w14:paraId="1122E7D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8ED6ED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9DEC8C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07C0A4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BBE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F0E7D0B">
            <w:pPr>
              <w:spacing w:line="240" w:lineRule="atLeast"/>
              <w:jc w:val="left"/>
              <w:rPr>
                <w:rFonts w:ascii="仿宋_GB2312" w:hAnsi="仿宋_GB2312" w:eastAsia="仿宋_GB2312" w:cs="仿宋_GB2312"/>
                <w:sz w:val="20"/>
                <w:szCs w:val="20"/>
              </w:rPr>
            </w:pPr>
          </w:p>
        </w:tc>
        <w:tc>
          <w:tcPr>
            <w:tcW w:w="555" w:type="dxa"/>
            <w:vMerge w:val="continue"/>
          </w:tcPr>
          <w:p w14:paraId="586A444F">
            <w:pPr>
              <w:spacing w:line="240" w:lineRule="atLeast"/>
              <w:jc w:val="left"/>
              <w:rPr>
                <w:rFonts w:ascii="仿宋_GB2312" w:hAnsi="仿宋_GB2312" w:eastAsia="仿宋_GB2312" w:cs="仿宋_GB2312"/>
                <w:sz w:val="20"/>
                <w:szCs w:val="20"/>
              </w:rPr>
            </w:pPr>
          </w:p>
        </w:tc>
        <w:tc>
          <w:tcPr>
            <w:tcW w:w="784" w:type="dxa"/>
            <w:vAlign w:val="center"/>
          </w:tcPr>
          <w:p w14:paraId="30ACCC5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452551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6860B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7CAC31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E79698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52B89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B9378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58FC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27977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F5132C">
            <w:pPr>
              <w:spacing w:line="240" w:lineRule="atLeast"/>
              <w:jc w:val="left"/>
              <w:rPr>
                <w:rFonts w:ascii="仿宋_GB2312" w:hAnsi="仿宋_GB2312" w:eastAsia="仿宋_GB2312" w:cs="仿宋_GB2312"/>
                <w:sz w:val="20"/>
                <w:szCs w:val="20"/>
              </w:rPr>
            </w:pPr>
          </w:p>
        </w:tc>
      </w:tr>
      <w:tr w14:paraId="205F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98954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210</w:t>
            </w:r>
          </w:p>
        </w:tc>
        <w:tc>
          <w:tcPr>
            <w:tcW w:w="555" w:type="dxa"/>
            <w:vAlign w:val="center"/>
          </w:tcPr>
          <w:p w14:paraId="51846D9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0C8AACC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土地复垦工作中取得突出贡献奖励</w:t>
            </w:r>
          </w:p>
        </w:tc>
        <w:tc>
          <w:tcPr>
            <w:tcW w:w="660" w:type="dxa"/>
            <w:vAlign w:val="center"/>
          </w:tcPr>
          <w:p w14:paraId="7E29C74A">
            <w:pPr>
              <w:snapToGrid w:val="0"/>
              <w:spacing w:line="240" w:lineRule="atLeast"/>
              <w:jc w:val="center"/>
              <w:rPr>
                <w:rFonts w:ascii="仿宋_GB2312" w:hAnsi="仿宋_GB2312" w:eastAsia="仿宋_GB2312" w:cs="仿宋_GB2312"/>
                <w:sz w:val="20"/>
                <w:szCs w:val="20"/>
              </w:rPr>
            </w:pPr>
          </w:p>
        </w:tc>
        <w:tc>
          <w:tcPr>
            <w:tcW w:w="615" w:type="dxa"/>
            <w:vAlign w:val="center"/>
          </w:tcPr>
          <w:p w14:paraId="67FDF6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5D1858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4605" w:type="dxa"/>
            <w:vAlign w:val="center"/>
          </w:tcPr>
          <w:p w14:paraId="09A7A7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【行政法规】《土地复垦条例》（2011年国务院令第592号）第九条： 国家鼓励和支持土地复垦科学研究和技术创新，推广先进的土地复垦技术。对在土地复垦工作中作出突出贡献的单位和个人，由县级以上人民政府给予表彰。</w:t>
            </w:r>
          </w:p>
        </w:tc>
        <w:tc>
          <w:tcPr>
            <w:tcW w:w="3585" w:type="dxa"/>
            <w:vAlign w:val="center"/>
          </w:tcPr>
          <w:p w14:paraId="1C74990C">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1.申请责任、：一次性告知推荐单位和个人需提交或补正的材料；</w:t>
            </w:r>
          </w:p>
          <w:p w14:paraId="071FB5CB">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2.受理责任、：依法受理或不予受理的理由和原因；</w:t>
            </w:r>
          </w:p>
          <w:p w14:paraId="01655DAC">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3.审核责任、：对提交的申报材料进行审查，提出审查意见；</w:t>
            </w:r>
          </w:p>
          <w:p w14:paraId="1DC07927">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4．公示责任、：公示期间，有公众提出异议或实名举报，组织重新审查；</w:t>
            </w:r>
          </w:p>
          <w:p w14:paraId="355945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35A75D3">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县级人民政府、设区的市人民政府工作部门可以授予三等功以下奖励；其中，设区的市人民政府工作部门授予三等功奖励，须经同级政府人事行政部门审核同意。设区的市人民政府、自治区人民政府工作部门可以授予二等功以下奖励；其中，自治区人民政府工作部门授予二等功奖励，须经自治区人民政府人事行政部门审核同意。一等功、荣誉称号和通令嘉奖，由自治区人民政府批准授予。</w:t>
            </w:r>
          </w:p>
          <w:p w14:paraId="33C80657">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3CCC3C07">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章《广西壮族自治区行政奖励暂行规定》（2002年广西壮族自治区人民政府令第4号）第十一条：县级以上人民政府进行的奖励活动，一般5年进行一次，承办单位须提前6个月向同级政府人事行政部门报送方案，人事行政部门应当在1个月内提出审核意见后，共同报同级人民政府决定。设区的市人民政府工作部门和自治区人民政府工作部门进行的综合奖励，一般3年或者4年进行一次，主办单位须提前6个月向同级政府人事行政部门报送方案，人事行政部门应当在1个月内予以审批。</w:t>
            </w:r>
          </w:p>
          <w:p w14:paraId="558DE139">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63CFB21C">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028960F6">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0141CAD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5—2.【地方政府规章】《广西壮族自治区行政奖励暂行规定》（2002年广西壮族自治区人民政府令第4号）第十五条：获得奖励的集体，由批准机关颁发奖状、奖旗或者奖牌，并可以根据实际情况给予适当的</w:t>
            </w:r>
            <w:r>
              <w:rPr>
                <w:rFonts w:hint="eastAsia" w:eastAsia="仿宋_GB2312"/>
                <w:snapToGrid w:val="0"/>
                <w:color w:val="000000"/>
                <w:spacing w:val="-4"/>
                <w:sz w:val="20"/>
                <w:szCs w:val="20"/>
              </w:rPr>
              <w:t>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12367678">
            <w:pPr>
              <w:snapToGrid w:val="0"/>
              <w:spacing w:line="240" w:lineRule="atLeast"/>
              <w:jc w:val="center"/>
              <w:rPr>
                <w:rFonts w:ascii="仿宋_GB2312" w:hAnsi="仿宋_GB2312" w:eastAsia="仿宋_GB2312" w:cs="仿宋_GB2312"/>
                <w:sz w:val="20"/>
                <w:szCs w:val="20"/>
              </w:rPr>
            </w:pPr>
          </w:p>
        </w:tc>
      </w:tr>
    </w:tbl>
    <w:p w14:paraId="2307C1F8"/>
    <w:p w14:paraId="32DA27D7"/>
    <w:p w14:paraId="11DB317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75"/>
        <w:gridCol w:w="600"/>
        <w:gridCol w:w="1110"/>
        <w:gridCol w:w="4605"/>
        <w:gridCol w:w="3585"/>
        <w:gridCol w:w="9515"/>
        <w:gridCol w:w="330"/>
      </w:tblGrid>
      <w:tr w14:paraId="06E2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9B621E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DC5274E">
            <w:pPr>
              <w:spacing w:line="240" w:lineRule="atLeast"/>
              <w:rPr>
                <w:rFonts w:asciiTheme="majorEastAsia" w:hAnsiTheme="majorEastAsia" w:eastAsiaTheme="majorEastAsia" w:cstheme="majorEastAsia"/>
                <w:spacing w:val="-20"/>
                <w:sz w:val="20"/>
                <w:szCs w:val="20"/>
              </w:rPr>
            </w:pPr>
          </w:p>
          <w:p w14:paraId="4CCE28B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AD414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93BC0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6798D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F71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E233239">
            <w:pPr>
              <w:spacing w:line="240" w:lineRule="atLeast"/>
              <w:jc w:val="left"/>
              <w:rPr>
                <w:rFonts w:ascii="仿宋_GB2312" w:hAnsi="仿宋_GB2312" w:eastAsia="仿宋_GB2312" w:cs="仿宋_GB2312"/>
                <w:sz w:val="20"/>
                <w:szCs w:val="20"/>
              </w:rPr>
            </w:pPr>
          </w:p>
        </w:tc>
        <w:tc>
          <w:tcPr>
            <w:tcW w:w="555" w:type="dxa"/>
            <w:vMerge w:val="continue"/>
          </w:tcPr>
          <w:p w14:paraId="58006BB9">
            <w:pPr>
              <w:spacing w:line="240" w:lineRule="atLeast"/>
              <w:jc w:val="left"/>
              <w:rPr>
                <w:rFonts w:ascii="仿宋_GB2312" w:hAnsi="仿宋_GB2312" w:eastAsia="仿宋_GB2312" w:cs="仿宋_GB2312"/>
                <w:sz w:val="20"/>
                <w:szCs w:val="20"/>
              </w:rPr>
            </w:pPr>
          </w:p>
        </w:tc>
        <w:tc>
          <w:tcPr>
            <w:tcW w:w="784" w:type="dxa"/>
            <w:vAlign w:val="center"/>
          </w:tcPr>
          <w:p w14:paraId="7DD9FAC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D7862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75" w:type="dxa"/>
            <w:vAlign w:val="center"/>
          </w:tcPr>
          <w:p w14:paraId="45C2BE9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17634B3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402951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C63BA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7037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2E20D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83250C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1FB94A6">
            <w:pPr>
              <w:spacing w:line="240" w:lineRule="atLeast"/>
              <w:jc w:val="left"/>
              <w:rPr>
                <w:rFonts w:ascii="仿宋_GB2312" w:hAnsi="仿宋_GB2312" w:eastAsia="仿宋_GB2312" w:cs="仿宋_GB2312"/>
                <w:sz w:val="20"/>
                <w:szCs w:val="20"/>
              </w:rPr>
            </w:pPr>
          </w:p>
        </w:tc>
      </w:tr>
      <w:tr w14:paraId="707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EE451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211</w:t>
            </w:r>
          </w:p>
        </w:tc>
        <w:tc>
          <w:tcPr>
            <w:tcW w:w="555" w:type="dxa"/>
            <w:vAlign w:val="center"/>
          </w:tcPr>
          <w:p w14:paraId="275805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03B25AF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对在古生物化石保护工作中做出突出成绩的单位和个人给与奖励</w:t>
            </w:r>
          </w:p>
        </w:tc>
        <w:tc>
          <w:tcPr>
            <w:tcW w:w="675" w:type="dxa"/>
            <w:vAlign w:val="center"/>
          </w:tcPr>
          <w:p w14:paraId="533AC881">
            <w:pPr>
              <w:snapToGrid w:val="0"/>
              <w:spacing w:line="240" w:lineRule="atLeast"/>
              <w:jc w:val="center"/>
              <w:rPr>
                <w:rFonts w:ascii="仿宋_GB2312" w:hAnsi="仿宋_GB2312" w:eastAsia="仿宋_GB2312" w:cs="仿宋_GB2312"/>
                <w:sz w:val="20"/>
                <w:szCs w:val="20"/>
              </w:rPr>
            </w:pPr>
          </w:p>
        </w:tc>
        <w:tc>
          <w:tcPr>
            <w:tcW w:w="600" w:type="dxa"/>
            <w:vAlign w:val="center"/>
          </w:tcPr>
          <w:p w14:paraId="699F77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55633E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DB090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令修订））第九条第二款：县级以上人民政府应当组织有关部门开展古生物化石保护知识的宣传教育，增强公众保护古生物化石的意识，并按照国家有关规定对在古生物化石保护工作中做出突出成绩的单位和个人给予奖励。</w:t>
            </w:r>
          </w:p>
        </w:tc>
        <w:tc>
          <w:tcPr>
            <w:tcW w:w="3585" w:type="dxa"/>
            <w:vAlign w:val="center"/>
          </w:tcPr>
          <w:p w14:paraId="01525F4F">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1.受理责任：制定对古生物化石保护工作中做出突出成绩的单位和个人进行奖励的具体条件和奖励方案，按照方案受理报奖申请相关材料；</w:t>
            </w:r>
          </w:p>
          <w:p w14:paraId="70491497">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2.审核责任：对申请材料按具体条件和奖励方案进行审核，初步确定评选对象后，公开征求人民群众和有关国家机关的意见，并对反映的意见进行审查；</w:t>
            </w:r>
          </w:p>
          <w:p w14:paraId="3CFFCA97">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3.决定责任：按照奖励方案公布奖励决定；</w:t>
            </w:r>
          </w:p>
          <w:p w14:paraId="08A5D6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F822C7D">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二条：本规定适用于下列行政机关以行政名义进行的奖励：（一）县级以上人民政府进行的奖励；（二）设区的市人民政府（含地区行政公署，下同）工作部门和自治区人民政府工作部门进行的综合奖励。法律、法规和规章对行政奖励另有规定的，从其规定。第六条行政奖励分为个人奖励和集体奖励两类。个人奖励依次为嘉奖、记三等功、记二等功、记一等功、授予荣誉称号。集体奖励依次为授予先进集体称号、记集体三等功、记集体二等功、记集体一等功、通令嘉奖。</w:t>
            </w:r>
          </w:p>
          <w:p w14:paraId="233C1EBF">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779CE56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14:paraId="16A2A097">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3CE5E343">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3D8258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w:t>
            </w:r>
            <w:r>
              <w:rPr>
                <w:rFonts w:hint="eastAsia" w:eastAsia="仿宋_GB2312"/>
                <w:snapToGrid w:val="0"/>
                <w:color w:val="000000"/>
                <w:spacing w:val="-4"/>
                <w:sz w:val="20"/>
                <w:szCs w:val="20"/>
              </w:rPr>
              <w:t>第十五条：获得奖励的集体，由批准机关颁发奖状、奖旗或者奖牌，并可以根据实际情况给予适当的物质奖励。获得奖励的个人，由批准机关颁发奖励证书，发给奖品或者奖金，其中，对获得一等功以上的</w:t>
            </w:r>
            <w:r>
              <w:rPr>
                <w:rFonts w:hint="eastAsia" w:eastAsia="仿宋_GB2312"/>
                <w:snapToGrid w:val="0"/>
                <w:color w:val="000000"/>
                <w:sz w:val="20"/>
                <w:szCs w:val="20"/>
              </w:rPr>
              <w:t>，并授予奖章。奖章由自治区人事行政部门统一制作，奖励证书由自治区人事行政部门统一式样。</w:t>
            </w:r>
          </w:p>
        </w:tc>
        <w:tc>
          <w:tcPr>
            <w:tcW w:w="330" w:type="dxa"/>
            <w:vAlign w:val="center"/>
          </w:tcPr>
          <w:p w14:paraId="0B030086">
            <w:pPr>
              <w:snapToGrid w:val="0"/>
              <w:spacing w:line="240" w:lineRule="atLeast"/>
              <w:jc w:val="center"/>
              <w:rPr>
                <w:rFonts w:ascii="仿宋_GB2312" w:hAnsi="仿宋_GB2312" w:eastAsia="仿宋_GB2312" w:cs="仿宋_GB2312"/>
                <w:sz w:val="20"/>
                <w:szCs w:val="20"/>
              </w:rPr>
            </w:pPr>
          </w:p>
        </w:tc>
      </w:tr>
    </w:tbl>
    <w:p w14:paraId="67288D0C"/>
    <w:p w14:paraId="72A2E2AA"/>
    <w:p w14:paraId="2108BD4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00B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AC9E8F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40213A1">
            <w:pPr>
              <w:spacing w:line="240" w:lineRule="atLeast"/>
              <w:rPr>
                <w:rFonts w:asciiTheme="majorEastAsia" w:hAnsiTheme="majorEastAsia" w:eastAsiaTheme="majorEastAsia" w:cstheme="majorEastAsia"/>
                <w:spacing w:val="-20"/>
                <w:sz w:val="20"/>
                <w:szCs w:val="20"/>
              </w:rPr>
            </w:pPr>
          </w:p>
          <w:p w14:paraId="4374778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8CC0D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8559F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639FD4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C48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CE24D0">
            <w:pPr>
              <w:spacing w:line="240" w:lineRule="atLeast"/>
              <w:jc w:val="left"/>
              <w:rPr>
                <w:rFonts w:ascii="仿宋_GB2312" w:hAnsi="仿宋_GB2312" w:eastAsia="仿宋_GB2312" w:cs="仿宋_GB2312"/>
                <w:sz w:val="20"/>
                <w:szCs w:val="20"/>
              </w:rPr>
            </w:pPr>
          </w:p>
        </w:tc>
        <w:tc>
          <w:tcPr>
            <w:tcW w:w="555" w:type="dxa"/>
            <w:vMerge w:val="continue"/>
          </w:tcPr>
          <w:p w14:paraId="33B59EF5">
            <w:pPr>
              <w:spacing w:line="240" w:lineRule="atLeast"/>
              <w:jc w:val="left"/>
              <w:rPr>
                <w:rFonts w:ascii="仿宋_GB2312" w:hAnsi="仿宋_GB2312" w:eastAsia="仿宋_GB2312" w:cs="仿宋_GB2312"/>
                <w:sz w:val="20"/>
                <w:szCs w:val="20"/>
              </w:rPr>
            </w:pPr>
          </w:p>
        </w:tc>
        <w:tc>
          <w:tcPr>
            <w:tcW w:w="784" w:type="dxa"/>
            <w:vAlign w:val="center"/>
          </w:tcPr>
          <w:p w14:paraId="30DC5D2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0CCF4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A0E0CF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9361C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00708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7C209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B5EC8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8130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43F836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EE6654B">
            <w:pPr>
              <w:spacing w:line="240" w:lineRule="atLeast"/>
              <w:jc w:val="left"/>
              <w:rPr>
                <w:rFonts w:ascii="仿宋_GB2312" w:hAnsi="仿宋_GB2312" w:eastAsia="仿宋_GB2312" w:cs="仿宋_GB2312"/>
                <w:sz w:val="20"/>
                <w:szCs w:val="20"/>
              </w:rPr>
            </w:pPr>
          </w:p>
        </w:tc>
      </w:tr>
      <w:tr w14:paraId="32C1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987C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212</w:t>
            </w:r>
          </w:p>
        </w:tc>
        <w:tc>
          <w:tcPr>
            <w:tcW w:w="555" w:type="dxa"/>
            <w:vAlign w:val="center"/>
          </w:tcPr>
          <w:p w14:paraId="2D424AA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行政裁决</w:t>
            </w:r>
          </w:p>
        </w:tc>
        <w:tc>
          <w:tcPr>
            <w:tcW w:w="784" w:type="dxa"/>
            <w:vAlign w:val="center"/>
          </w:tcPr>
          <w:p w14:paraId="48A5AE9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采矿权人对矿区范围争议的裁决</w:t>
            </w:r>
          </w:p>
        </w:tc>
        <w:tc>
          <w:tcPr>
            <w:tcW w:w="660" w:type="dxa"/>
            <w:vAlign w:val="center"/>
          </w:tcPr>
          <w:p w14:paraId="06A81856">
            <w:pPr>
              <w:snapToGrid w:val="0"/>
              <w:spacing w:line="240" w:lineRule="atLeast"/>
              <w:jc w:val="center"/>
              <w:rPr>
                <w:rFonts w:ascii="仿宋_GB2312" w:hAnsi="仿宋_GB2312" w:eastAsia="仿宋_GB2312" w:cs="仿宋_GB2312"/>
                <w:sz w:val="20"/>
                <w:szCs w:val="20"/>
              </w:rPr>
            </w:pPr>
          </w:p>
        </w:tc>
        <w:tc>
          <w:tcPr>
            <w:tcW w:w="615" w:type="dxa"/>
            <w:vAlign w:val="center"/>
          </w:tcPr>
          <w:p w14:paraId="3BEB14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ED7D2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矿业权管理科</w:t>
            </w:r>
          </w:p>
        </w:tc>
        <w:tc>
          <w:tcPr>
            <w:tcW w:w="4605" w:type="dxa"/>
            <w:vAlign w:val="center"/>
          </w:tcPr>
          <w:p w14:paraId="57D7133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九条：矿山企业之间的矿区范围的争议，由当事人协商解决，协商不成的，由有关县级以上地方人民政府根据依法核定的矿区范围处理；跨省、自治区、直辖市的矿区范围的争议，由有关省、自治区、直辖市人民政府协商解决，协商不成的，由国务院处理。</w:t>
            </w:r>
          </w:p>
          <w:p w14:paraId="6850290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行政法规】《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31B781E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tc>
        <w:tc>
          <w:tcPr>
            <w:tcW w:w="3585" w:type="dxa"/>
            <w:vAlign w:val="center"/>
          </w:tcPr>
          <w:p w14:paraId="5BE37091">
            <w:pPr>
              <w:widowControl/>
              <w:adjustRightInd w:val="0"/>
              <w:snapToGrid w:val="0"/>
              <w:spacing w:line="270" w:lineRule="exact"/>
              <w:ind w:firstLine="376" w:firstLineChars="200"/>
              <w:rPr>
                <w:rFonts w:eastAsia="仿宋_GB2312"/>
                <w:snapToGrid w:val="0"/>
                <w:color w:val="000000"/>
                <w:spacing w:val="-6"/>
                <w:sz w:val="20"/>
                <w:szCs w:val="20"/>
              </w:rPr>
            </w:pPr>
            <w:r>
              <w:rPr>
                <w:rFonts w:hint="eastAsia" w:eastAsia="仿宋_GB2312"/>
                <w:snapToGrid w:val="0"/>
                <w:color w:val="000000"/>
                <w:spacing w:val="-6"/>
                <w:sz w:val="20"/>
                <w:szCs w:val="20"/>
              </w:rPr>
              <w:t>1.受理责任：自然资源主管部门收到采矿权申请后，作出是否处理决定。不符合要求应一次性告知补正材料；符合受理条件的，应及时受理并将受理通知发送被申请人。</w:t>
            </w:r>
          </w:p>
          <w:p w14:paraId="129D272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2.调查责任：自然资源主管部门对受理的纠纷，指定专人负责，及时</w:t>
            </w:r>
            <w:r>
              <w:rPr>
                <w:rFonts w:hint="eastAsia" w:eastAsia="仿宋_GB2312"/>
                <w:snapToGrid w:val="0"/>
                <w:color w:val="000000"/>
                <w:spacing w:val="-4"/>
                <w:sz w:val="20"/>
                <w:szCs w:val="20"/>
              </w:rPr>
              <w:t>组织调查取证，与争议案件有直接厉害关系的应当回避。进行实地调查时</w:t>
            </w:r>
            <w:r>
              <w:rPr>
                <w:rFonts w:hint="eastAsia" w:eastAsia="仿宋_GB2312"/>
                <w:snapToGrid w:val="0"/>
                <w:color w:val="000000"/>
                <w:sz w:val="20"/>
                <w:szCs w:val="20"/>
              </w:rPr>
              <w:t>，工作人员不得少于2人。</w:t>
            </w:r>
          </w:p>
          <w:p w14:paraId="6A39B0B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调解责任：自然资源主管部门在查清事实、分清权属关系的基础上先行调解，帮助当事人达成协议。调解应当坚持自愿、合法的原则。达成协议的，应当制作调解书，将调解书送达当事人，并同时抄报上一级国土资源行政主管部门；未达成协议的，当事人可以提起民事诉讼。</w:t>
            </w:r>
          </w:p>
          <w:p w14:paraId="3F4B053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决定责任：自然资源主管部门根据事实和法律法规、政策提出调查处理意见，报送当地人民政府决定。根据当地人民政府的决定制作并向双方当事人送达裁决书。当事人对当地人民政府的处理裁决不服的，可向上一级人民政府申请复议，也可直接向当地人民法院起诉。</w:t>
            </w:r>
          </w:p>
          <w:p w14:paraId="55F050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4A8C555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p w14:paraId="2872177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003ECFA1">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0D1AE2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4—1.【部门规章】 《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0B57B92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4—2.【法律】《中华人民共和国行政复议法》第六条：有下列情形之一的，公民、法人或者其他组织可以依照本法申请行政复议： 四）对行政机关作出的关于确认土地、矿藏、水流、森林、山岭、草原、荒地、滩涂、海域等自然资源的所有权或者使用权的决定不服的；</w:t>
            </w:r>
          </w:p>
          <w:p w14:paraId="3BDA89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法律】《中华人民共和国行政诉讼法》第十二条：人民法院受理公民、法人或者其他组织提起的下列诉讼：（四）对行政机关作出的关于确认土地、矿藏、水流、森林、山岭、草原、荒地、滩涂、海域等自然资源的所有权或者使用权的决定不服的。</w:t>
            </w:r>
          </w:p>
        </w:tc>
        <w:tc>
          <w:tcPr>
            <w:tcW w:w="330" w:type="dxa"/>
            <w:vAlign w:val="center"/>
          </w:tcPr>
          <w:p w14:paraId="7745B2C8">
            <w:pPr>
              <w:snapToGrid w:val="0"/>
              <w:spacing w:line="240" w:lineRule="atLeast"/>
              <w:jc w:val="center"/>
              <w:rPr>
                <w:rFonts w:ascii="仿宋_GB2312" w:hAnsi="仿宋_GB2312" w:eastAsia="仿宋_GB2312" w:cs="仿宋_GB2312"/>
                <w:sz w:val="20"/>
                <w:szCs w:val="20"/>
              </w:rPr>
            </w:pPr>
          </w:p>
        </w:tc>
      </w:tr>
    </w:tbl>
    <w:p w14:paraId="0449405E"/>
    <w:p w14:paraId="30B47E45"/>
    <w:p w14:paraId="565C3DE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B8A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BF2EA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252A200">
            <w:pPr>
              <w:spacing w:line="240" w:lineRule="atLeast"/>
              <w:rPr>
                <w:rFonts w:asciiTheme="majorEastAsia" w:hAnsiTheme="majorEastAsia" w:eastAsiaTheme="majorEastAsia" w:cstheme="majorEastAsia"/>
                <w:spacing w:val="-20"/>
                <w:sz w:val="20"/>
                <w:szCs w:val="20"/>
              </w:rPr>
            </w:pPr>
          </w:p>
          <w:p w14:paraId="4D97568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F99EB1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12AB6F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EE261C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992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C6D331">
            <w:pPr>
              <w:spacing w:line="240" w:lineRule="atLeast"/>
              <w:jc w:val="left"/>
              <w:rPr>
                <w:rFonts w:ascii="仿宋_GB2312" w:hAnsi="仿宋_GB2312" w:eastAsia="仿宋_GB2312" w:cs="仿宋_GB2312"/>
                <w:sz w:val="20"/>
                <w:szCs w:val="20"/>
              </w:rPr>
            </w:pPr>
          </w:p>
        </w:tc>
        <w:tc>
          <w:tcPr>
            <w:tcW w:w="555" w:type="dxa"/>
            <w:vMerge w:val="continue"/>
          </w:tcPr>
          <w:p w14:paraId="0129BCCB">
            <w:pPr>
              <w:spacing w:line="240" w:lineRule="atLeast"/>
              <w:jc w:val="left"/>
              <w:rPr>
                <w:rFonts w:ascii="仿宋_GB2312" w:hAnsi="仿宋_GB2312" w:eastAsia="仿宋_GB2312" w:cs="仿宋_GB2312"/>
                <w:sz w:val="20"/>
                <w:szCs w:val="20"/>
              </w:rPr>
            </w:pPr>
          </w:p>
        </w:tc>
        <w:tc>
          <w:tcPr>
            <w:tcW w:w="784" w:type="dxa"/>
            <w:vAlign w:val="center"/>
          </w:tcPr>
          <w:p w14:paraId="1680AC3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EE9081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6BA36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3A6BA8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5DAF18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F02DF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688D9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C7AC6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F2C08F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A3B8958">
            <w:pPr>
              <w:spacing w:line="240" w:lineRule="atLeast"/>
              <w:jc w:val="left"/>
              <w:rPr>
                <w:rFonts w:ascii="仿宋_GB2312" w:hAnsi="仿宋_GB2312" w:eastAsia="仿宋_GB2312" w:cs="仿宋_GB2312"/>
                <w:sz w:val="20"/>
                <w:szCs w:val="20"/>
              </w:rPr>
            </w:pPr>
          </w:p>
        </w:tc>
      </w:tr>
      <w:tr w14:paraId="4361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0092F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213</w:t>
            </w:r>
          </w:p>
        </w:tc>
        <w:tc>
          <w:tcPr>
            <w:tcW w:w="555" w:type="dxa"/>
            <w:vAlign w:val="center"/>
          </w:tcPr>
          <w:p w14:paraId="335F2B5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BCC2A8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矿山地质环境治理恢复工程验收</w:t>
            </w:r>
          </w:p>
        </w:tc>
        <w:tc>
          <w:tcPr>
            <w:tcW w:w="660" w:type="dxa"/>
            <w:vAlign w:val="center"/>
          </w:tcPr>
          <w:p w14:paraId="0246139B">
            <w:pPr>
              <w:snapToGrid w:val="0"/>
              <w:spacing w:line="240" w:lineRule="atLeast"/>
              <w:jc w:val="center"/>
              <w:rPr>
                <w:rFonts w:ascii="仿宋_GB2312" w:hAnsi="仿宋_GB2312" w:eastAsia="仿宋_GB2312" w:cs="仿宋_GB2312"/>
                <w:sz w:val="20"/>
                <w:szCs w:val="20"/>
              </w:rPr>
            </w:pPr>
          </w:p>
        </w:tc>
        <w:tc>
          <w:tcPr>
            <w:tcW w:w="615" w:type="dxa"/>
            <w:vAlign w:val="center"/>
          </w:tcPr>
          <w:p w14:paraId="048032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1110" w:type="dxa"/>
            <w:vAlign w:val="center"/>
          </w:tcPr>
          <w:p w14:paraId="0AAA1F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32B8373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矿山地质环境保护规定》（2009年国土资源部令第44号发布，2019年自然资源部令第5号修正）第十九条：矿山关闭前，采矿权人应当完成矿山地质环境保护与土地复垦义务。采矿权人在申请办理闭坑手续时，应当经自然资源主管部门验收合格，并提交验收合格文件。</w:t>
            </w:r>
          </w:p>
          <w:p w14:paraId="731A60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广西壮族自治区矿山地质环境治理恢复基金管理办法（试行）》（桂自然资规〔2019〕4号）第十四条：矿山企业按《方案》完成年度或阶段矿山地质环境治理恢复工程，经自检合格后60天内应向当地自然资源行政主管部门申请工程验收，工程验收合格后核算基金使用情况。自然资源部、自治区、设区市发证矿山的矿山地质环境治理恢复工程由市级自然资源行政主管部门负责组织验收，县级发证矿山的矿山地质环境治理恢复工程由县级自然资源行政主管部门负责组织验收。</w:t>
            </w:r>
          </w:p>
        </w:tc>
        <w:tc>
          <w:tcPr>
            <w:tcW w:w="3585" w:type="dxa"/>
            <w:vAlign w:val="center"/>
          </w:tcPr>
          <w:p w14:paraId="382619CA">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1.受理阶段责任：公示依法应当提交的材料；一次性告知补正材料，依法受理或不予受理（不予受理的，应当告知理由）；</w:t>
            </w:r>
          </w:p>
          <w:p w14:paraId="48536F5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2.审查阶段责任：对申请材料进行审核，组织专家验收组，按规定程序进行验收；</w:t>
            </w:r>
          </w:p>
          <w:p w14:paraId="791A73C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3.决定阶段责任：形成验收意见，将验收过程材料及验收意见报领导审核同意；作出验收合格或不合格的决定（不合格的，应当告知理由，提出整改意见，限期整改）；</w:t>
            </w:r>
          </w:p>
          <w:p w14:paraId="3309DB9C">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4.送达阶段责任：制发并送达合格证；   </w:t>
            </w:r>
          </w:p>
          <w:p w14:paraId="40A3B3E1">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5．事后监管责任：对验收材料进行归档和信息公开；</w:t>
            </w:r>
          </w:p>
          <w:p w14:paraId="22F75AE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2336966D">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1.【规范性文件】《矿山地质环境治理恢复要求与验收规范》（DB45/T701-2010） 8．3.2验收步骤b）竣工验收：自检合格后，向有采矿权管辖权的国土资源行政主管部门或上级国土资源局提出竣工验收申请（格式见附录A表中表A.2），由国土资源行政主管部门组织有关部门及专家进行实地竣工验收，竣工验收应审查的项目和提出的军工验收书见附录A中图A.</w:t>
            </w:r>
          </w:p>
          <w:p w14:paraId="11482764">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292FE2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3.【规范性文件】《矿山地质环境治理恢复要求与验收规范》（DB45/T701-2010）</w:t>
            </w:r>
          </w:p>
          <w:p w14:paraId="1C52E0AF">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4．同1。</w:t>
            </w:r>
          </w:p>
          <w:p w14:paraId="18A111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规范性文件】《广西壮族自治区矿山地质环境治理恢复基金管理办法（试行）》（桂自然资规〔2019〕4号）第十九条：矿山地质环境治理恢复基金涉及的相关部门主要职责。（一）自然资源行政主管部门：按有关规定和要求组织审查、批复矿山企业编制的《方案》，监督矿山企业执行《方案》、校核企业的《方案》变更，对矿山企业矿山地质环境治理恢复基金账户设立、基金计提、基金使用及矿山企业履行矿山地质环境治理恢复义务情况开展监督、检查,及时组织专家对矿山企业申请验收的治理工程进行验收，及时开展矿业权人“异常名录”和“严重违法名单”管理工作，开展矿山企业矿山地质环境治理恢复情况动态监管。</w:t>
            </w:r>
          </w:p>
        </w:tc>
        <w:tc>
          <w:tcPr>
            <w:tcW w:w="330" w:type="dxa"/>
            <w:vAlign w:val="center"/>
          </w:tcPr>
          <w:p w14:paraId="1DCB4207">
            <w:pPr>
              <w:snapToGrid w:val="0"/>
              <w:spacing w:line="240" w:lineRule="atLeast"/>
              <w:jc w:val="center"/>
              <w:rPr>
                <w:rFonts w:ascii="仿宋_GB2312" w:hAnsi="仿宋_GB2312" w:eastAsia="仿宋_GB2312" w:cs="仿宋_GB2312"/>
                <w:sz w:val="20"/>
                <w:szCs w:val="20"/>
              </w:rPr>
            </w:pPr>
          </w:p>
        </w:tc>
      </w:tr>
    </w:tbl>
    <w:p w14:paraId="1EEE3D64"/>
    <w:p w14:paraId="1FCE77A1"/>
    <w:p w14:paraId="7271BC1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310"/>
        <w:gridCol w:w="4170"/>
        <w:gridCol w:w="8225"/>
        <w:gridCol w:w="330"/>
      </w:tblGrid>
      <w:tr w14:paraId="119C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58531D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C4E949">
            <w:pPr>
              <w:spacing w:line="240" w:lineRule="atLeast"/>
              <w:rPr>
                <w:rFonts w:asciiTheme="majorEastAsia" w:hAnsiTheme="majorEastAsia" w:eastAsiaTheme="majorEastAsia" w:cstheme="majorEastAsia"/>
                <w:spacing w:val="-20"/>
                <w:sz w:val="20"/>
                <w:szCs w:val="20"/>
              </w:rPr>
            </w:pPr>
          </w:p>
          <w:p w14:paraId="74F142F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479" w:type="dxa"/>
            <w:gridSpan w:val="5"/>
            <w:vAlign w:val="center"/>
          </w:tcPr>
          <w:p w14:paraId="1E879E3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395" w:type="dxa"/>
            <w:gridSpan w:val="2"/>
            <w:vAlign w:val="center"/>
          </w:tcPr>
          <w:p w14:paraId="4970C7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14741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FBA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3C0CDB">
            <w:pPr>
              <w:spacing w:line="240" w:lineRule="atLeast"/>
              <w:jc w:val="left"/>
              <w:rPr>
                <w:rFonts w:ascii="仿宋_GB2312" w:hAnsi="仿宋_GB2312" w:eastAsia="仿宋_GB2312" w:cs="仿宋_GB2312"/>
                <w:sz w:val="20"/>
                <w:szCs w:val="20"/>
              </w:rPr>
            </w:pPr>
          </w:p>
        </w:tc>
        <w:tc>
          <w:tcPr>
            <w:tcW w:w="555" w:type="dxa"/>
            <w:vMerge w:val="continue"/>
          </w:tcPr>
          <w:p w14:paraId="4BA713E0">
            <w:pPr>
              <w:spacing w:line="240" w:lineRule="atLeast"/>
              <w:jc w:val="left"/>
              <w:rPr>
                <w:rFonts w:ascii="仿宋_GB2312" w:hAnsi="仿宋_GB2312" w:eastAsia="仿宋_GB2312" w:cs="仿宋_GB2312"/>
                <w:sz w:val="20"/>
                <w:szCs w:val="20"/>
              </w:rPr>
            </w:pPr>
          </w:p>
        </w:tc>
        <w:tc>
          <w:tcPr>
            <w:tcW w:w="784" w:type="dxa"/>
            <w:vAlign w:val="center"/>
          </w:tcPr>
          <w:p w14:paraId="760C9C1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6EB27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A94E2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99055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280704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310" w:type="dxa"/>
            <w:vAlign w:val="center"/>
          </w:tcPr>
          <w:p w14:paraId="41720C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70" w:type="dxa"/>
            <w:vAlign w:val="center"/>
          </w:tcPr>
          <w:p w14:paraId="04B3C9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8C999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25" w:type="dxa"/>
            <w:vAlign w:val="center"/>
          </w:tcPr>
          <w:p w14:paraId="563D8B5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B366B68">
            <w:pPr>
              <w:spacing w:line="240" w:lineRule="atLeast"/>
              <w:jc w:val="left"/>
              <w:rPr>
                <w:rFonts w:ascii="仿宋_GB2312" w:hAnsi="仿宋_GB2312" w:eastAsia="仿宋_GB2312" w:cs="仿宋_GB2312"/>
                <w:sz w:val="20"/>
                <w:szCs w:val="20"/>
              </w:rPr>
            </w:pPr>
          </w:p>
        </w:tc>
      </w:tr>
      <w:tr w14:paraId="60A4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7" w:hRule="atLeast"/>
        </w:trPr>
        <w:tc>
          <w:tcPr>
            <w:tcW w:w="611" w:type="dxa"/>
            <w:vAlign w:val="center"/>
          </w:tcPr>
          <w:p w14:paraId="1C9F17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214</w:t>
            </w:r>
          </w:p>
        </w:tc>
        <w:tc>
          <w:tcPr>
            <w:tcW w:w="555" w:type="dxa"/>
            <w:vAlign w:val="center"/>
          </w:tcPr>
          <w:p w14:paraId="6BD0AC4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4C111A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土地复垦验收确认</w:t>
            </w:r>
          </w:p>
        </w:tc>
        <w:tc>
          <w:tcPr>
            <w:tcW w:w="660" w:type="dxa"/>
            <w:vAlign w:val="center"/>
          </w:tcPr>
          <w:p w14:paraId="13717AA2">
            <w:pPr>
              <w:snapToGrid w:val="0"/>
              <w:spacing w:line="240" w:lineRule="atLeast"/>
              <w:jc w:val="center"/>
              <w:rPr>
                <w:rFonts w:ascii="仿宋_GB2312" w:hAnsi="仿宋_GB2312" w:eastAsia="仿宋_GB2312" w:cs="仿宋_GB2312"/>
                <w:sz w:val="20"/>
                <w:szCs w:val="20"/>
              </w:rPr>
            </w:pPr>
          </w:p>
        </w:tc>
        <w:tc>
          <w:tcPr>
            <w:tcW w:w="615" w:type="dxa"/>
            <w:vAlign w:val="center"/>
          </w:tcPr>
          <w:p w14:paraId="50B8A6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BAF5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5310" w:type="dxa"/>
            <w:vAlign w:val="center"/>
          </w:tcPr>
          <w:p w14:paraId="6570F3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复垦条例》（2011年国务院令第592号）第二十九条：负责组织验收的国土资源主管部门应当会同有关部门在接到土地复垦验收申请之日起60个工作日内完成验收，经验收合格的，向土地复垦义务人出具验收合格确认书。</w:t>
            </w:r>
          </w:p>
          <w:p w14:paraId="6FC983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w:t>
            </w:r>
          </w:p>
          <w:p w14:paraId="6B0ADF8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（一）土地复垦工程概况；</w:t>
            </w:r>
          </w:p>
          <w:p w14:paraId="4C73C4C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（二）损毁土地情况；</w:t>
            </w:r>
          </w:p>
          <w:p w14:paraId="7F54D86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（三）土地复垦完成情况；</w:t>
            </w:r>
          </w:p>
          <w:p w14:paraId="70BF158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（四）土地复垦中存在的问题和整改建议、处理意见；</w:t>
            </w:r>
          </w:p>
          <w:p w14:paraId="5928E3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（五）验收结论。</w:t>
            </w:r>
          </w:p>
        </w:tc>
        <w:tc>
          <w:tcPr>
            <w:tcW w:w="4170" w:type="dxa"/>
            <w:vAlign w:val="center"/>
          </w:tcPr>
          <w:p w14:paraId="4B14E5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1.受理责任：审查申请人或单位的验收申请材料是否齐全，是否在规定的时间内提交验收材料。材料不全的，通知验收申请个人或单位一次性补齐。</w:t>
            </w:r>
          </w:p>
          <w:p w14:paraId="7D0A86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2.审查责任：根据验收确认规定，对材料齐全，且符合要求的申请材料，予以审查通过。</w:t>
            </w:r>
          </w:p>
          <w:p w14:paraId="2F9D35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3.决定责任：对审查通过的申请材料予以确认。</w:t>
            </w:r>
          </w:p>
          <w:p w14:paraId="46C09D0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4．送达责任：印发土地复垦验收合格确认书，并通知申请人或单位。</w:t>
            </w:r>
          </w:p>
          <w:p w14:paraId="15DBAB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25" w:type="dxa"/>
            <w:vAlign w:val="center"/>
          </w:tcPr>
          <w:p w14:paraId="03D0C4B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1.【行政法规】《土地复垦条例》（2011年国务院令第592号） 第二十九条：负责组织验收的国土资源主管部门应当会同有关部门在接到土地复垦验收申请之日起60个工作日内完成验收，经验收合格的，向土地复垦义务人出具验收合格确认书。</w:t>
            </w:r>
          </w:p>
          <w:p w14:paraId="55E7D60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一）土地复垦工程概况；（二）损毁土地情况；（三）土地复垦完成情况；（四）土地复垦中存在的问题和整改建议、处理意见；（五）验收结论。</w:t>
            </w:r>
          </w:p>
          <w:p w14:paraId="471E9C6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35751B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4.同2。</w:t>
            </w:r>
          </w:p>
        </w:tc>
        <w:tc>
          <w:tcPr>
            <w:tcW w:w="330" w:type="dxa"/>
            <w:vAlign w:val="center"/>
          </w:tcPr>
          <w:p w14:paraId="16A86BB5">
            <w:pPr>
              <w:snapToGrid w:val="0"/>
              <w:spacing w:line="240" w:lineRule="atLeast"/>
              <w:jc w:val="center"/>
              <w:rPr>
                <w:rFonts w:ascii="仿宋_GB2312" w:hAnsi="仿宋_GB2312" w:eastAsia="仿宋_GB2312" w:cs="仿宋_GB2312"/>
                <w:sz w:val="20"/>
                <w:szCs w:val="20"/>
              </w:rPr>
            </w:pPr>
          </w:p>
        </w:tc>
      </w:tr>
    </w:tbl>
    <w:p w14:paraId="26356993"/>
    <w:p w14:paraId="18246D84"/>
    <w:p w14:paraId="028A361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295"/>
        <w:gridCol w:w="4185"/>
        <w:gridCol w:w="8225"/>
        <w:gridCol w:w="330"/>
      </w:tblGrid>
      <w:tr w14:paraId="369C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AE0FD5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480EFB">
            <w:pPr>
              <w:spacing w:line="240" w:lineRule="atLeast"/>
              <w:rPr>
                <w:rFonts w:asciiTheme="majorEastAsia" w:hAnsiTheme="majorEastAsia" w:eastAsiaTheme="majorEastAsia" w:cstheme="majorEastAsia"/>
                <w:spacing w:val="-20"/>
                <w:sz w:val="20"/>
                <w:szCs w:val="20"/>
              </w:rPr>
            </w:pPr>
          </w:p>
          <w:p w14:paraId="43F2922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464" w:type="dxa"/>
            <w:gridSpan w:val="5"/>
            <w:vAlign w:val="center"/>
          </w:tcPr>
          <w:p w14:paraId="7133E7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410" w:type="dxa"/>
            <w:gridSpan w:val="2"/>
            <w:vAlign w:val="center"/>
          </w:tcPr>
          <w:p w14:paraId="6B23FD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2C8C1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F22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46D6E74">
            <w:pPr>
              <w:spacing w:line="240" w:lineRule="atLeast"/>
              <w:jc w:val="left"/>
              <w:rPr>
                <w:rFonts w:ascii="仿宋_GB2312" w:hAnsi="仿宋_GB2312" w:eastAsia="仿宋_GB2312" w:cs="仿宋_GB2312"/>
                <w:sz w:val="20"/>
                <w:szCs w:val="20"/>
              </w:rPr>
            </w:pPr>
          </w:p>
        </w:tc>
        <w:tc>
          <w:tcPr>
            <w:tcW w:w="555" w:type="dxa"/>
            <w:vMerge w:val="continue"/>
          </w:tcPr>
          <w:p w14:paraId="1A88B516">
            <w:pPr>
              <w:spacing w:line="240" w:lineRule="atLeast"/>
              <w:jc w:val="left"/>
              <w:rPr>
                <w:rFonts w:ascii="仿宋_GB2312" w:hAnsi="仿宋_GB2312" w:eastAsia="仿宋_GB2312" w:cs="仿宋_GB2312"/>
                <w:sz w:val="20"/>
                <w:szCs w:val="20"/>
              </w:rPr>
            </w:pPr>
          </w:p>
        </w:tc>
        <w:tc>
          <w:tcPr>
            <w:tcW w:w="784" w:type="dxa"/>
            <w:vAlign w:val="center"/>
          </w:tcPr>
          <w:p w14:paraId="3C74D6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0AE72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653943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5FC1EB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F94116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295" w:type="dxa"/>
            <w:vAlign w:val="center"/>
          </w:tcPr>
          <w:p w14:paraId="6E11FC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85" w:type="dxa"/>
            <w:vAlign w:val="center"/>
          </w:tcPr>
          <w:p w14:paraId="2D1E97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C34EE9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25" w:type="dxa"/>
            <w:vAlign w:val="center"/>
          </w:tcPr>
          <w:p w14:paraId="28780DD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57F1170">
            <w:pPr>
              <w:spacing w:line="240" w:lineRule="atLeast"/>
              <w:jc w:val="left"/>
              <w:rPr>
                <w:rFonts w:ascii="仿宋_GB2312" w:hAnsi="仿宋_GB2312" w:eastAsia="仿宋_GB2312" w:cs="仿宋_GB2312"/>
                <w:sz w:val="20"/>
                <w:szCs w:val="20"/>
              </w:rPr>
            </w:pPr>
          </w:p>
        </w:tc>
      </w:tr>
      <w:tr w14:paraId="5885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2" w:hRule="atLeast"/>
        </w:trPr>
        <w:tc>
          <w:tcPr>
            <w:tcW w:w="611" w:type="dxa"/>
            <w:vAlign w:val="center"/>
          </w:tcPr>
          <w:p w14:paraId="526930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215</w:t>
            </w:r>
          </w:p>
        </w:tc>
        <w:tc>
          <w:tcPr>
            <w:tcW w:w="555" w:type="dxa"/>
            <w:vAlign w:val="center"/>
          </w:tcPr>
          <w:p w14:paraId="2616A30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EB83F4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土地复垦方案审查</w:t>
            </w:r>
          </w:p>
        </w:tc>
        <w:tc>
          <w:tcPr>
            <w:tcW w:w="660" w:type="dxa"/>
            <w:vAlign w:val="center"/>
          </w:tcPr>
          <w:p w14:paraId="192DE763">
            <w:pPr>
              <w:snapToGrid w:val="0"/>
              <w:spacing w:line="240" w:lineRule="atLeast"/>
              <w:jc w:val="center"/>
              <w:rPr>
                <w:rFonts w:ascii="仿宋_GB2312" w:hAnsi="仿宋_GB2312" w:eastAsia="仿宋_GB2312" w:cs="仿宋_GB2312"/>
                <w:sz w:val="20"/>
                <w:szCs w:val="20"/>
              </w:rPr>
            </w:pPr>
          </w:p>
        </w:tc>
        <w:tc>
          <w:tcPr>
            <w:tcW w:w="615" w:type="dxa"/>
            <w:vAlign w:val="center"/>
          </w:tcPr>
          <w:p w14:paraId="236C1E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5EDB9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5295" w:type="dxa"/>
            <w:vAlign w:val="center"/>
          </w:tcPr>
          <w:p w14:paraId="7BD007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14:paraId="54FF437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2.【部门规章】《土地复垦条例实施办法》（2012年国土资源部第56号令公布，2019年自然资源部令第5号修正）第六条： 属于条例第十条规定的生产建设项目，土地复垦义务人应当在办理建设用地申请或者采矿权申请手续时，依据自然资源部《土地复垦方案编制规程》的要求，组织编制土地复垦方案，随有关报批材料报送有关自然资源主管部门审查。</w:t>
            </w:r>
          </w:p>
          <w:p w14:paraId="53DE96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具体承担相应建设用地审查和采矿权审批的自然资源主管部门负责对土地复垦义务人报送的土地复垦方案进行审查。具体承担相应建设用地审查和采矿权审批的自然资源主管部门负责对土地复垦义务人报送的土地复垦方案进行审查。</w:t>
            </w:r>
          </w:p>
        </w:tc>
        <w:tc>
          <w:tcPr>
            <w:tcW w:w="4185" w:type="dxa"/>
            <w:vAlign w:val="center"/>
          </w:tcPr>
          <w:p w14:paraId="0BC590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1.受理责任：受理审核申请，并告知申请人办理审核的相关事项。</w:t>
            </w:r>
          </w:p>
          <w:p w14:paraId="1D964E6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2.审查责任：审查申请资料，材料不齐全的一次性告知，不符合法定条件的退回.</w:t>
            </w:r>
          </w:p>
          <w:p w14:paraId="0127AB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3.决定责任：拿出是否审查通过的意见，并报领导审核并签署意见形成审查决定。</w:t>
            </w:r>
          </w:p>
          <w:p w14:paraId="7DB057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4．送达责任：作出审查通过决定的，送达审查意见；作出不同意决定的，说明原因并要求整改。</w:t>
            </w:r>
          </w:p>
          <w:p w14:paraId="0EE7F1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25" w:type="dxa"/>
            <w:vAlign w:val="center"/>
          </w:tcPr>
          <w:p w14:paraId="2DAA27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14:paraId="130787E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部门规章】《土地复垦条例实施办法》（2012年国土资源部第56号令公布，2019年自然资源部令第5号修正）第六条：具体承担相应建设用地审查和采矿权审批的自然资源主管部门负责对土地复垦义务人报送的土地复垦方案进行审查。</w:t>
            </w:r>
          </w:p>
          <w:p w14:paraId="0FC5335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自然资源厅关于进一步规范生产建设项目土地复垦方案编报和审查要求的通知》（桂自然资规〔2019〕7号，2019年11月20日印发）第三（三）6条：出具审查意见。方案经专家评审或复核通过的，由审查机关在3个工作日内出具审查意见。对涉及占用永久基本农田、耕作层土壤剥离利用的，应在审查意见中一并提出相关意见和要求。</w:t>
            </w:r>
          </w:p>
          <w:p w14:paraId="4B39EA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4．同3。</w:t>
            </w:r>
          </w:p>
        </w:tc>
        <w:tc>
          <w:tcPr>
            <w:tcW w:w="330" w:type="dxa"/>
            <w:vAlign w:val="center"/>
          </w:tcPr>
          <w:p w14:paraId="1C31EAFE">
            <w:pPr>
              <w:snapToGrid w:val="0"/>
              <w:spacing w:line="240" w:lineRule="atLeast"/>
              <w:jc w:val="center"/>
              <w:rPr>
                <w:rFonts w:ascii="仿宋_GB2312" w:hAnsi="仿宋_GB2312" w:eastAsia="仿宋_GB2312" w:cs="仿宋_GB2312"/>
                <w:sz w:val="20"/>
                <w:szCs w:val="20"/>
              </w:rPr>
            </w:pPr>
          </w:p>
        </w:tc>
      </w:tr>
    </w:tbl>
    <w:p w14:paraId="186ED36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0B1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16C542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CC46940">
            <w:pPr>
              <w:spacing w:line="240" w:lineRule="atLeast"/>
              <w:rPr>
                <w:rFonts w:asciiTheme="majorEastAsia" w:hAnsiTheme="majorEastAsia" w:eastAsiaTheme="majorEastAsia" w:cstheme="majorEastAsia"/>
                <w:spacing w:val="-20"/>
                <w:sz w:val="20"/>
                <w:szCs w:val="20"/>
              </w:rPr>
            </w:pPr>
          </w:p>
          <w:p w14:paraId="07201C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1118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4A8E1C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692E0F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207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4167400">
            <w:pPr>
              <w:spacing w:line="240" w:lineRule="atLeast"/>
              <w:jc w:val="left"/>
              <w:rPr>
                <w:rFonts w:ascii="仿宋_GB2312" w:hAnsi="仿宋_GB2312" w:eastAsia="仿宋_GB2312" w:cs="仿宋_GB2312"/>
                <w:sz w:val="20"/>
                <w:szCs w:val="20"/>
              </w:rPr>
            </w:pPr>
          </w:p>
        </w:tc>
        <w:tc>
          <w:tcPr>
            <w:tcW w:w="555" w:type="dxa"/>
            <w:vMerge w:val="continue"/>
          </w:tcPr>
          <w:p w14:paraId="57B734A7">
            <w:pPr>
              <w:spacing w:line="240" w:lineRule="atLeast"/>
              <w:jc w:val="left"/>
              <w:rPr>
                <w:rFonts w:ascii="仿宋_GB2312" w:hAnsi="仿宋_GB2312" w:eastAsia="仿宋_GB2312" w:cs="仿宋_GB2312"/>
                <w:sz w:val="20"/>
                <w:szCs w:val="20"/>
              </w:rPr>
            </w:pPr>
          </w:p>
        </w:tc>
        <w:tc>
          <w:tcPr>
            <w:tcW w:w="784" w:type="dxa"/>
            <w:vAlign w:val="center"/>
          </w:tcPr>
          <w:p w14:paraId="7FEC08C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333DEB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969C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1B6BCA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37BCF2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FCDE7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17CD77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7EBB7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5DC0A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B759E51">
            <w:pPr>
              <w:spacing w:line="240" w:lineRule="atLeast"/>
              <w:jc w:val="left"/>
              <w:rPr>
                <w:rFonts w:ascii="仿宋_GB2312" w:hAnsi="仿宋_GB2312" w:eastAsia="仿宋_GB2312" w:cs="仿宋_GB2312"/>
                <w:sz w:val="20"/>
                <w:szCs w:val="20"/>
              </w:rPr>
            </w:pPr>
          </w:p>
        </w:tc>
      </w:tr>
      <w:tr w14:paraId="7EE9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B0C09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216</w:t>
            </w:r>
          </w:p>
        </w:tc>
        <w:tc>
          <w:tcPr>
            <w:tcW w:w="555" w:type="dxa"/>
            <w:vAlign w:val="center"/>
          </w:tcPr>
          <w:p w14:paraId="5D0F759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DCEBFC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农村集体经济组织收回土地使用权的审核</w:t>
            </w:r>
          </w:p>
        </w:tc>
        <w:tc>
          <w:tcPr>
            <w:tcW w:w="660" w:type="dxa"/>
            <w:vAlign w:val="center"/>
          </w:tcPr>
          <w:p w14:paraId="6CB0F8EE">
            <w:pPr>
              <w:snapToGrid w:val="0"/>
              <w:spacing w:line="240" w:lineRule="atLeast"/>
              <w:jc w:val="center"/>
              <w:rPr>
                <w:rFonts w:ascii="仿宋_GB2312" w:hAnsi="仿宋_GB2312" w:eastAsia="仿宋_GB2312" w:cs="仿宋_GB2312"/>
                <w:sz w:val="20"/>
                <w:szCs w:val="20"/>
              </w:rPr>
            </w:pPr>
          </w:p>
        </w:tc>
        <w:tc>
          <w:tcPr>
            <w:tcW w:w="615" w:type="dxa"/>
            <w:vAlign w:val="center"/>
          </w:tcPr>
          <w:p w14:paraId="7A0349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66467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663960C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【法律】《中华人民共和国土地管理法》第六十六条：有下列情形之一的，农村集体经济组织报经原批准用地的人民政府批准，可以收回土地使用权：</w:t>
            </w:r>
          </w:p>
          <w:p w14:paraId="112DBE2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（一）为乡（镇）村公共设施和公益事业建设，需要使用土地的；</w:t>
            </w:r>
          </w:p>
          <w:p w14:paraId="46F02B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（二）不按照批准的用途使用土地的；</w:t>
            </w:r>
          </w:p>
          <w:p w14:paraId="5B194BA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（三）因撤销、迁移等原因而停止使用土地的。</w:t>
            </w:r>
          </w:p>
          <w:p w14:paraId="1C8DC82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依照前款第（一）项规定收回农民集体所有的土地的，对土地使用权人应当给予适当补偿。</w:t>
            </w:r>
          </w:p>
          <w:p w14:paraId="0E7DA4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收回集体经营性建设用地使用权，依照双方签订的书面合同办理，法律、行政法规另有规定的除外。</w:t>
            </w:r>
          </w:p>
        </w:tc>
        <w:tc>
          <w:tcPr>
            <w:tcW w:w="3585" w:type="dxa"/>
            <w:vAlign w:val="center"/>
          </w:tcPr>
          <w:p w14:paraId="6BF7DFF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1.受理阶段责任：公示依法应当提交的材料；一次性告知补正材料；依法受理或不予受理（不予受理应当告知理由）</w:t>
            </w:r>
          </w:p>
          <w:p w14:paraId="581D1E5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2.审查阶段责任：对材料进行审核；提出初审意见。</w:t>
            </w:r>
          </w:p>
          <w:p w14:paraId="131F1FD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3.决定阶段责任：作出核准决定（不予核准的应当告知理由）；按时办结；法定告知。</w:t>
            </w:r>
          </w:p>
          <w:p w14:paraId="2B1A56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4．送达阶段责任：告知审核结果并公开信息。</w:t>
            </w:r>
          </w:p>
          <w:p w14:paraId="4FD97B3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5．事后监管阶段责任：接受监督，及时处理反馈信息。</w:t>
            </w:r>
          </w:p>
          <w:p w14:paraId="37ADFD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544105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033AE8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DAF1B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BE91F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251F05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59C257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65B3DD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0739FCA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3F87DB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098F1B48">
            <w:pPr>
              <w:snapToGrid w:val="0"/>
              <w:spacing w:line="240" w:lineRule="atLeast"/>
              <w:jc w:val="center"/>
              <w:rPr>
                <w:rFonts w:ascii="仿宋_GB2312" w:hAnsi="仿宋_GB2312" w:eastAsia="仿宋_GB2312" w:cs="仿宋_GB2312"/>
                <w:sz w:val="20"/>
                <w:szCs w:val="20"/>
              </w:rPr>
            </w:pPr>
          </w:p>
        </w:tc>
      </w:tr>
    </w:tbl>
    <w:p w14:paraId="320AEF8D"/>
    <w:p w14:paraId="3055E58D"/>
    <w:p w14:paraId="3C98CEE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7F0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FF08BC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8B935FE">
            <w:pPr>
              <w:spacing w:line="240" w:lineRule="atLeast"/>
              <w:rPr>
                <w:rFonts w:asciiTheme="majorEastAsia" w:hAnsiTheme="majorEastAsia" w:eastAsiaTheme="majorEastAsia" w:cstheme="majorEastAsia"/>
                <w:spacing w:val="-20"/>
                <w:sz w:val="20"/>
                <w:szCs w:val="20"/>
              </w:rPr>
            </w:pPr>
          </w:p>
          <w:p w14:paraId="653AB99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2B6712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E8BB68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EAE94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1BF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DD6BAB">
            <w:pPr>
              <w:spacing w:line="240" w:lineRule="atLeast"/>
              <w:jc w:val="left"/>
              <w:rPr>
                <w:rFonts w:ascii="仿宋_GB2312" w:hAnsi="仿宋_GB2312" w:eastAsia="仿宋_GB2312" w:cs="仿宋_GB2312"/>
                <w:sz w:val="20"/>
                <w:szCs w:val="20"/>
              </w:rPr>
            </w:pPr>
          </w:p>
        </w:tc>
        <w:tc>
          <w:tcPr>
            <w:tcW w:w="555" w:type="dxa"/>
            <w:vMerge w:val="continue"/>
          </w:tcPr>
          <w:p w14:paraId="6C8134E8">
            <w:pPr>
              <w:spacing w:line="240" w:lineRule="atLeast"/>
              <w:jc w:val="left"/>
              <w:rPr>
                <w:rFonts w:ascii="仿宋_GB2312" w:hAnsi="仿宋_GB2312" w:eastAsia="仿宋_GB2312" w:cs="仿宋_GB2312"/>
                <w:sz w:val="20"/>
                <w:szCs w:val="20"/>
              </w:rPr>
            </w:pPr>
          </w:p>
        </w:tc>
        <w:tc>
          <w:tcPr>
            <w:tcW w:w="784" w:type="dxa"/>
            <w:vAlign w:val="center"/>
          </w:tcPr>
          <w:p w14:paraId="4E62CCF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2864B5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8CFA58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0FA0CC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25DD87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5AE59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C0A3C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7064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05C6E7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CF82365">
            <w:pPr>
              <w:spacing w:line="240" w:lineRule="atLeast"/>
              <w:jc w:val="left"/>
              <w:rPr>
                <w:rFonts w:ascii="仿宋_GB2312" w:hAnsi="仿宋_GB2312" w:eastAsia="仿宋_GB2312" w:cs="仿宋_GB2312"/>
                <w:sz w:val="20"/>
                <w:szCs w:val="20"/>
              </w:rPr>
            </w:pPr>
          </w:p>
        </w:tc>
      </w:tr>
      <w:tr w14:paraId="1DCE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F5968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217</w:t>
            </w:r>
          </w:p>
        </w:tc>
        <w:tc>
          <w:tcPr>
            <w:tcW w:w="555" w:type="dxa"/>
            <w:vAlign w:val="center"/>
          </w:tcPr>
          <w:p w14:paraId="189E234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1D42540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建立相对独立的平面坐标系统审批（属于由自然资源部审批外其他情形的）初审</w:t>
            </w:r>
          </w:p>
        </w:tc>
        <w:tc>
          <w:tcPr>
            <w:tcW w:w="660" w:type="dxa"/>
            <w:vAlign w:val="center"/>
          </w:tcPr>
          <w:p w14:paraId="4381D4F7">
            <w:pPr>
              <w:snapToGrid w:val="0"/>
              <w:spacing w:line="240" w:lineRule="atLeast"/>
              <w:jc w:val="center"/>
              <w:rPr>
                <w:rFonts w:ascii="仿宋_GB2312" w:hAnsi="仿宋_GB2312" w:eastAsia="仿宋_GB2312" w:cs="仿宋_GB2312"/>
                <w:sz w:val="20"/>
                <w:szCs w:val="20"/>
              </w:rPr>
            </w:pPr>
          </w:p>
        </w:tc>
        <w:tc>
          <w:tcPr>
            <w:tcW w:w="615" w:type="dxa"/>
            <w:vAlign w:val="center"/>
          </w:tcPr>
          <w:p w14:paraId="63897F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3CE71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171D889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十一条：因建设、城市规划和科学研究的需要，国家重大工程项目和国务院确定的大城市确需建立相对独立的平面坐标系统的，由国务院测绘地理信息主管部门批准；其他确需建立相对独立的平面坐标系统的，由省、自治区、直辖市人民政府测绘地理信息主管部门批准。建立相对独立的平面坐标系统，应当与国家坐标系统相联系。</w:t>
            </w:r>
          </w:p>
          <w:p w14:paraId="3192C73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2.【地方性法规】《广西壮族自治区测绘管理条例》（1995年自治区第八届人民代表大会常务委员会第14次会议通过，2019年第二次修订）第三十八条第二款 ：因建设、城市规划和科学研究的需要，中等城市和自治区重点工程项目确需建立相对独立的平面坐标系统的，由自治区人民政府测绘地理信息主管部门批准；其他城镇和建设工程项目确需建立相对独立的平面坐标系统的，应当经设区的市人民政府测绘地理信息主管部门审核后，报自治区人民政府测绘地理信息主管部门批准。</w:t>
            </w:r>
          </w:p>
          <w:p w14:paraId="4AE2C8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3.【规范性文件】《建立相对独立的平面坐标系统管理办法》（国测法字〔2006〕5号）第六条第一款 ：城市确需建立相对独立的平面坐标系统的，由申请单位向该城市的测绘行政主管部门提交申请材料，经测绘行政主管部门审核并报该市人民政府同意后，逐级报省级测绘行政主管部门；直辖市确需建立相对独立的平面坐标系统的，由申请单位向该市的测绘行政主管部门提交申请材料，经测绘行政主管部门审核并报该市人民政府同意后，报国家测绘局；其他需要建立相对独立的平面坐标系统的，由建设单位向拟建相对独立的平面坐标系统所涉及的省级测绘行政主管部门提交申请材料。</w:t>
            </w:r>
          </w:p>
        </w:tc>
        <w:tc>
          <w:tcPr>
            <w:tcW w:w="3585" w:type="dxa"/>
            <w:vAlign w:val="center"/>
          </w:tcPr>
          <w:p w14:paraId="1291D3F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1.受理责任：公示“建立相对独立的平面坐标系统初审”行政许可需要提交的全部材料的目录，自收到申请材料5个工作日内作出不予受理、补正材料或者予以受理的决定。</w:t>
            </w:r>
          </w:p>
          <w:p w14:paraId="4EBB737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2.审查责任：审查申请材料，提出初步审查意见。</w:t>
            </w:r>
          </w:p>
          <w:p w14:paraId="20BABEC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3.转报责任：将申请材料和初步审查意见报自治区测绘地理信息局审批。</w:t>
            </w:r>
          </w:p>
          <w:p w14:paraId="0373CC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4．监管责任：制定监管计划，依法采取相关处置措施。</w:t>
            </w:r>
          </w:p>
          <w:p w14:paraId="3159499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A70DF7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建立相对独立的平面坐标系统管理办法》（国测法字〔2006〕5号）第七条：申请人应当提交下列申请材料一式四份：（一）《建立相对独立的平面坐标系统申请书》（见附件）；（二）属工程项目的申请人的有效身份证明（复印件）；（三）立项批准文件（复印件）；（四）能够反映建设单位测绘成果及资料档案管理设施和制度的证明文件（复印件）；（五）建立城市相对独立的平面坐标系统的，应当提供该市人民政府同意建立的文件（原件）。第九条： 申请人提交的申请材料齐全、符合规定形式要求的，国家测绘局、省级测绘行政主管部门（以下统称测绘行政主管部门）应当受理其申请，并向申请人出具书面受理通知。申请材料不齐全或者不符合法定形式的，测绘行政主管部门应当当场或者在五日内一次性告知申请人需要补正的全部内容。对不予受理的，必须向申请人书面说明理由，并退回申请材料。</w:t>
            </w:r>
          </w:p>
          <w:p w14:paraId="658C3EA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建立相对独立的平面坐标系统管理办法》（国测法字〔2006〕5号）第十条：测绘行政主管部门受理申请后，应当依法对申请材料进行审查。测绘行政主管部门作出行政许可决定需要听证、检测、鉴定和专家评审的，依法组织实施。</w:t>
            </w:r>
          </w:p>
          <w:p w14:paraId="7C494DC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性法规】《广西壮族自治区测绘管理条例》（1995年自治区第八届人民代表大会常务委员会第14次会议通过，2019年7月25日广西壮族自治区第十三届人民代表大会常务委员会第十次会议第二次修订）第三十八条第二款：因建设、城市规划和科学研究的需要，中等城市和自治区重点工程项目确需建立相对独立的平面坐标系统的，由自治区人民政府测绘地理信息主管部门批准；其他城镇和建设工程项目确需建立相对独立的平面坐标系统的，应当经设区的市人民政府测绘地理信息主管部门审核后，报自治区人民政府测绘地理信息主管部门批准。</w:t>
            </w:r>
          </w:p>
          <w:p w14:paraId="5D52EB7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规范性文件】《建立相对独立的平面坐标系统管理办法》（国测法字〔2006〕5号）第六条第一款：城市确需建立相对独立的平面坐标系统的，由申请单位向该城市的测绘行政主管部门提交申请材料，经测绘行政主管部门审核并报该市人民政府同意后，逐级报省级测绘行政主管部门；直辖市确需建立相对独立的平面坐标系统的，由申请单位向该市的测绘行政主管部门提交申请材料，经测绘行政主管部门审核并报该市人民政府同意后，报国家测绘局；其他需要建立相对独立的平面坐标系统的，由建设单位向拟建相对独立的平面坐标系统所涉及的省级测绘行政主管部门提交申请材料。</w:t>
            </w:r>
          </w:p>
          <w:p w14:paraId="247816E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县级以上地方人民政府测绘地理信息主管部门负责本行政区域测绘工作的统一监督管理。县级以上地方人民政府其他有关部门按照本级人民政府规定的职责分工，负责本部门有关的测绘工作。</w:t>
            </w:r>
          </w:p>
          <w:p w14:paraId="7D2694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260DB423">
            <w:pPr>
              <w:snapToGrid w:val="0"/>
              <w:spacing w:line="240" w:lineRule="atLeast"/>
              <w:jc w:val="center"/>
              <w:rPr>
                <w:rFonts w:ascii="仿宋_GB2312" w:hAnsi="仿宋_GB2312" w:eastAsia="仿宋_GB2312" w:cs="仿宋_GB2312"/>
                <w:sz w:val="20"/>
                <w:szCs w:val="20"/>
              </w:rPr>
            </w:pPr>
          </w:p>
        </w:tc>
      </w:tr>
    </w:tbl>
    <w:p w14:paraId="77E79FF9"/>
    <w:p w14:paraId="09E8ABD7"/>
    <w:p w14:paraId="4FE3E71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AB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E4976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4D7B29">
            <w:pPr>
              <w:spacing w:line="240" w:lineRule="atLeast"/>
              <w:rPr>
                <w:rFonts w:asciiTheme="majorEastAsia" w:hAnsiTheme="majorEastAsia" w:eastAsiaTheme="majorEastAsia" w:cstheme="majorEastAsia"/>
                <w:spacing w:val="-20"/>
                <w:sz w:val="20"/>
                <w:szCs w:val="20"/>
              </w:rPr>
            </w:pPr>
          </w:p>
          <w:p w14:paraId="594CBC9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2EC2A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B50AC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363C14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96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555ABCF">
            <w:pPr>
              <w:spacing w:line="240" w:lineRule="atLeast"/>
              <w:jc w:val="left"/>
              <w:rPr>
                <w:rFonts w:ascii="仿宋_GB2312" w:hAnsi="仿宋_GB2312" w:eastAsia="仿宋_GB2312" w:cs="仿宋_GB2312"/>
                <w:sz w:val="20"/>
                <w:szCs w:val="20"/>
              </w:rPr>
            </w:pPr>
          </w:p>
        </w:tc>
        <w:tc>
          <w:tcPr>
            <w:tcW w:w="555" w:type="dxa"/>
            <w:vMerge w:val="continue"/>
          </w:tcPr>
          <w:p w14:paraId="44B6BE1E">
            <w:pPr>
              <w:spacing w:line="240" w:lineRule="atLeast"/>
              <w:jc w:val="left"/>
              <w:rPr>
                <w:rFonts w:ascii="仿宋_GB2312" w:hAnsi="仿宋_GB2312" w:eastAsia="仿宋_GB2312" w:cs="仿宋_GB2312"/>
                <w:sz w:val="20"/>
                <w:szCs w:val="20"/>
              </w:rPr>
            </w:pPr>
          </w:p>
        </w:tc>
        <w:tc>
          <w:tcPr>
            <w:tcW w:w="784" w:type="dxa"/>
            <w:vAlign w:val="center"/>
          </w:tcPr>
          <w:p w14:paraId="36C08C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59BC27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6D2AB6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FC57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20AC12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CE203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2A7DA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72AEE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1981E3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81DE6D9">
            <w:pPr>
              <w:spacing w:line="240" w:lineRule="atLeast"/>
              <w:jc w:val="left"/>
              <w:rPr>
                <w:rFonts w:ascii="仿宋_GB2312" w:hAnsi="仿宋_GB2312" w:eastAsia="仿宋_GB2312" w:cs="仿宋_GB2312"/>
                <w:sz w:val="20"/>
                <w:szCs w:val="20"/>
              </w:rPr>
            </w:pPr>
          </w:p>
        </w:tc>
      </w:tr>
      <w:tr w14:paraId="05C1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DFD11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218</w:t>
            </w:r>
          </w:p>
        </w:tc>
        <w:tc>
          <w:tcPr>
            <w:tcW w:w="555" w:type="dxa"/>
            <w:vAlign w:val="center"/>
          </w:tcPr>
          <w:p w14:paraId="179E401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0D2EF6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测绘作业证办理</w:t>
            </w:r>
          </w:p>
        </w:tc>
        <w:tc>
          <w:tcPr>
            <w:tcW w:w="660" w:type="dxa"/>
            <w:vAlign w:val="center"/>
          </w:tcPr>
          <w:p w14:paraId="619D3FC3">
            <w:pPr>
              <w:snapToGrid w:val="0"/>
              <w:spacing w:line="240" w:lineRule="atLeast"/>
              <w:jc w:val="center"/>
              <w:rPr>
                <w:rFonts w:ascii="仿宋_GB2312" w:hAnsi="仿宋_GB2312" w:eastAsia="仿宋_GB2312" w:cs="仿宋_GB2312"/>
                <w:sz w:val="20"/>
                <w:szCs w:val="20"/>
              </w:rPr>
            </w:pPr>
          </w:p>
        </w:tc>
        <w:tc>
          <w:tcPr>
            <w:tcW w:w="615" w:type="dxa"/>
            <w:vAlign w:val="center"/>
          </w:tcPr>
          <w:p w14:paraId="23070E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43EC2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5C4A3E5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1.【法律】《中华人民共和国测绘法》第三十一条：测绘人员进行测绘活动时，应当持有测绘作业证件。</w:t>
            </w:r>
          </w:p>
          <w:p w14:paraId="10E2ED8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2.【规范性文件】《测绘作业证管理规定》（国测法字[2004]5号）第二条：测绘外业作业人员和需要持测绘作业证的其他人员（以下简称测绘人员）应当领取测绘作业证。进行外业测绘活动应当持有测绘作业证。</w:t>
            </w:r>
          </w:p>
          <w:p w14:paraId="4A3BA0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条：国家测绘局负责测绘作业证的统一管理工作。省、自治区、直辖市人民政府测绘行政主管部门负责本行政区域内测绘作业证的审核、发放和监督管理工作。省、自治区、直辖市人民政府测绘行政主管部门，可将测绘作业证的受理、审核、发放、注册核准等工作委托市（地）级人民政府测绘行政主管部门承担。</w:t>
            </w:r>
          </w:p>
        </w:tc>
        <w:tc>
          <w:tcPr>
            <w:tcW w:w="3585" w:type="dxa"/>
            <w:vAlign w:val="center"/>
          </w:tcPr>
          <w:p w14:paraId="5D2D61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1.受理责任：告知依法应当提交的材料；一次性告知补正材料；依法受理或不予受理（不予受理应当告知理由）</w:t>
            </w:r>
          </w:p>
          <w:p w14:paraId="768C3D5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2.审查责任：对材料进行审核；提出初审意见。</w:t>
            </w:r>
          </w:p>
          <w:p w14:paraId="314E0C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3.决定责任：作出核准决定（不予核准的应当告知理由）；按时办结；法定告知。</w:t>
            </w:r>
          </w:p>
          <w:p w14:paraId="1CA59DE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4．送达责任：准予发证的，制发证件，送达并信息公开。</w:t>
            </w:r>
          </w:p>
          <w:p w14:paraId="74F0F7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5．事后监管责任：接受监督，及时处理反馈信息。</w:t>
            </w:r>
          </w:p>
          <w:p w14:paraId="008766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5F8605E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规范性文件】《测绘作业证管理规定》（国测法字[2004]5号）第三条：国家测绘局负责测绘作业证的统一管理工作。省、自治区、直辖市人民政府测绘行政主管部门负责本行政区域内测绘作业证的审核、发放和监督管理工作。</w:t>
            </w:r>
          </w:p>
          <w:p w14:paraId="7BD3C0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自治区、直辖市人民政府测绘行政主管部门，可将测绘作业证的受理、审核、发放、注册核准等工作委托市（地）级人民政府测绘行政主管部门承担。第五条：测绘单位申领测绘作业证，应当向单位所在地的省、自治区、直辖市人民政府测绘行政主管部门或者其委托的市（地）级人民政府测绘行政主管部门提出办证申请，并需填写《测绘作业证申请表》和《测绘作业证申请汇总表》。省、自治区、直辖市人民政府测绘行政主管部门或者其委托的市（地）级人民政府测绘行政主管部门应当自收到办证申请，并确认各种报表及各项手续完备之日起三十日内，完成《测绘作业证》的审核发证工作。</w:t>
            </w:r>
          </w:p>
          <w:p w14:paraId="325DAA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测绘作业证由省、自治区、直辖市人民政府测绘行政主管部门或者其委托的市（地）级人民政府测绘行政主管部门负责注册核准。每次注册核准有效期为三年。注册核准有效期满前三十日内，各测绘单位应当将测绘作业证送交单位所在地的省、自治区、直辖市人民政府测绘行政主管部门或者其委托的市（地）级人民政府测绘行政主管部门注册核准。过期不注册核准的测绘作业证无效。</w:t>
            </w:r>
          </w:p>
          <w:p w14:paraId="70C317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第十四条：省、自治区、直辖市人民政府测绘行政主管部门应当明确相应的机构负责测绘作业证的审核、发放和管理工作，应当及时汇总本地区领取测绘作业证情况并于当年12月底以前报国家测绘局。</w:t>
            </w:r>
          </w:p>
          <w:p w14:paraId="3999B3B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6C4DA9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62182CE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4．同1。</w:t>
            </w:r>
          </w:p>
          <w:p w14:paraId="33D0F7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5．【规范性文件】《测绘作业证管理规定》（国测法字[2004]5号）第六条：领证单位必须如实反映领证人员情况，严格执行领证规定，不得 弄虚作假、虚报冒领，并对领证人员的真实情况负责。第七条：测绘人员在下列情况下应当主动出示测绘作业证：（一）进入机关、企业、住宅小区、耕地或者其它地块进行测绘时；（二）使用测量标志时；（三）接受测绘行政主管部门的执法监督检查时；（四）办理与所进行的测绘活动相关的其它事项时。进入保密单位、军事禁区和法律法规规定的需经特殊审批的区域进行测绘活动时，还应当按照规定持有关部门的批准文件。</w:t>
            </w:r>
          </w:p>
        </w:tc>
        <w:tc>
          <w:tcPr>
            <w:tcW w:w="330" w:type="dxa"/>
            <w:vAlign w:val="center"/>
          </w:tcPr>
          <w:p w14:paraId="67AF3691">
            <w:pPr>
              <w:snapToGrid w:val="0"/>
              <w:spacing w:line="240" w:lineRule="atLeast"/>
              <w:jc w:val="center"/>
              <w:rPr>
                <w:rFonts w:ascii="仿宋_GB2312" w:hAnsi="仿宋_GB2312" w:eastAsia="仿宋_GB2312" w:cs="仿宋_GB2312"/>
                <w:sz w:val="20"/>
                <w:szCs w:val="20"/>
              </w:rPr>
            </w:pPr>
          </w:p>
        </w:tc>
      </w:tr>
    </w:tbl>
    <w:p w14:paraId="0DC6C882"/>
    <w:p w14:paraId="1F015550"/>
    <w:p w14:paraId="6B4E89C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480"/>
        <w:gridCol w:w="3750"/>
        <w:gridCol w:w="7475"/>
        <w:gridCol w:w="330"/>
      </w:tblGrid>
      <w:tr w14:paraId="322A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BBDEC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AA830AA">
            <w:pPr>
              <w:spacing w:line="240" w:lineRule="atLeast"/>
              <w:rPr>
                <w:rFonts w:asciiTheme="majorEastAsia" w:hAnsiTheme="majorEastAsia" w:eastAsiaTheme="majorEastAsia" w:cstheme="majorEastAsia"/>
                <w:spacing w:val="-20"/>
                <w:sz w:val="20"/>
                <w:szCs w:val="20"/>
              </w:rPr>
            </w:pPr>
          </w:p>
          <w:p w14:paraId="6BCFAA2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649" w:type="dxa"/>
            <w:gridSpan w:val="5"/>
            <w:vAlign w:val="center"/>
          </w:tcPr>
          <w:p w14:paraId="6D7B37B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225" w:type="dxa"/>
            <w:gridSpan w:val="2"/>
            <w:vAlign w:val="center"/>
          </w:tcPr>
          <w:p w14:paraId="0A1271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702402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B17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84ADD5">
            <w:pPr>
              <w:spacing w:line="240" w:lineRule="atLeast"/>
              <w:jc w:val="left"/>
              <w:rPr>
                <w:rFonts w:ascii="仿宋_GB2312" w:hAnsi="仿宋_GB2312" w:eastAsia="仿宋_GB2312" w:cs="仿宋_GB2312"/>
                <w:sz w:val="20"/>
                <w:szCs w:val="20"/>
              </w:rPr>
            </w:pPr>
          </w:p>
        </w:tc>
        <w:tc>
          <w:tcPr>
            <w:tcW w:w="555" w:type="dxa"/>
            <w:vMerge w:val="continue"/>
          </w:tcPr>
          <w:p w14:paraId="0B9F0616">
            <w:pPr>
              <w:spacing w:line="240" w:lineRule="atLeast"/>
              <w:jc w:val="left"/>
              <w:rPr>
                <w:rFonts w:ascii="仿宋_GB2312" w:hAnsi="仿宋_GB2312" w:eastAsia="仿宋_GB2312" w:cs="仿宋_GB2312"/>
                <w:sz w:val="20"/>
                <w:szCs w:val="20"/>
              </w:rPr>
            </w:pPr>
          </w:p>
        </w:tc>
        <w:tc>
          <w:tcPr>
            <w:tcW w:w="784" w:type="dxa"/>
            <w:vAlign w:val="center"/>
          </w:tcPr>
          <w:p w14:paraId="7CA2BFE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FA7D17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DD68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5EDBA4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BFC692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480" w:type="dxa"/>
            <w:vAlign w:val="center"/>
          </w:tcPr>
          <w:p w14:paraId="44E802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50" w:type="dxa"/>
            <w:vAlign w:val="center"/>
          </w:tcPr>
          <w:p w14:paraId="3D358D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72F33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475" w:type="dxa"/>
            <w:vAlign w:val="center"/>
          </w:tcPr>
          <w:p w14:paraId="0A37CF8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D8E1D2C">
            <w:pPr>
              <w:spacing w:line="240" w:lineRule="atLeast"/>
              <w:jc w:val="left"/>
              <w:rPr>
                <w:rFonts w:ascii="仿宋_GB2312" w:hAnsi="仿宋_GB2312" w:eastAsia="仿宋_GB2312" w:cs="仿宋_GB2312"/>
                <w:sz w:val="20"/>
                <w:szCs w:val="20"/>
              </w:rPr>
            </w:pPr>
          </w:p>
        </w:tc>
      </w:tr>
      <w:tr w14:paraId="5AB5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7" w:hRule="atLeast"/>
        </w:trPr>
        <w:tc>
          <w:tcPr>
            <w:tcW w:w="611" w:type="dxa"/>
            <w:vAlign w:val="center"/>
          </w:tcPr>
          <w:p w14:paraId="044F1E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219</w:t>
            </w:r>
          </w:p>
        </w:tc>
        <w:tc>
          <w:tcPr>
            <w:tcW w:w="555" w:type="dxa"/>
            <w:vAlign w:val="center"/>
          </w:tcPr>
          <w:p w14:paraId="4758F2B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71F1E1F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矿山地质环境保护与土地复垦方案审查</w:t>
            </w:r>
          </w:p>
        </w:tc>
        <w:tc>
          <w:tcPr>
            <w:tcW w:w="660" w:type="dxa"/>
            <w:vAlign w:val="center"/>
          </w:tcPr>
          <w:p w14:paraId="13AC9690">
            <w:pPr>
              <w:snapToGrid w:val="0"/>
              <w:spacing w:line="240" w:lineRule="atLeast"/>
              <w:jc w:val="center"/>
              <w:rPr>
                <w:rFonts w:ascii="仿宋_GB2312" w:hAnsi="仿宋_GB2312" w:eastAsia="仿宋_GB2312" w:cs="仿宋_GB2312"/>
                <w:sz w:val="20"/>
                <w:szCs w:val="20"/>
              </w:rPr>
            </w:pPr>
          </w:p>
        </w:tc>
        <w:tc>
          <w:tcPr>
            <w:tcW w:w="615" w:type="dxa"/>
            <w:vAlign w:val="center"/>
          </w:tcPr>
          <w:p w14:paraId="6D4A76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FDE85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6480" w:type="dxa"/>
            <w:vAlign w:val="center"/>
          </w:tcPr>
          <w:p w14:paraId="3C03DE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p w14:paraId="73BA586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第二十一条：关闭矿山，必须提出矿山闭坑报告及有关采掘工程、</w:t>
            </w:r>
            <w:bookmarkStart w:id="0" w:name="_GoBack"/>
            <w:bookmarkEnd w:id="0"/>
            <w:r>
              <w:rPr>
                <w:rFonts w:hint="eastAsia" w:eastAsia="仿宋_GB2312"/>
                <w:snapToGrid w:val="0"/>
                <w:color w:val="000000"/>
                <w:sz w:val="20"/>
                <w:szCs w:val="20"/>
                <w:lang w:eastAsia="zh-CN"/>
              </w:rPr>
              <w:t>安全隐患</w:t>
            </w:r>
            <w:r>
              <w:rPr>
                <w:rFonts w:hint="eastAsia" w:eastAsia="仿宋_GB2312"/>
                <w:snapToGrid w:val="0"/>
                <w:color w:val="000000"/>
                <w:sz w:val="20"/>
                <w:szCs w:val="20"/>
              </w:rPr>
              <w:t>、土地复垦利用、环境保护的资料，并按照国家规定报请审查批准。</w:t>
            </w:r>
          </w:p>
          <w:p w14:paraId="1B8A65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2.【行政法规】《土地复垦条例》（2011年国务院令第592号公布施行）第十一条：土地复垦义务人应当按照土地复垦标准和国务院国土资源主管部门的规定编制土地复垦方案。</w:t>
            </w:r>
          </w:p>
          <w:p w14:paraId="443984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矿山地质环境保护规定》（2009年国土资源部令第44号发布，2019年自然资源部令第5号修正）第十二条第一款：采矿权申请人申请办理采矿许可证时，应当编制矿山地质环境保护与土地复垦方案，报有批准权的自然资源主管部门批准。</w:t>
            </w:r>
          </w:p>
          <w:p w14:paraId="2CB07CB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4．【规范性文件】《国土资源部办公厅关于做好矿山地质环境保护与土地复垦方案编报有关工作的通知》（国土资规〔2016〕21号）第一条：</w:t>
            </w:r>
          </w:p>
          <w:p w14:paraId="1C3B353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总体要求：实施矿山企业矿山地质环境保护与治理恢复方案和土地复垦方案合并编报制度。矿山企业不再单独编制矿山地质环境保护与治理恢复方案、土地复垦方案。</w:t>
            </w:r>
          </w:p>
        </w:tc>
        <w:tc>
          <w:tcPr>
            <w:tcW w:w="3750" w:type="dxa"/>
            <w:vAlign w:val="center"/>
          </w:tcPr>
          <w:p w14:paraId="34F9D21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申请备案《矿山地质环境保护与土地复垦方案》事项是否属于本厅职权范围；是否在法律、法规规定的期限内提出；提出申请的条件、标准、审核申请材料是否齐全并符合法定形式；申请矿山企业是否具备申请条件，决定是否受理。</w:t>
            </w:r>
          </w:p>
          <w:p w14:paraId="7953488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2.审核责任：按照办理条件和标准，对符合条件的，提出同意的查意见；对不符合条件的，提出不同意意见及理由。</w:t>
            </w:r>
          </w:p>
          <w:p w14:paraId="33863F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3.决定责任：对准许备案《矿山地质环境保护与土地复垦方案》的矿山企业，出具同意备案的书面文书。</w:t>
            </w:r>
          </w:p>
          <w:p w14:paraId="4E4DCE8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7475" w:type="dxa"/>
            <w:vAlign w:val="center"/>
          </w:tcPr>
          <w:p w14:paraId="4A3D0A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1..【部门规章】《矿山地质环境保护规定》（2009年国土资源部令第44号发布，2019年自然资源部令第5号修正）第十二条第一款 ： 采矿权申请人申请办理采矿许可证时，应当编制矿山地质环境保护与土地复垦方案，报有批准权的自然资源主管部门批准。</w:t>
            </w:r>
          </w:p>
          <w:p w14:paraId="48D122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广西壮族自治区国土资源厅关于印发广西矿山地质环境保护与土地复垦方案编制技术要求的通知》（桂国土资规〔2017〕4号）二、方案审查要求（四）方案审查实行专家现场核查与内业审查相结合的评审方式，在会议审查前由评审机构（评审单位）排除有关专业的审查专家会同矿山当地国土资源管理部门共同对矿山现场进行核查，核查报告内容及矿山现场地质环境条件，方案有关地质环境治理恢复内容可靠性和可行性。</w:t>
            </w:r>
          </w:p>
          <w:p w14:paraId="6239F90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tc>
        <w:tc>
          <w:tcPr>
            <w:tcW w:w="330" w:type="dxa"/>
            <w:vAlign w:val="center"/>
          </w:tcPr>
          <w:p w14:paraId="49D2A050">
            <w:pPr>
              <w:snapToGrid w:val="0"/>
              <w:spacing w:line="240" w:lineRule="atLeast"/>
              <w:jc w:val="center"/>
              <w:rPr>
                <w:rFonts w:ascii="仿宋_GB2312" w:hAnsi="仿宋_GB2312" w:eastAsia="仿宋_GB2312" w:cs="仿宋_GB2312"/>
                <w:sz w:val="20"/>
                <w:szCs w:val="20"/>
              </w:rPr>
            </w:pPr>
          </w:p>
        </w:tc>
      </w:tr>
    </w:tbl>
    <w:p w14:paraId="07C528CE"/>
    <w:p w14:paraId="5DC7BB42"/>
    <w:p w14:paraId="600858B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450"/>
        <w:gridCol w:w="3795"/>
        <w:gridCol w:w="7460"/>
        <w:gridCol w:w="330"/>
      </w:tblGrid>
      <w:tr w14:paraId="71D3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D225EC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381CBC7">
            <w:pPr>
              <w:spacing w:line="240" w:lineRule="atLeast"/>
              <w:rPr>
                <w:rFonts w:asciiTheme="majorEastAsia" w:hAnsiTheme="majorEastAsia" w:eastAsiaTheme="majorEastAsia" w:cstheme="majorEastAsia"/>
                <w:spacing w:val="-20"/>
                <w:sz w:val="20"/>
                <w:szCs w:val="20"/>
              </w:rPr>
            </w:pPr>
          </w:p>
          <w:p w14:paraId="341F311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619" w:type="dxa"/>
            <w:gridSpan w:val="5"/>
            <w:vAlign w:val="center"/>
          </w:tcPr>
          <w:p w14:paraId="5BBDC76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255" w:type="dxa"/>
            <w:gridSpan w:val="2"/>
            <w:vAlign w:val="center"/>
          </w:tcPr>
          <w:p w14:paraId="567F49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B142DE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5C4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CEFEE86">
            <w:pPr>
              <w:spacing w:line="240" w:lineRule="atLeast"/>
              <w:jc w:val="left"/>
              <w:rPr>
                <w:rFonts w:ascii="仿宋_GB2312" w:hAnsi="仿宋_GB2312" w:eastAsia="仿宋_GB2312" w:cs="仿宋_GB2312"/>
                <w:sz w:val="20"/>
                <w:szCs w:val="20"/>
              </w:rPr>
            </w:pPr>
          </w:p>
        </w:tc>
        <w:tc>
          <w:tcPr>
            <w:tcW w:w="555" w:type="dxa"/>
            <w:vMerge w:val="continue"/>
          </w:tcPr>
          <w:p w14:paraId="284EA801">
            <w:pPr>
              <w:spacing w:line="240" w:lineRule="atLeast"/>
              <w:jc w:val="left"/>
              <w:rPr>
                <w:rFonts w:ascii="仿宋_GB2312" w:hAnsi="仿宋_GB2312" w:eastAsia="仿宋_GB2312" w:cs="仿宋_GB2312"/>
                <w:sz w:val="20"/>
                <w:szCs w:val="20"/>
              </w:rPr>
            </w:pPr>
          </w:p>
        </w:tc>
        <w:tc>
          <w:tcPr>
            <w:tcW w:w="784" w:type="dxa"/>
            <w:vAlign w:val="center"/>
          </w:tcPr>
          <w:p w14:paraId="075611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242C0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6B4213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DFB811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190E32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450" w:type="dxa"/>
            <w:vAlign w:val="center"/>
          </w:tcPr>
          <w:p w14:paraId="1F1F6C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95" w:type="dxa"/>
            <w:vAlign w:val="center"/>
          </w:tcPr>
          <w:p w14:paraId="66B78D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95DA7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460" w:type="dxa"/>
            <w:vAlign w:val="center"/>
          </w:tcPr>
          <w:p w14:paraId="52E55E1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60D214">
            <w:pPr>
              <w:spacing w:line="240" w:lineRule="atLeast"/>
              <w:jc w:val="left"/>
              <w:rPr>
                <w:rFonts w:ascii="仿宋_GB2312" w:hAnsi="仿宋_GB2312" w:eastAsia="仿宋_GB2312" w:cs="仿宋_GB2312"/>
                <w:sz w:val="20"/>
                <w:szCs w:val="20"/>
              </w:rPr>
            </w:pPr>
          </w:p>
        </w:tc>
      </w:tr>
      <w:tr w14:paraId="7394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2" w:hRule="atLeast"/>
        </w:trPr>
        <w:tc>
          <w:tcPr>
            <w:tcW w:w="611" w:type="dxa"/>
            <w:vAlign w:val="center"/>
          </w:tcPr>
          <w:p w14:paraId="160020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220</w:t>
            </w:r>
          </w:p>
        </w:tc>
        <w:tc>
          <w:tcPr>
            <w:tcW w:w="555" w:type="dxa"/>
            <w:vAlign w:val="center"/>
          </w:tcPr>
          <w:p w14:paraId="72DABED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6D461CB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收回国有土地使用权</w:t>
            </w:r>
          </w:p>
        </w:tc>
        <w:tc>
          <w:tcPr>
            <w:tcW w:w="660" w:type="dxa"/>
            <w:vAlign w:val="center"/>
          </w:tcPr>
          <w:p w14:paraId="2CFA304B">
            <w:pPr>
              <w:snapToGrid w:val="0"/>
              <w:spacing w:line="240" w:lineRule="atLeast"/>
              <w:jc w:val="center"/>
              <w:rPr>
                <w:rFonts w:ascii="仿宋_GB2312" w:hAnsi="仿宋_GB2312" w:eastAsia="仿宋_GB2312" w:cs="仿宋_GB2312"/>
                <w:sz w:val="20"/>
                <w:szCs w:val="20"/>
              </w:rPr>
            </w:pPr>
          </w:p>
        </w:tc>
        <w:tc>
          <w:tcPr>
            <w:tcW w:w="615" w:type="dxa"/>
            <w:vAlign w:val="center"/>
          </w:tcPr>
          <w:p w14:paraId="05CBE7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90EE4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450" w:type="dxa"/>
            <w:vAlign w:val="center"/>
          </w:tcPr>
          <w:p w14:paraId="28C3C8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【法律】《中华人民共和国土地管理法》第五十八条：有下列情形之一的，由有关人民政府自然资源主管部门报经原批准用地的人民政府或者有批准权的人民政府批准，可以收回国有土地使用权：</w:t>
            </w:r>
          </w:p>
          <w:p w14:paraId="45CC8F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（一）为实施城市规划进行旧城区改建以及其他公共利益需要，确需使用土地的；</w:t>
            </w:r>
          </w:p>
          <w:p w14:paraId="0A598B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（二）土地出让等有偿使用合同约定的使用期限届满，土地使用者未申请续期或者申请续期未获批准的；</w:t>
            </w:r>
          </w:p>
          <w:p w14:paraId="4FDB836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（三）因单位撤销、迁移等原因，停止使用原划拨的国有土地的；</w:t>
            </w:r>
          </w:p>
          <w:p w14:paraId="7D8D0E1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（四）公路、铁路、机场、矿场等经核准报废的。</w:t>
            </w:r>
          </w:p>
          <w:p w14:paraId="58C8543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依照前款第（一）项的规定收回国有土地使用权的，对土地使用权人应当给予适当补偿。</w:t>
            </w:r>
          </w:p>
        </w:tc>
        <w:tc>
          <w:tcPr>
            <w:tcW w:w="3795" w:type="dxa"/>
            <w:vAlign w:val="center"/>
          </w:tcPr>
          <w:p w14:paraId="44710BB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47CD93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2.审查责任：按照政策规定对书面材料进行审查，提出是否同意的初步意见；</w:t>
            </w:r>
          </w:p>
          <w:p w14:paraId="6A38025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63314B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7460" w:type="dxa"/>
            <w:vAlign w:val="center"/>
          </w:tcPr>
          <w:p w14:paraId="79EED07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33792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3185E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47180A7F">
            <w:pPr>
              <w:snapToGrid w:val="0"/>
              <w:spacing w:line="240" w:lineRule="atLeast"/>
              <w:jc w:val="center"/>
              <w:rPr>
                <w:rFonts w:ascii="仿宋_GB2312" w:hAnsi="仿宋_GB2312" w:eastAsia="仿宋_GB2312" w:cs="仿宋_GB2312"/>
                <w:sz w:val="20"/>
                <w:szCs w:val="20"/>
              </w:rPr>
            </w:pPr>
          </w:p>
        </w:tc>
      </w:tr>
    </w:tbl>
    <w:p w14:paraId="3DEAB07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1EA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8C1CA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17094A">
            <w:pPr>
              <w:spacing w:line="240" w:lineRule="atLeast"/>
              <w:rPr>
                <w:rFonts w:asciiTheme="majorEastAsia" w:hAnsiTheme="majorEastAsia" w:eastAsiaTheme="majorEastAsia" w:cstheme="majorEastAsia"/>
                <w:spacing w:val="-20"/>
                <w:sz w:val="20"/>
                <w:szCs w:val="20"/>
              </w:rPr>
            </w:pPr>
          </w:p>
          <w:p w14:paraId="78DC2CD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C5C18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99EC0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F5DB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FE2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2D92BFF">
            <w:pPr>
              <w:spacing w:line="240" w:lineRule="atLeast"/>
              <w:jc w:val="left"/>
              <w:rPr>
                <w:rFonts w:ascii="仿宋_GB2312" w:hAnsi="仿宋_GB2312" w:eastAsia="仿宋_GB2312" w:cs="仿宋_GB2312"/>
                <w:sz w:val="20"/>
                <w:szCs w:val="20"/>
              </w:rPr>
            </w:pPr>
          </w:p>
        </w:tc>
        <w:tc>
          <w:tcPr>
            <w:tcW w:w="555" w:type="dxa"/>
            <w:vMerge w:val="continue"/>
          </w:tcPr>
          <w:p w14:paraId="169A2C81">
            <w:pPr>
              <w:spacing w:line="240" w:lineRule="atLeast"/>
              <w:jc w:val="left"/>
              <w:rPr>
                <w:rFonts w:ascii="仿宋_GB2312" w:hAnsi="仿宋_GB2312" w:eastAsia="仿宋_GB2312" w:cs="仿宋_GB2312"/>
                <w:sz w:val="20"/>
                <w:szCs w:val="20"/>
              </w:rPr>
            </w:pPr>
          </w:p>
        </w:tc>
        <w:tc>
          <w:tcPr>
            <w:tcW w:w="784" w:type="dxa"/>
            <w:vAlign w:val="center"/>
          </w:tcPr>
          <w:p w14:paraId="6E6A297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3482D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BDC76B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B820C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D6CAFE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1D692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4877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BD143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8650D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DB83945">
            <w:pPr>
              <w:spacing w:line="240" w:lineRule="atLeast"/>
              <w:jc w:val="left"/>
              <w:rPr>
                <w:rFonts w:ascii="仿宋_GB2312" w:hAnsi="仿宋_GB2312" w:eastAsia="仿宋_GB2312" w:cs="仿宋_GB2312"/>
                <w:sz w:val="20"/>
                <w:szCs w:val="20"/>
              </w:rPr>
            </w:pPr>
          </w:p>
        </w:tc>
      </w:tr>
      <w:tr w14:paraId="5118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D6D4D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221</w:t>
            </w:r>
          </w:p>
        </w:tc>
        <w:tc>
          <w:tcPr>
            <w:tcW w:w="555" w:type="dxa"/>
            <w:vAlign w:val="center"/>
          </w:tcPr>
          <w:p w14:paraId="2896B44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528D4A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测绘项目备案</w:t>
            </w:r>
          </w:p>
        </w:tc>
        <w:tc>
          <w:tcPr>
            <w:tcW w:w="660" w:type="dxa"/>
            <w:vAlign w:val="center"/>
          </w:tcPr>
          <w:p w14:paraId="2D38CC46">
            <w:pPr>
              <w:snapToGrid w:val="0"/>
              <w:spacing w:line="240" w:lineRule="atLeast"/>
              <w:jc w:val="center"/>
              <w:rPr>
                <w:rFonts w:ascii="仿宋_GB2312" w:hAnsi="仿宋_GB2312" w:eastAsia="仿宋_GB2312" w:cs="仿宋_GB2312"/>
                <w:sz w:val="20"/>
                <w:szCs w:val="20"/>
              </w:rPr>
            </w:pPr>
          </w:p>
        </w:tc>
        <w:tc>
          <w:tcPr>
            <w:tcW w:w="615" w:type="dxa"/>
            <w:vAlign w:val="center"/>
          </w:tcPr>
          <w:p w14:paraId="13854D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04414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行政审批办公室、测绘地理信息管理科</w:t>
            </w:r>
          </w:p>
        </w:tc>
        <w:tc>
          <w:tcPr>
            <w:tcW w:w="4605" w:type="dxa"/>
            <w:vAlign w:val="center"/>
          </w:tcPr>
          <w:p w14:paraId="1B91141D">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八条：使用财政资金或者所在地为国界线本自治区一侧两千米范围内的测绘项目，测绘单位应当在实施该项目前，向项目所在地县级以上人民政府测绘地理信息主管部门备案。</w:t>
            </w:r>
          </w:p>
          <w:p w14:paraId="0CA4B6A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任何单位和个人在国界线本自治区一侧两千米范围内开展测绘活动的，应当在实施前向当地公安机关报告，并服从当地公安机关的管理。</w:t>
            </w:r>
          </w:p>
        </w:tc>
        <w:tc>
          <w:tcPr>
            <w:tcW w:w="3585" w:type="dxa"/>
            <w:vAlign w:val="center"/>
          </w:tcPr>
          <w:p w14:paraId="6CD5C81D">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1.受理责任：公示测绘项目备案需要提交的全部材料的目录，作出不予备案、补正材料或者准予备案的决定。</w:t>
            </w:r>
          </w:p>
          <w:p w14:paraId="1E4D9B61">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2.审核责任：依法对申请材料进行审查，提出审查意见。</w:t>
            </w:r>
          </w:p>
          <w:p w14:paraId="3D4ECB49">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3.监管责任：制定监管计划，依法采取相关处置措施。</w:t>
            </w:r>
          </w:p>
          <w:p w14:paraId="0D74B1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74A7C2BB">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1.【法律】《中华人民共和国测绘法》第二十七条：国家对从事测绘活动的单位实行测绘资质管理制度。</w:t>
            </w:r>
          </w:p>
          <w:p w14:paraId="619C3B64">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从事测绘活动的单位应当具备下列条件，并依法取得相应等级的测绘资质证书，方可从事测绘活动：（一）有法人资格；（二）有与从事的测绘活动相适应的专业技术人员；（三）有与从事的测绘活动相适应的技术装备和设施；（四）有健全的技术和质量保证体系、安全保障措施、信息安全保密管理制度以及测绘成果和资料档案管理制度。</w:t>
            </w:r>
          </w:p>
          <w:p w14:paraId="2261B105">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测绘法》第二十九条：测绘单位不得超越资质等级许可的范围从事测绘活动，不得以其他测绘单位的名义从事测绘活动，不得允许其他单位以本单位的名义从事测绘活动。测绘项目实行招投标的，测绘项目的招标单位应当依法在招标公告或者投标邀请书中对测绘单位资质等级作出要求，不得让不具有相应测绘资质等级的单位中标，不得让测绘单位低于测绘成本中标。中标的测绘单位不得向他人转让测绘项目。</w:t>
            </w:r>
          </w:p>
          <w:p w14:paraId="045D7009">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2—2.【法律】《中华人民共和国测绘法》第三十一条：测绘人员进行测绘活动时，应当持有测绘作业证件。任何单位和个人不得阻碍测绘人员依法进行测绘活动。</w:t>
            </w:r>
          </w:p>
          <w:p w14:paraId="26C832AB">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测绘法》第三十五条：使用财政资金的测绘项目和涉及测绘的其他使用财政资金的项目，有关部门在批准立项前应当征求本级人民政府测绘地理信息主管部门的意见；有适宜测绘成果的，应当充分利用已有的测绘成果，避免重复测绘。</w:t>
            </w:r>
          </w:p>
          <w:p w14:paraId="19287051">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地方性法规】《广西壮族自治区测绘管理条例》（1995年自治区第八届人民代表大会常务委员会第14次会议通过，2019年修订）第十七条：从事测绘活动的单位应当依法取得测绘资质证书并在相应资质等级许可的范围内从事测绘活动。</w:t>
            </w:r>
          </w:p>
          <w:p w14:paraId="5BBA30D9">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3.【地方性法规】《广西壮族自治区测绘管理条例》（1995年自治区第八届人民代表大会常务委员会第14次会议通过，2019年7月25日广西壮族自治区第十三届人民代表大会常务委员会第十次会议第二次修订）第二十条：从事测绘活动的专业技术人员应当具备相应的执业资格条件。测绘人员进行测绘活动时，应当持有测绘作业证件。设区的市人民政府测绘地理信息主管部门负责测绘作业证件的受理、审核、发放工作。</w:t>
            </w:r>
          </w:p>
          <w:p w14:paraId="52B9BAF1">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4.【地方性法规】《广西壮族自治区测绘管理条例》（1995年自治区第八届人民代表大会常务委员会第14次会议通过，2019年7月25日广西壮族自治区第十三届人民代表大会常务委员会第十次会议第二次修订）第二十七条：使用财政资金的测绘项目和涉及测绘的其他使用财政资金的项目，有关部门在批准或者核准前应当书面征求本级人民政府测绘地理信息主管部门的意见，有适宜测绘成果的，应当充分利用已有的测绘成果，避免重复测绘。</w:t>
            </w:r>
          </w:p>
          <w:p w14:paraId="64A79338">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5.【地方性法规】《广西壮族自治区测绘管理条例》（1995年自治区第八届人民代表大会常务委员会第14次会议通过，2019年7月25日广西壮族自治区第十三届人民代表大会常务委员会第十次会议第二次修订）第四十六条：测绘项目招标投标和政府采购活动应当接受县级以上人民政府测绘地理信息主管部门和有关部门的监督管理。县级以上人民政府测绘地理信息主管部门应当加强对投标单位测绘资质、市场信用和测绘评标专家资格的监督检查，及时为参与市场投标的测绘单位出具信用报告。测绘单位不得将承包的测绘项目转包。测绘单位拟将测绘项目部分非主体、非关键性工作分包的，应当在投标文件中载明；接受分包的单位应当具备相应的测绘资质条件，不得将测绘项目再次分包。测绘项目按照国家有关规定实行项目监理。</w:t>
            </w:r>
          </w:p>
          <w:p w14:paraId="360C952F">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6.【地方性法规】《广西壮族自治区测绘管理条例》（1995年自治区第八届人民代表大会常务委员会第14次会议通过，2019年7月25日广西壮族自治区第十三届人民代表大会常务委员会第十次会议第二次修订）第四十八条：使用财政资金或者所在地为国界线本自治区一侧两千米范围内的测绘项目，测绘单位应当在实施该项目前，向项目所在地县级以上人民政府测绘地理信息主管部门备案。任何单位和个人在国界线本自治区一侧两千米范围内开展测绘活动的，应当在实施前向当地公安机关报告，并服从当地公安机关的管理。</w:t>
            </w:r>
          </w:p>
          <w:p w14:paraId="1A32BBCB">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3—7.【规范性文件}原国家测绘地理信息局2014年7月1日重新修订并引发的《测绘资质分级标准》（国测管发[2014]31号）各专业标准的“作业限额”。</w:t>
            </w:r>
          </w:p>
          <w:p w14:paraId="0FD278D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3—8.【规范性文件】原国家测绘局、原国家工商行政管理局1995年6月6日印发的《测绘市场管理暂行办法》（国测体字[95]15号）第二十一条： 测绘项目的承包方必须以自己的设备、技术和劳力完成所承揽项目的主要部分。测绘项目的承包方，可以向其他具有测绘资格的单位分包，但分包量不得大于该项目总承包量的百分之四十。分包出的任务由总承包方向发包方负完全责任。</w:t>
            </w:r>
          </w:p>
        </w:tc>
        <w:tc>
          <w:tcPr>
            <w:tcW w:w="330" w:type="dxa"/>
            <w:vAlign w:val="center"/>
          </w:tcPr>
          <w:p w14:paraId="196F0031">
            <w:pPr>
              <w:snapToGrid w:val="0"/>
              <w:spacing w:line="240" w:lineRule="atLeast"/>
              <w:jc w:val="center"/>
              <w:rPr>
                <w:rFonts w:ascii="仿宋_GB2312" w:hAnsi="仿宋_GB2312" w:eastAsia="仿宋_GB2312" w:cs="仿宋_GB2312"/>
                <w:sz w:val="20"/>
                <w:szCs w:val="20"/>
              </w:rPr>
            </w:pPr>
          </w:p>
        </w:tc>
      </w:tr>
    </w:tbl>
    <w:p w14:paraId="3CECBE17"/>
    <w:p w14:paraId="406ACD4A"/>
    <w:p w14:paraId="111E5AE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F2D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00A2B0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6323DC">
            <w:pPr>
              <w:spacing w:line="240" w:lineRule="atLeast"/>
              <w:rPr>
                <w:rFonts w:asciiTheme="majorEastAsia" w:hAnsiTheme="majorEastAsia" w:eastAsiaTheme="majorEastAsia" w:cstheme="majorEastAsia"/>
                <w:spacing w:val="-20"/>
                <w:sz w:val="20"/>
                <w:szCs w:val="20"/>
              </w:rPr>
            </w:pPr>
          </w:p>
          <w:p w14:paraId="7E1D4EC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0DA3C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740C95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230318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9C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E9B162">
            <w:pPr>
              <w:spacing w:line="240" w:lineRule="atLeast"/>
              <w:jc w:val="left"/>
              <w:rPr>
                <w:rFonts w:ascii="仿宋_GB2312" w:hAnsi="仿宋_GB2312" w:eastAsia="仿宋_GB2312" w:cs="仿宋_GB2312"/>
                <w:sz w:val="20"/>
                <w:szCs w:val="20"/>
              </w:rPr>
            </w:pPr>
          </w:p>
        </w:tc>
        <w:tc>
          <w:tcPr>
            <w:tcW w:w="555" w:type="dxa"/>
            <w:vMerge w:val="continue"/>
          </w:tcPr>
          <w:p w14:paraId="6F84202A">
            <w:pPr>
              <w:spacing w:line="240" w:lineRule="atLeast"/>
              <w:jc w:val="left"/>
              <w:rPr>
                <w:rFonts w:ascii="仿宋_GB2312" w:hAnsi="仿宋_GB2312" w:eastAsia="仿宋_GB2312" w:cs="仿宋_GB2312"/>
                <w:sz w:val="20"/>
                <w:szCs w:val="20"/>
              </w:rPr>
            </w:pPr>
          </w:p>
        </w:tc>
        <w:tc>
          <w:tcPr>
            <w:tcW w:w="784" w:type="dxa"/>
            <w:vAlign w:val="center"/>
          </w:tcPr>
          <w:p w14:paraId="5EDDAD4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47D15B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FD8D5B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3ADC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EAF661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F7CFD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0C9D50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BEBE2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8C1354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0E42B32">
            <w:pPr>
              <w:spacing w:line="240" w:lineRule="atLeast"/>
              <w:jc w:val="left"/>
              <w:rPr>
                <w:rFonts w:ascii="仿宋_GB2312" w:hAnsi="仿宋_GB2312" w:eastAsia="仿宋_GB2312" w:cs="仿宋_GB2312"/>
                <w:sz w:val="20"/>
                <w:szCs w:val="20"/>
              </w:rPr>
            </w:pPr>
          </w:p>
        </w:tc>
      </w:tr>
      <w:tr w14:paraId="6D72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7" w:hRule="atLeast"/>
        </w:trPr>
        <w:tc>
          <w:tcPr>
            <w:tcW w:w="611" w:type="dxa"/>
            <w:vAlign w:val="center"/>
          </w:tcPr>
          <w:p w14:paraId="082873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222</w:t>
            </w:r>
          </w:p>
        </w:tc>
        <w:tc>
          <w:tcPr>
            <w:tcW w:w="555" w:type="dxa"/>
            <w:vAlign w:val="center"/>
          </w:tcPr>
          <w:p w14:paraId="3A170EF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0E142A9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转让国有土地使用权申报价格审核和登记</w:t>
            </w:r>
          </w:p>
        </w:tc>
        <w:tc>
          <w:tcPr>
            <w:tcW w:w="660" w:type="dxa"/>
            <w:vAlign w:val="center"/>
          </w:tcPr>
          <w:p w14:paraId="168E36DF">
            <w:pPr>
              <w:snapToGrid w:val="0"/>
              <w:spacing w:line="240" w:lineRule="atLeast"/>
              <w:jc w:val="center"/>
              <w:rPr>
                <w:rFonts w:ascii="仿宋_GB2312" w:hAnsi="仿宋_GB2312" w:eastAsia="仿宋_GB2312" w:cs="仿宋_GB2312"/>
                <w:sz w:val="20"/>
                <w:szCs w:val="20"/>
              </w:rPr>
            </w:pPr>
          </w:p>
        </w:tc>
        <w:tc>
          <w:tcPr>
            <w:tcW w:w="615" w:type="dxa"/>
            <w:vAlign w:val="center"/>
          </w:tcPr>
          <w:p w14:paraId="76D962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F243B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F8F87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1.【法律】《中华人民共和国城市房地产管理法》第三十五条：国家实行房地产成交价格申报制度。</w:t>
            </w:r>
          </w:p>
          <w:p w14:paraId="3F754AF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房地产权利人转让房地产，应当向县级以上地方人民政府规定的部门如实申报成交价，不得瞒报或者作不实的申报。</w:t>
            </w:r>
          </w:p>
          <w:p w14:paraId="75887A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2.【规范性文件】《国务院关于加强国有土地资产管理的通知》（国发〔2001〕16号）第四点 国有土地转让，转让双方必须如实申报成交价格。土地行政主管部门要根据基准地价、标定地价对申报价格进行审核和登记。申报土地转让价格比标定地价低20%以上的，市、县人民政府可行使优先购买权。</w:t>
            </w:r>
          </w:p>
        </w:tc>
        <w:tc>
          <w:tcPr>
            <w:tcW w:w="3585" w:type="dxa"/>
            <w:vAlign w:val="center"/>
          </w:tcPr>
          <w:p w14:paraId="503814E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2087E6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2.审查责任：按照政策规定对书面材料进行审查，提出是否同意的初步意见；</w:t>
            </w:r>
          </w:p>
          <w:p w14:paraId="79B492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44914A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3CDD5B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5E17D6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4E5BC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4730555C">
            <w:pPr>
              <w:snapToGrid w:val="0"/>
              <w:spacing w:line="240" w:lineRule="atLeast"/>
              <w:jc w:val="center"/>
              <w:rPr>
                <w:rFonts w:ascii="仿宋_GB2312" w:hAnsi="仿宋_GB2312" w:eastAsia="仿宋_GB2312" w:cs="仿宋_GB2312"/>
                <w:sz w:val="20"/>
                <w:szCs w:val="20"/>
              </w:rPr>
            </w:pPr>
          </w:p>
        </w:tc>
      </w:tr>
    </w:tbl>
    <w:p w14:paraId="43DA04CC"/>
    <w:p w14:paraId="58DF5C84"/>
    <w:p w14:paraId="7ED63DC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01E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2433F3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C9EA55E">
            <w:pPr>
              <w:spacing w:line="240" w:lineRule="atLeast"/>
              <w:rPr>
                <w:rFonts w:asciiTheme="majorEastAsia" w:hAnsiTheme="majorEastAsia" w:eastAsiaTheme="majorEastAsia" w:cstheme="majorEastAsia"/>
                <w:spacing w:val="-20"/>
                <w:sz w:val="20"/>
                <w:szCs w:val="20"/>
              </w:rPr>
            </w:pPr>
          </w:p>
          <w:p w14:paraId="13501A2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F26E06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E83C3E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2364DD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06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14F4E6">
            <w:pPr>
              <w:spacing w:line="240" w:lineRule="atLeast"/>
              <w:jc w:val="left"/>
              <w:rPr>
                <w:rFonts w:ascii="仿宋_GB2312" w:hAnsi="仿宋_GB2312" w:eastAsia="仿宋_GB2312" w:cs="仿宋_GB2312"/>
                <w:sz w:val="20"/>
                <w:szCs w:val="20"/>
              </w:rPr>
            </w:pPr>
          </w:p>
        </w:tc>
        <w:tc>
          <w:tcPr>
            <w:tcW w:w="555" w:type="dxa"/>
            <w:vMerge w:val="continue"/>
          </w:tcPr>
          <w:p w14:paraId="2E999F06">
            <w:pPr>
              <w:spacing w:line="240" w:lineRule="atLeast"/>
              <w:jc w:val="left"/>
              <w:rPr>
                <w:rFonts w:ascii="仿宋_GB2312" w:hAnsi="仿宋_GB2312" w:eastAsia="仿宋_GB2312" w:cs="仿宋_GB2312"/>
                <w:sz w:val="20"/>
                <w:szCs w:val="20"/>
              </w:rPr>
            </w:pPr>
          </w:p>
        </w:tc>
        <w:tc>
          <w:tcPr>
            <w:tcW w:w="784" w:type="dxa"/>
            <w:vAlign w:val="center"/>
          </w:tcPr>
          <w:p w14:paraId="53B66A0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9DF7F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E9D2BE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C679B3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374471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78369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B5C9C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9C0839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9332B3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4626C24">
            <w:pPr>
              <w:spacing w:line="240" w:lineRule="atLeast"/>
              <w:jc w:val="left"/>
              <w:rPr>
                <w:rFonts w:ascii="仿宋_GB2312" w:hAnsi="仿宋_GB2312" w:eastAsia="仿宋_GB2312" w:cs="仿宋_GB2312"/>
                <w:sz w:val="20"/>
                <w:szCs w:val="20"/>
              </w:rPr>
            </w:pPr>
          </w:p>
        </w:tc>
      </w:tr>
      <w:tr w14:paraId="58F9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7" w:hRule="atLeast"/>
        </w:trPr>
        <w:tc>
          <w:tcPr>
            <w:tcW w:w="611" w:type="dxa"/>
            <w:vAlign w:val="center"/>
          </w:tcPr>
          <w:p w14:paraId="6B4048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223</w:t>
            </w:r>
          </w:p>
        </w:tc>
        <w:tc>
          <w:tcPr>
            <w:tcW w:w="555" w:type="dxa"/>
            <w:vAlign w:val="center"/>
          </w:tcPr>
          <w:p w14:paraId="2AA2A79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501BB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地质灾害防治资质单位地质灾害治理工程项目备案</w:t>
            </w:r>
          </w:p>
        </w:tc>
        <w:tc>
          <w:tcPr>
            <w:tcW w:w="660" w:type="dxa"/>
            <w:vAlign w:val="center"/>
          </w:tcPr>
          <w:p w14:paraId="5A824D40">
            <w:pPr>
              <w:snapToGrid w:val="0"/>
              <w:spacing w:line="240" w:lineRule="atLeast"/>
              <w:jc w:val="center"/>
              <w:rPr>
                <w:rFonts w:ascii="仿宋_GB2312" w:hAnsi="仿宋_GB2312" w:eastAsia="仿宋_GB2312" w:cs="仿宋_GB2312"/>
                <w:sz w:val="20"/>
                <w:szCs w:val="20"/>
              </w:rPr>
            </w:pPr>
          </w:p>
        </w:tc>
        <w:tc>
          <w:tcPr>
            <w:tcW w:w="615" w:type="dxa"/>
            <w:vAlign w:val="center"/>
          </w:tcPr>
          <w:p w14:paraId="25BB00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F6B1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67BA3AB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【部门规章】《地质灾害危险性评估单位资质管理办法》（2005年国土资源部令第29号公布，2019年第二次修正）第六条： 从事地质灾害危险性评估的单位，按照本办法的规定取得相应的资质证书后，方可在资质证书许可范围内承担地质灾害危险性评估业务。</w:t>
            </w:r>
          </w:p>
          <w:p w14:paraId="40F60D7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县级以上自然资源主管部门负责对本行政区域内从事地质灾害危险性评估活动的单位进行监督检查。</w:t>
            </w:r>
          </w:p>
          <w:p w14:paraId="20851D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第二十七条： 资质单位应当在签订地质灾害危险性评估项目合同后十日内，到项目所在地的县级自然资源主管部门进行资质和项目备案。</w:t>
            </w:r>
          </w:p>
          <w:p w14:paraId="6EC598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评估项目跨行政区域的，资质单位应当向项目所跨行政区域共同的上一级自然资源主管部门备案。</w:t>
            </w:r>
          </w:p>
        </w:tc>
        <w:tc>
          <w:tcPr>
            <w:tcW w:w="3585" w:type="dxa"/>
            <w:vAlign w:val="center"/>
          </w:tcPr>
          <w:p w14:paraId="5BB489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1.受理阶段责任：审查备案材料是否齐全，是否在规定的时间内提交备案。备案材料不全的，通知申请机构一次性补齐。</w:t>
            </w:r>
          </w:p>
          <w:p w14:paraId="668985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2.审查阶段责任：对地质灾害治理工程勘察设计机构和专家资格，评审标准、程序是否合规等进行审查。</w:t>
            </w:r>
          </w:p>
          <w:p w14:paraId="714CF1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3.决定阶段责任：作出备案或不予以备案决定（不予备案的应当告知理由）。</w:t>
            </w:r>
          </w:p>
          <w:p w14:paraId="4240FD5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00C6605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B854E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D40CD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22EFD34B">
            <w:pPr>
              <w:snapToGrid w:val="0"/>
              <w:spacing w:line="240" w:lineRule="atLeast"/>
              <w:jc w:val="center"/>
              <w:rPr>
                <w:rFonts w:ascii="仿宋_GB2312" w:hAnsi="仿宋_GB2312" w:eastAsia="仿宋_GB2312" w:cs="仿宋_GB2312"/>
                <w:sz w:val="20"/>
                <w:szCs w:val="20"/>
              </w:rPr>
            </w:pPr>
          </w:p>
        </w:tc>
      </w:tr>
    </w:tbl>
    <w:p w14:paraId="74CFCE1C"/>
    <w:p w14:paraId="7694DB6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6FA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47C555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B7D943C">
            <w:pPr>
              <w:spacing w:line="240" w:lineRule="atLeast"/>
              <w:rPr>
                <w:rFonts w:asciiTheme="majorEastAsia" w:hAnsiTheme="majorEastAsia" w:eastAsiaTheme="majorEastAsia" w:cstheme="majorEastAsia"/>
                <w:spacing w:val="-20"/>
                <w:sz w:val="20"/>
                <w:szCs w:val="20"/>
              </w:rPr>
            </w:pPr>
          </w:p>
          <w:p w14:paraId="098A3CF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8CDB76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CABB3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97CE2D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D3A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9675580">
            <w:pPr>
              <w:spacing w:line="240" w:lineRule="atLeast"/>
              <w:jc w:val="left"/>
              <w:rPr>
                <w:rFonts w:ascii="仿宋_GB2312" w:hAnsi="仿宋_GB2312" w:eastAsia="仿宋_GB2312" w:cs="仿宋_GB2312"/>
                <w:sz w:val="20"/>
                <w:szCs w:val="20"/>
              </w:rPr>
            </w:pPr>
          </w:p>
        </w:tc>
        <w:tc>
          <w:tcPr>
            <w:tcW w:w="555" w:type="dxa"/>
            <w:vMerge w:val="continue"/>
          </w:tcPr>
          <w:p w14:paraId="2652DD1E">
            <w:pPr>
              <w:spacing w:line="240" w:lineRule="atLeast"/>
              <w:jc w:val="left"/>
              <w:rPr>
                <w:rFonts w:ascii="仿宋_GB2312" w:hAnsi="仿宋_GB2312" w:eastAsia="仿宋_GB2312" w:cs="仿宋_GB2312"/>
                <w:sz w:val="20"/>
                <w:szCs w:val="20"/>
              </w:rPr>
            </w:pPr>
          </w:p>
        </w:tc>
        <w:tc>
          <w:tcPr>
            <w:tcW w:w="784" w:type="dxa"/>
            <w:vAlign w:val="center"/>
          </w:tcPr>
          <w:p w14:paraId="06DCFA3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E90227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311765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781407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FEB16F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9B6407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0E9F7E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EB3F3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305C8A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70F60C">
            <w:pPr>
              <w:spacing w:line="240" w:lineRule="atLeast"/>
              <w:jc w:val="left"/>
              <w:rPr>
                <w:rFonts w:ascii="仿宋_GB2312" w:hAnsi="仿宋_GB2312" w:eastAsia="仿宋_GB2312" w:cs="仿宋_GB2312"/>
                <w:sz w:val="20"/>
                <w:szCs w:val="20"/>
              </w:rPr>
            </w:pPr>
          </w:p>
        </w:tc>
      </w:tr>
      <w:tr w14:paraId="36EA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7" w:hRule="atLeast"/>
        </w:trPr>
        <w:tc>
          <w:tcPr>
            <w:tcW w:w="611" w:type="dxa"/>
            <w:vAlign w:val="center"/>
          </w:tcPr>
          <w:p w14:paraId="37A794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224</w:t>
            </w:r>
          </w:p>
        </w:tc>
        <w:tc>
          <w:tcPr>
            <w:tcW w:w="555" w:type="dxa"/>
            <w:vAlign w:val="center"/>
          </w:tcPr>
          <w:p w14:paraId="14849CD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3EF5417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无偿收回闲置的非农建设占用耕地的审批</w:t>
            </w:r>
          </w:p>
        </w:tc>
        <w:tc>
          <w:tcPr>
            <w:tcW w:w="660" w:type="dxa"/>
            <w:vAlign w:val="center"/>
          </w:tcPr>
          <w:p w14:paraId="60134F2D">
            <w:pPr>
              <w:snapToGrid w:val="0"/>
              <w:spacing w:line="240" w:lineRule="atLeast"/>
              <w:jc w:val="center"/>
              <w:rPr>
                <w:rFonts w:ascii="仿宋_GB2312" w:hAnsi="仿宋_GB2312" w:eastAsia="仿宋_GB2312" w:cs="仿宋_GB2312"/>
                <w:sz w:val="20"/>
                <w:szCs w:val="20"/>
              </w:rPr>
            </w:pPr>
          </w:p>
        </w:tc>
        <w:tc>
          <w:tcPr>
            <w:tcW w:w="615" w:type="dxa"/>
            <w:vAlign w:val="center"/>
          </w:tcPr>
          <w:p w14:paraId="24E55A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211AA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080E9E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三十八条：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14:paraId="4C3727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在城市规划区范围内，以出让方式取得土地使用权进行房地产开发的闲置土地，依照《中华人民共和国城市房地产管理法》的有关规定办理。</w:t>
            </w:r>
          </w:p>
        </w:tc>
        <w:tc>
          <w:tcPr>
            <w:tcW w:w="3585" w:type="dxa"/>
            <w:vAlign w:val="center"/>
          </w:tcPr>
          <w:p w14:paraId="421782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1.受理阶段责任：审查审批材料是否齐全。备案材料不全的，通知申请机构一次性补齐。</w:t>
            </w:r>
          </w:p>
          <w:p w14:paraId="69699FA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2.审核责任：依法对申请材料进行审查，提出审查意见。</w:t>
            </w:r>
          </w:p>
          <w:p w14:paraId="0491FB2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68B25B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73C2BFE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24EF03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B4E7F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43B76763">
            <w:pPr>
              <w:snapToGrid w:val="0"/>
              <w:spacing w:line="240" w:lineRule="atLeast"/>
              <w:jc w:val="center"/>
              <w:rPr>
                <w:rFonts w:ascii="仿宋_GB2312" w:hAnsi="仿宋_GB2312" w:eastAsia="仿宋_GB2312" w:cs="仿宋_GB2312"/>
                <w:sz w:val="20"/>
                <w:szCs w:val="20"/>
              </w:rPr>
            </w:pPr>
          </w:p>
        </w:tc>
      </w:tr>
    </w:tbl>
    <w:p w14:paraId="2C9D3183"/>
    <w:sectPr>
      <w:footerReference r:id="rId3" w:type="default"/>
      <w:pgSz w:w="23811" w:h="16838" w:orient="landscape"/>
      <w:pgMar w:top="782" w:right="1157" w:bottom="782" w:left="11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989D3">
    <w:pPr>
      <w:pStyle w:val="2"/>
    </w:pPr>
    <w:r>
      <mc:AlternateContent>
        <mc:Choice Requires="wps">
          <w:drawing>
            <wp:anchor distT="0" distB="0" distL="114300" distR="114300" simplePos="0" relativeHeight="251659264" behindDoc="0" locked="0" layoutInCell="1" allowOverlap="1">
              <wp:simplePos x="0" y="0"/>
              <wp:positionH relativeFrom="margin">
                <wp:posOffset>6786245</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42639">
                          <w:pPr>
                            <w:pStyle w:val="2"/>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35</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34.35pt;margin-top:18pt;height:144pt;width:144pt;mso-position-horizontal-relative:margin;mso-wrap-style:none;z-index:251659264;mso-width-relative:page;mso-height-relative:page;" filled="f" stroked="f" coordsize="21600,21600" o:gfxdata="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rSUwrXAAAADAEAAA8AAAAAAAAAAQAgAAAAIgAAAGRycy9kb3ducmV2LnhtbFBLAQIUABQA&#10;AAAIAIdO4kCM1w58KgIAAFUEAAAOAAAAAAAAAAEAIAAAACYBAABkcnMvZTJvRG9jLnhtbFBLBQYA&#10;AAAABgAGAFkBAADCBQAAAAA=&#10;">
              <v:fill on="f" focussize="0,0"/>
              <v:stroke on="f" weight="0.5pt"/>
              <v:imagedata o:title=""/>
              <o:lock v:ext="edit" aspectratio="f"/>
              <v:textbox inset="0mm,0mm,0mm,0mm" style="mso-fit-shape-to-text:t;">
                <w:txbxContent>
                  <w:p w14:paraId="45F42639">
                    <w:pPr>
                      <w:pStyle w:val="2"/>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35</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ZDA1ODcwMzkxZmNlN2E4ZjkwMTg4MmNiODIzNTYifQ=="/>
  </w:docVars>
  <w:rsids>
    <w:rsidRoot w:val="00D34233"/>
    <w:rsid w:val="00097547"/>
    <w:rsid w:val="00121353"/>
    <w:rsid w:val="00243553"/>
    <w:rsid w:val="00950CBF"/>
    <w:rsid w:val="00AF5B53"/>
    <w:rsid w:val="00D34233"/>
    <w:rsid w:val="01911D0E"/>
    <w:rsid w:val="020149A5"/>
    <w:rsid w:val="028340E0"/>
    <w:rsid w:val="03522419"/>
    <w:rsid w:val="06EA39DF"/>
    <w:rsid w:val="08726BB2"/>
    <w:rsid w:val="08EB30F3"/>
    <w:rsid w:val="0B61769D"/>
    <w:rsid w:val="0B866A2E"/>
    <w:rsid w:val="0CCA634C"/>
    <w:rsid w:val="0CF602B9"/>
    <w:rsid w:val="0FEB5776"/>
    <w:rsid w:val="10945C61"/>
    <w:rsid w:val="10CD7582"/>
    <w:rsid w:val="1108138E"/>
    <w:rsid w:val="1128487D"/>
    <w:rsid w:val="117535E3"/>
    <w:rsid w:val="11AE4CBE"/>
    <w:rsid w:val="12D06EB6"/>
    <w:rsid w:val="13DA3E13"/>
    <w:rsid w:val="14B35C59"/>
    <w:rsid w:val="16D76A65"/>
    <w:rsid w:val="17AC6222"/>
    <w:rsid w:val="18356D99"/>
    <w:rsid w:val="189F7A56"/>
    <w:rsid w:val="1AA068B6"/>
    <w:rsid w:val="1BC21057"/>
    <w:rsid w:val="1C0B488B"/>
    <w:rsid w:val="1C3342CD"/>
    <w:rsid w:val="1D5030CD"/>
    <w:rsid w:val="1D7D0CE4"/>
    <w:rsid w:val="1E795B39"/>
    <w:rsid w:val="1FBA5176"/>
    <w:rsid w:val="206C021E"/>
    <w:rsid w:val="24CF7C82"/>
    <w:rsid w:val="25BD4A76"/>
    <w:rsid w:val="26143832"/>
    <w:rsid w:val="26DE174A"/>
    <w:rsid w:val="27C517EE"/>
    <w:rsid w:val="28D15A0A"/>
    <w:rsid w:val="2A827AD4"/>
    <w:rsid w:val="2CD05FD9"/>
    <w:rsid w:val="2D452C20"/>
    <w:rsid w:val="2E1001F4"/>
    <w:rsid w:val="2EEF6C5E"/>
    <w:rsid w:val="2F096E7C"/>
    <w:rsid w:val="2FA958D0"/>
    <w:rsid w:val="2FC91983"/>
    <w:rsid w:val="2FCD0E90"/>
    <w:rsid w:val="300C5C28"/>
    <w:rsid w:val="30C70D34"/>
    <w:rsid w:val="311F752F"/>
    <w:rsid w:val="31864723"/>
    <w:rsid w:val="31D07E79"/>
    <w:rsid w:val="33413443"/>
    <w:rsid w:val="33590AD6"/>
    <w:rsid w:val="34D348B8"/>
    <w:rsid w:val="34E81911"/>
    <w:rsid w:val="35135FB0"/>
    <w:rsid w:val="37291397"/>
    <w:rsid w:val="389C4783"/>
    <w:rsid w:val="392043CB"/>
    <w:rsid w:val="398B2F1B"/>
    <w:rsid w:val="3ABE3914"/>
    <w:rsid w:val="3B1B2DC0"/>
    <w:rsid w:val="3C0E35B2"/>
    <w:rsid w:val="3D174696"/>
    <w:rsid w:val="3E5C147A"/>
    <w:rsid w:val="3E8F4051"/>
    <w:rsid w:val="3F9C12A3"/>
    <w:rsid w:val="40A75E90"/>
    <w:rsid w:val="40F75912"/>
    <w:rsid w:val="410E283E"/>
    <w:rsid w:val="412E1653"/>
    <w:rsid w:val="41957F8D"/>
    <w:rsid w:val="41D20A03"/>
    <w:rsid w:val="429C26CE"/>
    <w:rsid w:val="42BB7828"/>
    <w:rsid w:val="43B86527"/>
    <w:rsid w:val="441F0A36"/>
    <w:rsid w:val="44673668"/>
    <w:rsid w:val="44C20B3B"/>
    <w:rsid w:val="45E5262D"/>
    <w:rsid w:val="47064679"/>
    <w:rsid w:val="47ED5082"/>
    <w:rsid w:val="48B73E3A"/>
    <w:rsid w:val="48F6174F"/>
    <w:rsid w:val="4933371F"/>
    <w:rsid w:val="49BC3F58"/>
    <w:rsid w:val="49D37AE3"/>
    <w:rsid w:val="4A4C0E65"/>
    <w:rsid w:val="4AAD4767"/>
    <w:rsid w:val="4C9227C6"/>
    <w:rsid w:val="4F002D03"/>
    <w:rsid w:val="4F601699"/>
    <w:rsid w:val="4FCB6460"/>
    <w:rsid w:val="50203FF1"/>
    <w:rsid w:val="504F7091"/>
    <w:rsid w:val="50533BEF"/>
    <w:rsid w:val="505E04E8"/>
    <w:rsid w:val="50EA1387"/>
    <w:rsid w:val="51204302"/>
    <w:rsid w:val="51722440"/>
    <w:rsid w:val="51B178D7"/>
    <w:rsid w:val="51EB4853"/>
    <w:rsid w:val="525766D1"/>
    <w:rsid w:val="53032E1B"/>
    <w:rsid w:val="54537C17"/>
    <w:rsid w:val="5576645F"/>
    <w:rsid w:val="56695772"/>
    <w:rsid w:val="56A63783"/>
    <w:rsid w:val="572617C1"/>
    <w:rsid w:val="58483691"/>
    <w:rsid w:val="58E524A0"/>
    <w:rsid w:val="58E8067D"/>
    <w:rsid w:val="59B14918"/>
    <w:rsid w:val="59BF43C4"/>
    <w:rsid w:val="5A10004D"/>
    <w:rsid w:val="5BA20C44"/>
    <w:rsid w:val="5BB56CBC"/>
    <w:rsid w:val="5C5345AF"/>
    <w:rsid w:val="5CB169DD"/>
    <w:rsid w:val="5D537A94"/>
    <w:rsid w:val="5F507772"/>
    <w:rsid w:val="607977E8"/>
    <w:rsid w:val="615707D0"/>
    <w:rsid w:val="628E1C9B"/>
    <w:rsid w:val="64CA2D32"/>
    <w:rsid w:val="6569799D"/>
    <w:rsid w:val="65707045"/>
    <w:rsid w:val="658F0577"/>
    <w:rsid w:val="66846F11"/>
    <w:rsid w:val="66F82AAA"/>
    <w:rsid w:val="67007834"/>
    <w:rsid w:val="67046C9A"/>
    <w:rsid w:val="67050CAA"/>
    <w:rsid w:val="676123CB"/>
    <w:rsid w:val="678D5B25"/>
    <w:rsid w:val="67ED70C3"/>
    <w:rsid w:val="682D4F2F"/>
    <w:rsid w:val="686765C5"/>
    <w:rsid w:val="68A65864"/>
    <w:rsid w:val="68BF7FE7"/>
    <w:rsid w:val="69360540"/>
    <w:rsid w:val="69427065"/>
    <w:rsid w:val="6CEA7FC1"/>
    <w:rsid w:val="6D9B170F"/>
    <w:rsid w:val="6D9D7236"/>
    <w:rsid w:val="6DC61E74"/>
    <w:rsid w:val="6E414AA0"/>
    <w:rsid w:val="6E697C6D"/>
    <w:rsid w:val="6EA62978"/>
    <w:rsid w:val="70B56AB7"/>
    <w:rsid w:val="71E43796"/>
    <w:rsid w:val="73E02686"/>
    <w:rsid w:val="74730CF0"/>
    <w:rsid w:val="7486266F"/>
    <w:rsid w:val="75752846"/>
    <w:rsid w:val="764112E9"/>
    <w:rsid w:val="76705E46"/>
    <w:rsid w:val="767C1CFA"/>
    <w:rsid w:val="76A952ED"/>
    <w:rsid w:val="770E18B7"/>
    <w:rsid w:val="77CD4B10"/>
    <w:rsid w:val="782C7B34"/>
    <w:rsid w:val="78924692"/>
    <w:rsid w:val="78E9198C"/>
    <w:rsid w:val="7B234AF2"/>
    <w:rsid w:val="7CEA11B2"/>
    <w:rsid w:val="7DAE4B47"/>
    <w:rsid w:val="7DFF1847"/>
    <w:rsid w:val="7E01551A"/>
    <w:rsid w:val="7F857B2A"/>
    <w:rsid w:val="7F8E1ED7"/>
    <w:rsid w:val="7FB54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221</Pages>
  <Words>23994</Words>
  <Characters>24384</Characters>
  <Lines>4502</Lines>
  <Paragraphs>1267</Paragraphs>
  <TotalTime>0</TotalTime>
  <ScaleCrop>false</ScaleCrop>
  <LinksUpToDate>false</LinksUpToDate>
  <CharactersWithSpaces>24444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2023-02-28T03:26:00Z</dcterms:created>
  <dc:creator>HP</dc:creator>
  <cp:lastModifiedBy>肖海珍</cp:lastModifiedBy>
  <dcterms:modified xsi:type="dcterms:W3CDTF">2025-05-20T10:10:38Z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DD16CCC2B0BE451F9A8D3D13098BD07D</vt:lpwstr>
  </property>
  <property fmtid="{D5CDD505-2E9C-101B-9397-08002B2CF9AE}" pid="4" name="KSOTemplateDocerSaveRecord">
    <vt:lpwstr>eyJoZGlkIjoiMGYzY2VhY2FhYjRkMjc0NzE5MGE2NjA1ZWFjYTk0M2YiLCJ1c2VySWQiOiIxMzc5MDYzMDA4In0=</vt:lpwstr>
  </property>
</Properties>
</file>